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5.xml" ContentType="application/vnd.openxmlformats-officedocument.wordprocessingml.footer+xml"/>
  <Override PartName="/word/header12.xml" ContentType="application/vnd.openxmlformats-officedocument.wordprocessingml.header+xml"/>
  <Override PartName="/word/footer6.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7.xml" ContentType="application/vnd.openxmlformats-officedocument.wordprocessingml.footer+xml"/>
  <Override PartName="/word/header15.xml" ContentType="application/vnd.openxmlformats-officedocument.wordprocessingml.header+xml"/>
  <Override PartName="/word/footer8.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9.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10.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11.xml" ContentType="application/vnd.openxmlformats-officedocument.wordprocessingml.footer+xml"/>
  <Override PartName="/word/header3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D3A626" w14:textId="77777777" w:rsidR="001771FE" w:rsidRPr="00804EBE" w:rsidRDefault="001771FE" w:rsidP="007B146B">
      <w:pPr>
        <w:pStyle w:val="Body"/>
        <w:ind w:left="720"/>
        <w:jc w:val="left"/>
        <w:rPr>
          <w:lang w:val="en-US"/>
        </w:rPr>
      </w:pPr>
      <w:bookmarkStart w:id="0" w:name="_GoBack"/>
      <w:bookmarkEnd w:id="0"/>
    </w:p>
    <w:p w14:paraId="2499FF56" w14:textId="77777777" w:rsidR="001771FE" w:rsidRPr="005516CD" w:rsidRDefault="00045B04" w:rsidP="007B146B">
      <w:pPr>
        <w:pStyle w:val="Body"/>
        <w:spacing w:after="0"/>
        <w:ind w:left="2160" w:firstLine="720"/>
        <w:jc w:val="left"/>
      </w:pPr>
      <w:r w:rsidRPr="005516CD">
        <w:rPr>
          <w:noProof/>
          <w:lang w:val="en-US" w:eastAsia="en-US"/>
        </w:rPr>
        <w:drawing>
          <wp:anchor distT="0" distB="0" distL="0" distR="0" simplePos="0" relativeHeight="251659264" behindDoc="0" locked="0" layoutInCell="1" allowOverlap="1" wp14:anchorId="6C3EEF1C" wp14:editId="456800E1">
            <wp:simplePos x="0" y="0"/>
            <wp:positionH relativeFrom="page">
              <wp:posOffset>6210300</wp:posOffset>
            </wp:positionH>
            <wp:positionV relativeFrom="line">
              <wp:posOffset>9525</wp:posOffset>
            </wp:positionV>
            <wp:extent cx="647066" cy="1380490"/>
            <wp:effectExtent l="0" t="0" r="0" b="0"/>
            <wp:wrapNone/>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1.png"/>
                    <pic:cNvPicPr>
                      <a:picLocks noChangeAspect="1"/>
                    </pic:cNvPicPr>
                  </pic:nvPicPr>
                  <pic:blipFill>
                    <a:blip r:embed="rId11"/>
                    <a:stretch>
                      <a:fillRect/>
                    </a:stretch>
                  </pic:blipFill>
                  <pic:spPr>
                    <a:xfrm>
                      <a:off x="0" y="0"/>
                      <a:ext cx="647066" cy="1380490"/>
                    </a:xfrm>
                    <a:prstGeom prst="rect">
                      <a:avLst/>
                    </a:prstGeom>
                    <a:ln w="12700" cap="flat">
                      <a:noFill/>
                      <a:miter lim="400000"/>
                    </a:ln>
                    <a:effectLst/>
                  </pic:spPr>
                </pic:pic>
              </a:graphicData>
            </a:graphic>
          </wp:anchor>
        </w:drawing>
      </w:r>
      <w:r w:rsidRPr="005516CD">
        <w:rPr>
          <w:noProof/>
          <w:lang w:val="en-US" w:eastAsia="en-US"/>
        </w:rPr>
        <w:drawing>
          <wp:anchor distT="57150" distB="57150" distL="57150" distR="57150" simplePos="0" relativeHeight="251658240" behindDoc="0" locked="0" layoutInCell="1" allowOverlap="1" wp14:anchorId="41F68D62" wp14:editId="2A9AB3AE">
            <wp:simplePos x="0" y="0"/>
            <wp:positionH relativeFrom="page">
              <wp:posOffset>1000125</wp:posOffset>
            </wp:positionH>
            <wp:positionV relativeFrom="line">
              <wp:posOffset>-1905</wp:posOffset>
            </wp:positionV>
            <wp:extent cx="709931" cy="818515"/>
            <wp:effectExtent l="0" t="0" r="0" b="0"/>
            <wp:wrapThrough wrapText="bothSides" distL="57150" distR="57150">
              <wp:wrapPolygon edited="1">
                <wp:start x="0" y="0"/>
                <wp:lineTo x="21600" y="0"/>
                <wp:lineTo x="21600" y="21600"/>
                <wp:lineTo x="0" y="21600"/>
                <wp:lineTo x="0" y="0"/>
              </wp:wrapPolygon>
            </wp:wrapThrough>
            <wp:docPr id="1073741827" name="officeArt object" descr="GEF-notag-lowres_0"/>
            <wp:cNvGraphicFramePr/>
            <a:graphic xmlns:a="http://schemas.openxmlformats.org/drawingml/2006/main">
              <a:graphicData uri="http://schemas.openxmlformats.org/drawingml/2006/picture">
                <pic:pic xmlns:pic="http://schemas.openxmlformats.org/drawingml/2006/picture">
                  <pic:nvPicPr>
                    <pic:cNvPr id="1073741827" name="image2.jpg" descr="GEF-notag-lowres_0"/>
                    <pic:cNvPicPr>
                      <a:picLocks noChangeAspect="1"/>
                    </pic:cNvPicPr>
                  </pic:nvPicPr>
                  <pic:blipFill>
                    <a:blip r:embed="rId12"/>
                    <a:stretch>
                      <a:fillRect/>
                    </a:stretch>
                  </pic:blipFill>
                  <pic:spPr>
                    <a:xfrm>
                      <a:off x="0" y="0"/>
                      <a:ext cx="709931" cy="818515"/>
                    </a:xfrm>
                    <a:prstGeom prst="rect">
                      <a:avLst/>
                    </a:prstGeom>
                    <a:ln w="12700" cap="flat">
                      <a:noFill/>
                      <a:miter lim="400000"/>
                    </a:ln>
                    <a:effectLst/>
                  </pic:spPr>
                </pic:pic>
              </a:graphicData>
            </a:graphic>
          </wp:anchor>
        </w:drawing>
      </w:r>
    </w:p>
    <w:p w14:paraId="42E53FB6" w14:textId="77777777" w:rsidR="001771FE" w:rsidRPr="005516CD" w:rsidRDefault="001771FE" w:rsidP="007B146B">
      <w:pPr>
        <w:pStyle w:val="Body"/>
        <w:spacing w:after="120"/>
        <w:ind w:left="2160" w:firstLine="720"/>
      </w:pPr>
    </w:p>
    <w:p w14:paraId="6FCA0F2B" w14:textId="77777777" w:rsidR="001771FE" w:rsidRPr="005516CD" w:rsidRDefault="001771FE" w:rsidP="007B146B">
      <w:pPr>
        <w:pStyle w:val="Body"/>
        <w:spacing w:after="120"/>
        <w:ind w:left="2160" w:firstLine="720"/>
        <w:rPr>
          <w:b/>
          <w:bCs/>
          <w:i/>
          <w:iCs/>
        </w:rPr>
      </w:pPr>
    </w:p>
    <w:p w14:paraId="35B4CD99" w14:textId="77777777" w:rsidR="001771FE" w:rsidRPr="005516CD" w:rsidRDefault="001771FE" w:rsidP="007B146B">
      <w:pPr>
        <w:pStyle w:val="Body"/>
        <w:spacing w:after="120"/>
        <w:ind w:left="2160" w:firstLine="720"/>
        <w:rPr>
          <w:b/>
          <w:bCs/>
          <w:i/>
          <w:iCs/>
        </w:rPr>
      </w:pPr>
    </w:p>
    <w:p w14:paraId="74402C7D" w14:textId="77777777" w:rsidR="001771FE" w:rsidRPr="005516CD" w:rsidRDefault="001771FE" w:rsidP="007B146B">
      <w:pPr>
        <w:pStyle w:val="Body"/>
        <w:spacing w:after="120"/>
        <w:ind w:left="2160" w:firstLine="720"/>
        <w:rPr>
          <w:b/>
          <w:bCs/>
          <w:i/>
          <w:iCs/>
        </w:rPr>
      </w:pPr>
    </w:p>
    <w:p w14:paraId="5CF7A34E" w14:textId="77777777" w:rsidR="001771FE" w:rsidRPr="005516CD" w:rsidRDefault="00045B04" w:rsidP="007B146B">
      <w:pPr>
        <w:pStyle w:val="Body"/>
        <w:spacing w:after="240"/>
        <w:jc w:val="center"/>
        <w:rPr>
          <w:b/>
          <w:bCs/>
        </w:rPr>
      </w:pPr>
      <w:r w:rsidRPr="005516CD">
        <w:rPr>
          <w:b/>
          <w:bCs/>
          <w:lang w:val="en-US"/>
        </w:rPr>
        <w:t>United Nations Development Programme</w:t>
      </w:r>
    </w:p>
    <w:p w14:paraId="2340D6C2" w14:textId="77777777" w:rsidR="001771FE" w:rsidRPr="005516CD" w:rsidRDefault="00045B04" w:rsidP="007B146B">
      <w:pPr>
        <w:pStyle w:val="Body"/>
        <w:spacing w:after="0"/>
        <w:jc w:val="center"/>
        <w:rPr>
          <w:b/>
          <w:bCs/>
        </w:rPr>
      </w:pPr>
      <w:r w:rsidRPr="005516CD">
        <w:rPr>
          <w:b/>
          <w:bCs/>
          <w:lang w:val="en-US"/>
        </w:rPr>
        <w:t>Project Document template for nationally implemented projects</w:t>
      </w:r>
    </w:p>
    <w:p w14:paraId="097B87C7" w14:textId="77777777" w:rsidR="001771FE" w:rsidRPr="005516CD" w:rsidRDefault="00045B04" w:rsidP="007B146B">
      <w:pPr>
        <w:pStyle w:val="Body"/>
        <w:spacing w:after="0"/>
        <w:jc w:val="center"/>
        <w:rPr>
          <w:b/>
          <w:bCs/>
        </w:rPr>
      </w:pPr>
      <w:r w:rsidRPr="005516CD">
        <w:rPr>
          <w:b/>
          <w:bCs/>
          <w:lang w:val="en-US"/>
        </w:rPr>
        <w:t>financed by the GEF/LDCF/SCCF Trust Funds</w:t>
      </w:r>
    </w:p>
    <w:p w14:paraId="631492B7" w14:textId="77777777" w:rsidR="001771FE" w:rsidRPr="005516CD" w:rsidRDefault="001771FE" w:rsidP="007B146B">
      <w:pPr>
        <w:pStyle w:val="Body"/>
        <w:spacing w:after="0"/>
        <w:jc w:val="left"/>
        <w:rPr>
          <w:b/>
          <w:bCs/>
          <w:i/>
          <w:iCs/>
        </w:rPr>
      </w:pPr>
    </w:p>
    <w:tbl>
      <w:tblPr>
        <w:tblStyle w:val="TableGrid"/>
        <w:tblW w:w="0" w:type="auto"/>
        <w:tblLook w:val="04A0" w:firstRow="1" w:lastRow="0" w:firstColumn="1" w:lastColumn="0" w:noHBand="0" w:noVBand="1"/>
      </w:tblPr>
      <w:tblGrid>
        <w:gridCol w:w="2830"/>
        <w:gridCol w:w="1675"/>
        <w:gridCol w:w="1501"/>
        <w:gridCol w:w="3004"/>
      </w:tblGrid>
      <w:tr w:rsidR="007146F2" w:rsidRPr="005516CD" w14:paraId="5EFD69B5" w14:textId="77777777" w:rsidTr="007146F2">
        <w:tc>
          <w:tcPr>
            <w:tcW w:w="9010" w:type="dxa"/>
            <w:gridSpan w:val="4"/>
          </w:tcPr>
          <w:p w14:paraId="274D63E1"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 xml:space="preserve">Project title:  </w:t>
            </w:r>
            <w:bookmarkStart w:id="1" w:name="_Hlk502310307"/>
            <w:r w:rsidR="00311594" w:rsidRPr="005516CD">
              <w:rPr>
                <w:lang w:val="en-US"/>
              </w:rPr>
              <w:t xml:space="preserve">Sustainable management of wooded production landscapes for biodiversity conservation </w:t>
            </w:r>
            <w:bookmarkEnd w:id="1"/>
            <w:r w:rsidR="00311594" w:rsidRPr="005516CD">
              <w:rPr>
                <w:lang w:val="en-US"/>
              </w:rPr>
              <w:t xml:space="preserve"> </w:t>
            </w:r>
          </w:p>
        </w:tc>
      </w:tr>
      <w:tr w:rsidR="007146F2" w:rsidRPr="005516CD" w14:paraId="40E9BF80" w14:textId="77777777" w:rsidTr="002B75A1">
        <w:tc>
          <w:tcPr>
            <w:tcW w:w="2830" w:type="dxa"/>
          </w:tcPr>
          <w:p w14:paraId="3ACD1CB8"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 xml:space="preserve">Country:  </w:t>
            </w:r>
            <w:r w:rsidR="00311594" w:rsidRPr="005516CD">
              <w:rPr>
                <w:lang w:val="en-US"/>
              </w:rPr>
              <w:t>Haiti</w:t>
            </w:r>
          </w:p>
        </w:tc>
        <w:tc>
          <w:tcPr>
            <w:tcW w:w="3176" w:type="dxa"/>
            <w:gridSpan w:val="2"/>
          </w:tcPr>
          <w:p w14:paraId="69D3A21F"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 xml:space="preserve">Implementing Partner:  </w:t>
            </w:r>
            <w:r w:rsidRPr="005516CD">
              <w:rPr>
                <w:lang w:val="en-US"/>
              </w:rPr>
              <w:t xml:space="preserve">Ministry of Environment </w:t>
            </w:r>
          </w:p>
        </w:tc>
        <w:tc>
          <w:tcPr>
            <w:tcW w:w="3004" w:type="dxa"/>
          </w:tcPr>
          <w:p w14:paraId="76FF72F3" w14:textId="1C17A648"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lang w:val="fr-FR"/>
              </w:rPr>
            </w:pPr>
            <w:r w:rsidRPr="005516CD">
              <w:rPr>
                <w:b/>
                <w:bCs/>
                <w:lang w:val="fr-FR"/>
              </w:rPr>
              <w:t xml:space="preserve">Management </w:t>
            </w:r>
            <w:r w:rsidR="00F211C3" w:rsidRPr="005516CD">
              <w:rPr>
                <w:b/>
                <w:bCs/>
                <w:lang w:val="fr-FR"/>
              </w:rPr>
              <w:t>Arrangements :</w:t>
            </w:r>
            <w:r w:rsidRPr="005516CD">
              <w:rPr>
                <w:b/>
                <w:bCs/>
                <w:lang w:val="fr-FR"/>
              </w:rPr>
              <w:t xml:space="preserve"> </w:t>
            </w:r>
            <w:r w:rsidRPr="005516CD">
              <w:rPr>
                <w:lang w:val="fr-FR"/>
              </w:rPr>
              <w:t xml:space="preserve">National </w:t>
            </w:r>
            <w:proofErr w:type="spellStart"/>
            <w:r w:rsidRPr="005516CD">
              <w:rPr>
                <w:lang w:val="fr-FR"/>
              </w:rPr>
              <w:t>Implementation</w:t>
            </w:r>
            <w:proofErr w:type="spellEnd"/>
            <w:r w:rsidRPr="005516CD">
              <w:rPr>
                <w:lang w:val="fr-FR"/>
              </w:rPr>
              <w:t xml:space="preserve"> </w:t>
            </w:r>
            <w:proofErr w:type="spellStart"/>
            <w:r w:rsidRPr="005516CD">
              <w:rPr>
                <w:lang w:val="fr-FR"/>
              </w:rPr>
              <w:t>Modality</w:t>
            </w:r>
            <w:proofErr w:type="spellEnd"/>
            <w:r w:rsidRPr="005516CD">
              <w:rPr>
                <w:lang w:val="fr-FR"/>
              </w:rPr>
              <w:t xml:space="preserve"> (NIM)</w:t>
            </w:r>
            <w:r w:rsidRPr="005516CD">
              <w:rPr>
                <w:i/>
                <w:iCs/>
                <w:lang w:val="fr-FR"/>
              </w:rPr>
              <w:t xml:space="preserve"> </w:t>
            </w:r>
          </w:p>
        </w:tc>
      </w:tr>
      <w:tr w:rsidR="007146F2" w:rsidRPr="005516CD" w14:paraId="00EE2B1F" w14:textId="77777777" w:rsidTr="007146F2">
        <w:tc>
          <w:tcPr>
            <w:tcW w:w="9010" w:type="dxa"/>
            <w:gridSpan w:val="4"/>
          </w:tcPr>
          <w:p w14:paraId="626468A4" w14:textId="77777777" w:rsidR="00DF32DA"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bookmarkStart w:id="2" w:name="_Hlk534199139"/>
            <w:r w:rsidRPr="005516CD">
              <w:rPr>
                <w:b/>
                <w:bCs/>
                <w:lang w:val="en-US"/>
              </w:rPr>
              <w:t>UNDAF/Country Programme Outcome</w:t>
            </w:r>
            <w:r w:rsidRPr="005516CD">
              <w:rPr>
                <w:b/>
                <w:i/>
                <w:iCs/>
                <w:lang w:val="en-US"/>
              </w:rPr>
              <w:t>:</w:t>
            </w:r>
            <w:r w:rsidR="00C06B57" w:rsidRPr="005516CD">
              <w:rPr>
                <w:rStyle w:val="Hyperlink60"/>
                <w:b/>
                <w:bCs/>
              </w:rPr>
              <w:t xml:space="preserve"> </w:t>
            </w:r>
          </w:p>
          <w:p w14:paraId="410F3EEF" w14:textId="77777777" w:rsidR="007146F2" w:rsidRPr="005516CD" w:rsidRDefault="00DF32DA"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Cs/>
                <w:i/>
                <w:iCs/>
              </w:rPr>
            </w:pPr>
            <w:r w:rsidRPr="005516CD">
              <w:rPr>
                <w:rStyle w:val="Hyperlink60"/>
                <w:bCs/>
              </w:rPr>
              <w:t>National, regional and local institutions and civil society improve the management of rural and urban areas, agriculture and the environment, and mechanisms for preventing and reducing risks in order to improve the resilience of the population to natural disasters and to climate change.</w:t>
            </w:r>
          </w:p>
        </w:tc>
      </w:tr>
      <w:tr w:rsidR="007146F2" w:rsidRPr="005516CD" w14:paraId="6C90BB61" w14:textId="77777777" w:rsidTr="007146F2">
        <w:tc>
          <w:tcPr>
            <w:tcW w:w="9010" w:type="dxa"/>
            <w:gridSpan w:val="4"/>
          </w:tcPr>
          <w:p w14:paraId="4BF90500" w14:textId="77777777" w:rsidR="00DF32DA" w:rsidRPr="005516CD" w:rsidRDefault="00DF32DA"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lang w:val="en-US"/>
              </w:rPr>
            </w:pPr>
            <w:r w:rsidRPr="005516CD">
              <w:rPr>
                <w:b/>
                <w:bCs/>
                <w:lang w:val="en-US"/>
              </w:rPr>
              <w:t xml:space="preserve">UNDP Strategic Plan 2018-2021 </w:t>
            </w:r>
          </w:p>
          <w:p w14:paraId="2B41A872" w14:textId="77777777" w:rsidR="004A220D" w:rsidRPr="005516CD" w:rsidRDefault="00DF32DA" w:rsidP="00FB582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jc w:val="left"/>
              <w:rPr>
                <w:bCs/>
                <w:lang w:val="en-US"/>
              </w:rPr>
            </w:pPr>
            <w:r w:rsidRPr="005516CD">
              <w:rPr>
                <w:bCs/>
                <w:lang w:val="en-US"/>
              </w:rPr>
              <w:t>Development Setting B: Accelerating structural transformations for Sustainable Development. Signature solution 4: Promote nature - based solutions for a sustainable planet</w:t>
            </w:r>
          </w:p>
          <w:p w14:paraId="10E7DB62" w14:textId="77777777" w:rsidR="00C80F86" w:rsidRPr="005516CD" w:rsidRDefault="00C80F86" w:rsidP="00C80F86">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bCs/>
                <w:i/>
                <w:iCs/>
              </w:rPr>
            </w:pPr>
            <w:r w:rsidRPr="005516CD">
              <w:rPr>
                <w:rFonts w:asciiTheme="majorHAnsi" w:hAnsiTheme="majorHAnsi" w:cstheme="majorHAnsi"/>
                <w:b/>
                <w:bCs/>
                <w:iCs/>
              </w:rPr>
              <w:t>Strategic Plan IRRF Outputs:</w:t>
            </w:r>
            <w:r w:rsidRPr="005516CD">
              <w:rPr>
                <w:rFonts w:asciiTheme="majorHAnsi" w:hAnsiTheme="majorHAnsi" w:cstheme="majorHAnsi"/>
                <w:bCs/>
                <w:i/>
                <w:iCs/>
              </w:rPr>
              <w:t xml:space="preserve"> </w:t>
            </w:r>
          </w:p>
          <w:p w14:paraId="29D7FA65" w14:textId="77777777" w:rsidR="00C80F86" w:rsidRPr="005516CD" w:rsidRDefault="00C80F86" w:rsidP="00FB582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120"/>
              <w:jc w:val="left"/>
              <w:rPr>
                <w:rFonts w:asciiTheme="majorHAnsi" w:hAnsiTheme="majorHAnsi" w:cstheme="majorHAnsi"/>
                <w:b/>
                <w:color w:val="000000" w:themeColor="text1"/>
              </w:rPr>
            </w:pPr>
            <w:r w:rsidRPr="005516CD">
              <w:rPr>
                <w:rFonts w:asciiTheme="majorHAnsi" w:hAnsiTheme="majorHAnsi" w:cstheme="majorHAnsi"/>
                <w:color w:val="000000" w:themeColor="text1"/>
              </w:rPr>
              <w:t>1.4.1  Solutions scaled up for sustainable management of natural resources, including sustainable commodities and green and inclusive value chains</w:t>
            </w:r>
          </w:p>
          <w:p w14:paraId="5DADCC95" w14:textId="77777777" w:rsidR="00C80F86" w:rsidRPr="005516CD" w:rsidRDefault="00C80F86" w:rsidP="00C80F86">
            <w:pPr>
              <w:rPr>
                <w:rFonts w:asciiTheme="majorHAnsi" w:hAnsiTheme="majorHAnsi" w:cstheme="majorHAnsi"/>
                <w:color w:val="000000" w:themeColor="text1"/>
                <w:sz w:val="20"/>
                <w:szCs w:val="20"/>
              </w:rPr>
            </w:pPr>
            <w:bookmarkStart w:id="3" w:name="_Hlk7407289"/>
            <w:r w:rsidRPr="005516CD">
              <w:rPr>
                <w:rFonts w:asciiTheme="majorHAnsi" w:hAnsiTheme="majorHAnsi" w:cstheme="majorHAnsi"/>
                <w:b/>
                <w:color w:val="000000" w:themeColor="text1"/>
                <w:sz w:val="20"/>
                <w:szCs w:val="20"/>
              </w:rPr>
              <w:t>Output Indicators:</w:t>
            </w:r>
            <w:r w:rsidRPr="005516CD">
              <w:rPr>
                <w:rFonts w:asciiTheme="majorHAnsi" w:hAnsiTheme="majorHAnsi" w:cstheme="majorHAnsi"/>
                <w:color w:val="000000" w:themeColor="text1"/>
                <w:sz w:val="20"/>
                <w:szCs w:val="20"/>
              </w:rPr>
              <w:t xml:space="preserve"> 1.4.1.2 Natural resources that are managed under a sustainable use, conservation, access and benefit-sharing regime:</w:t>
            </w:r>
          </w:p>
          <w:p w14:paraId="6F8E4C70" w14:textId="77777777" w:rsidR="00C80F86" w:rsidRPr="005516CD" w:rsidRDefault="00C80F86" w:rsidP="00C80F86">
            <w:pPr>
              <w:pStyle w:val="ListParagraph"/>
              <w:numPr>
                <w:ilvl w:val="0"/>
                <w:numId w:val="156"/>
              </w:numPr>
              <w:pBdr>
                <w:top w:val="none" w:sz="0" w:space="0" w:color="auto"/>
                <w:left w:val="none" w:sz="0" w:space="0" w:color="auto"/>
                <w:bottom w:val="none" w:sz="0" w:space="0" w:color="auto"/>
                <w:right w:val="none" w:sz="0" w:space="0" w:color="auto"/>
                <w:between w:val="none" w:sz="0" w:space="0" w:color="auto"/>
                <w:bar w:val="none" w:sz="0" w:color="auto"/>
              </w:pBdr>
              <w:ind w:left="342" w:hanging="270"/>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Area of land and marine habitat under protection (hectares)</w:t>
            </w:r>
          </w:p>
          <w:p w14:paraId="41175C80" w14:textId="77777777" w:rsidR="00C80F86" w:rsidRPr="005516CD" w:rsidRDefault="00C80F86" w:rsidP="00FB5829">
            <w:pPr>
              <w:pStyle w:val="ListParagraph"/>
              <w:numPr>
                <w:ilvl w:val="0"/>
                <w:numId w:val="162"/>
              </w:numPr>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Area under sustainable forest management (hectares)</w:t>
            </w:r>
          </w:p>
          <w:p w14:paraId="38445F0F" w14:textId="77777777" w:rsidR="00C80F86" w:rsidRPr="005516CD" w:rsidRDefault="00C80F86" w:rsidP="00FB5829">
            <w:pPr>
              <w:pStyle w:val="ListParagraph"/>
              <w:numPr>
                <w:ilvl w:val="0"/>
                <w:numId w:val="162"/>
              </w:numPr>
              <w:pBdr>
                <w:top w:val="none" w:sz="0" w:space="0" w:color="auto"/>
                <w:left w:val="none" w:sz="0" w:space="0" w:color="auto"/>
                <w:bottom w:val="none" w:sz="0" w:space="0" w:color="auto"/>
                <w:right w:val="none" w:sz="0" w:space="0" w:color="auto"/>
                <w:between w:val="none" w:sz="0" w:space="0" w:color="auto"/>
                <w:bar w:val="none" w:sz="0" w:color="auto"/>
              </w:pBdr>
              <w:ind w:left="342" w:hanging="270"/>
              <w:rPr>
                <w:rFonts w:asciiTheme="majorHAnsi" w:hAnsiTheme="majorHAnsi" w:cstheme="majorHAnsi"/>
                <w:color w:val="000000" w:themeColor="text1"/>
              </w:rPr>
            </w:pPr>
            <w:r w:rsidRPr="005516CD">
              <w:rPr>
                <w:rFonts w:asciiTheme="majorHAnsi" w:hAnsiTheme="majorHAnsi" w:cstheme="majorHAnsi"/>
                <w:color w:val="000000" w:themeColor="text1"/>
                <w:sz w:val="20"/>
                <w:szCs w:val="20"/>
              </w:rPr>
              <w:t>Area of land under sustainable land management regime (hectares)</w:t>
            </w:r>
            <w:bookmarkEnd w:id="3"/>
          </w:p>
          <w:p w14:paraId="31FFA402" w14:textId="77777777" w:rsidR="00C80F86" w:rsidRPr="005516CD" w:rsidRDefault="00C80F86" w:rsidP="00FB5829">
            <w:pPr>
              <w:pStyle w:val="Body"/>
              <w:pBdr>
                <w:top w:val="none" w:sz="0" w:space="0" w:color="auto"/>
                <w:left w:val="none" w:sz="0" w:space="0" w:color="auto"/>
                <w:bottom w:val="none" w:sz="0" w:space="0" w:color="auto"/>
                <w:right w:val="none" w:sz="0" w:space="0" w:color="auto"/>
                <w:between w:val="none" w:sz="0" w:space="0" w:color="auto"/>
                <w:bar w:val="none" w:sz="0" w:color="auto"/>
              </w:pBdr>
              <w:spacing w:before="120" w:after="120"/>
              <w:jc w:val="left"/>
              <w:rPr>
                <w:rFonts w:asciiTheme="majorHAnsi" w:hAnsiTheme="majorHAnsi" w:cstheme="majorHAnsi"/>
                <w:color w:val="000000" w:themeColor="text1"/>
              </w:rPr>
            </w:pPr>
            <w:r w:rsidRPr="005516CD">
              <w:rPr>
                <w:rFonts w:asciiTheme="majorHAnsi" w:hAnsiTheme="majorHAnsi" w:cstheme="majorHAnsi"/>
                <w:color w:val="000000" w:themeColor="text1"/>
              </w:rPr>
              <w:t>2.4.1 Gender-responsive legal and regulatory frameworks, policies and institutions strengthened, and solutions adopted, to address conservation, sustainable use and equitable benefit sharing of natural resources</w:t>
            </w:r>
            <w:r w:rsidRPr="005516CD">
              <w:rPr>
                <w:rStyle w:val="FootnoteReference"/>
                <w:rFonts w:asciiTheme="majorHAnsi" w:hAnsiTheme="majorHAnsi" w:cstheme="majorHAnsi"/>
                <w:color w:val="000000" w:themeColor="text1"/>
              </w:rPr>
              <w:footnoteReference w:id="2"/>
            </w:r>
            <w:r w:rsidRPr="005516CD">
              <w:rPr>
                <w:rFonts w:asciiTheme="majorHAnsi" w:hAnsiTheme="majorHAnsi" w:cstheme="majorHAnsi"/>
                <w:color w:val="000000" w:themeColor="text1"/>
              </w:rPr>
              <w:t>, in line with international conventions and national legislation</w:t>
            </w:r>
          </w:p>
          <w:p w14:paraId="3743A73C" w14:textId="77777777" w:rsidR="00C80F86" w:rsidRPr="005516CD" w:rsidRDefault="00C80F86" w:rsidP="00C80F86">
            <w:pPr>
              <w:rPr>
                <w:rFonts w:asciiTheme="majorHAnsi" w:hAnsiTheme="majorHAnsi" w:cstheme="majorHAnsi"/>
                <w:color w:val="000000" w:themeColor="text1"/>
                <w:sz w:val="20"/>
                <w:szCs w:val="20"/>
              </w:rPr>
            </w:pPr>
            <w:r w:rsidRPr="005516CD">
              <w:rPr>
                <w:rFonts w:asciiTheme="majorHAnsi" w:hAnsiTheme="majorHAnsi" w:cstheme="majorHAnsi"/>
                <w:b/>
                <w:color w:val="000000" w:themeColor="text1"/>
                <w:sz w:val="20"/>
                <w:szCs w:val="20"/>
              </w:rPr>
              <w:t>Output Indicators:</w:t>
            </w:r>
            <w:r w:rsidRPr="005516CD">
              <w:rPr>
                <w:rFonts w:asciiTheme="majorHAnsi" w:hAnsiTheme="majorHAnsi" w:cstheme="majorHAnsi"/>
                <w:color w:val="000000" w:themeColor="text1"/>
                <w:sz w:val="20"/>
                <w:szCs w:val="20"/>
              </w:rPr>
              <w:t xml:space="preserve"> 2.4.1.1. Number of countries with gender-responsive measures in place for conservation, sustainable use, and equitable access to and benefit sharing of natural resources, biodiversity and ecosystems:</w:t>
            </w:r>
          </w:p>
          <w:p w14:paraId="39737FB7" w14:textId="77777777" w:rsidR="00C80F86" w:rsidRPr="005516CD" w:rsidRDefault="00C80F86" w:rsidP="00C80F86">
            <w:pPr>
              <w:pStyle w:val="ListParagraph"/>
              <w:numPr>
                <w:ilvl w:val="0"/>
                <w:numId w:val="157"/>
              </w:numPr>
              <w:pBdr>
                <w:top w:val="none" w:sz="0" w:space="0" w:color="auto"/>
                <w:left w:val="none" w:sz="0" w:space="0" w:color="auto"/>
                <w:bottom w:val="none" w:sz="0" w:space="0" w:color="auto"/>
                <w:right w:val="none" w:sz="0" w:space="0" w:color="auto"/>
                <w:between w:val="none" w:sz="0" w:space="0" w:color="auto"/>
                <w:bar w:val="none" w:sz="0" w:color="auto"/>
              </w:pBdr>
              <w:ind w:left="426" w:hanging="270"/>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Policy frameworks</w:t>
            </w:r>
          </w:p>
          <w:p w14:paraId="1EF75DEF" w14:textId="77777777" w:rsidR="00C80F86" w:rsidRPr="005516CD" w:rsidRDefault="00C80F86" w:rsidP="00C80F86">
            <w:pPr>
              <w:pStyle w:val="ListParagraph"/>
              <w:numPr>
                <w:ilvl w:val="0"/>
                <w:numId w:val="157"/>
              </w:numPr>
              <w:pBdr>
                <w:top w:val="none" w:sz="0" w:space="0" w:color="auto"/>
                <w:left w:val="none" w:sz="0" w:space="0" w:color="auto"/>
                <w:bottom w:val="none" w:sz="0" w:space="0" w:color="auto"/>
                <w:right w:val="none" w:sz="0" w:space="0" w:color="auto"/>
                <w:between w:val="none" w:sz="0" w:space="0" w:color="auto"/>
                <w:bar w:val="none" w:sz="0" w:color="auto"/>
              </w:pBdr>
              <w:ind w:left="426" w:hanging="270"/>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Legal and regulatory frameworks</w:t>
            </w:r>
          </w:p>
          <w:p w14:paraId="12DB541F" w14:textId="77777777" w:rsidR="00C80F86" w:rsidRPr="005516CD" w:rsidRDefault="00C80F86" w:rsidP="00C80F86">
            <w:pPr>
              <w:pStyle w:val="ListParagraph"/>
              <w:numPr>
                <w:ilvl w:val="0"/>
                <w:numId w:val="157"/>
              </w:numPr>
              <w:pBdr>
                <w:top w:val="none" w:sz="0" w:space="0" w:color="auto"/>
                <w:left w:val="none" w:sz="0" w:space="0" w:color="auto"/>
                <w:bottom w:val="none" w:sz="0" w:space="0" w:color="auto"/>
                <w:right w:val="none" w:sz="0" w:space="0" w:color="auto"/>
                <w:between w:val="none" w:sz="0" w:space="0" w:color="auto"/>
                <w:bar w:val="none" w:sz="0" w:color="auto"/>
              </w:pBdr>
              <w:ind w:left="426" w:hanging="270"/>
              <w:rPr>
                <w:rFonts w:asciiTheme="majorHAnsi" w:hAnsiTheme="majorHAnsi" w:cstheme="majorHAnsi"/>
                <w:color w:val="000000" w:themeColor="text1"/>
              </w:rPr>
            </w:pPr>
            <w:r w:rsidRPr="005516CD">
              <w:rPr>
                <w:rFonts w:asciiTheme="majorHAnsi" w:hAnsiTheme="majorHAnsi" w:cstheme="majorHAnsi"/>
                <w:color w:val="000000" w:themeColor="text1"/>
                <w:sz w:val="20"/>
                <w:szCs w:val="20"/>
              </w:rPr>
              <w:t>Institutional frameworks</w:t>
            </w:r>
          </w:p>
          <w:p w14:paraId="0336E8E1" w14:textId="77777777" w:rsidR="00C80F86" w:rsidRPr="005516CD" w:rsidRDefault="00C80F86" w:rsidP="00FB5829">
            <w:pPr>
              <w:pStyle w:val="ListParagraph"/>
              <w:numPr>
                <w:ilvl w:val="0"/>
                <w:numId w:val="157"/>
              </w:numPr>
              <w:pBdr>
                <w:top w:val="none" w:sz="0" w:space="0" w:color="auto"/>
                <w:left w:val="none" w:sz="0" w:space="0" w:color="auto"/>
                <w:bottom w:val="none" w:sz="0" w:space="0" w:color="auto"/>
                <w:right w:val="none" w:sz="0" w:space="0" w:color="auto"/>
                <w:between w:val="none" w:sz="0" w:space="0" w:color="auto"/>
                <w:bar w:val="none" w:sz="0" w:color="auto"/>
              </w:pBdr>
              <w:ind w:left="426" w:hanging="270"/>
              <w:rPr>
                <w:bCs/>
                <w:i/>
                <w:iCs/>
              </w:rPr>
            </w:pPr>
            <w:r w:rsidRPr="005516CD">
              <w:rPr>
                <w:rFonts w:asciiTheme="majorHAnsi" w:hAnsiTheme="majorHAnsi" w:cstheme="majorHAnsi"/>
                <w:color w:val="000000" w:themeColor="text1"/>
                <w:sz w:val="20"/>
                <w:szCs w:val="20"/>
              </w:rPr>
              <w:t>Financing frameworks</w:t>
            </w:r>
          </w:p>
        </w:tc>
      </w:tr>
      <w:bookmarkEnd w:id="2"/>
      <w:tr w:rsidR="007146F2" w:rsidRPr="005516CD" w14:paraId="36495213" w14:textId="77777777" w:rsidTr="00633C2B">
        <w:trPr>
          <w:trHeight w:val="315"/>
        </w:trPr>
        <w:tc>
          <w:tcPr>
            <w:tcW w:w="4505" w:type="dxa"/>
            <w:gridSpan w:val="2"/>
          </w:tcPr>
          <w:p w14:paraId="07716890"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 xml:space="preserve">UNDP Social and Environmental Screening Category: </w:t>
            </w:r>
            <w:r w:rsidR="00DF32DA" w:rsidRPr="005516CD">
              <w:rPr>
                <w:bCs/>
                <w:lang w:val="en-US"/>
              </w:rPr>
              <w:t>Moderate</w:t>
            </w:r>
          </w:p>
        </w:tc>
        <w:tc>
          <w:tcPr>
            <w:tcW w:w="4505" w:type="dxa"/>
            <w:gridSpan w:val="2"/>
          </w:tcPr>
          <w:p w14:paraId="24C50B25"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lang w:val="fr-FR"/>
              </w:rPr>
            </w:pPr>
            <w:r w:rsidRPr="005516CD">
              <w:rPr>
                <w:b/>
                <w:bCs/>
                <w:lang w:val="en-US"/>
              </w:rPr>
              <w:t xml:space="preserve">UNDP Gender Marker: </w:t>
            </w:r>
            <w:r w:rsidR="00DA42AC" w:rsidRPr="005516CD">
              <w:rPr>
                <w:b/>
                <w:bCs/>
                <w:lang w:val="en-US"/>
              </w:rPr>
              <w:t>2</w:t>
            </w:r>
          </w:p>
        </w:tc>
      </w:tr>
      <w:tr w:rsidR="007146F2" w:rsidRPr="005516CD" w14:paraId="21DC4FBC" w14:textId="77777777" w:rsidTr="00633C2B">
        <w:trPr>
          <w:trHeight w:val="315"/>
        </w:trPr>
        <w:tc>
          <w:tcPr>
            <w:tcW w:w="4505" w:type="dxa"/>
            <w:gridSpan w:val="2"/>
          </w:tcPr>
          <w:p w14:paraId="35DE6F41"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color w:val="auto"/>
              </w:rPr>
            </w:pPr>
            <w:r w:rsidRPr="005516CD">
              <w:rPr>
                <w:b/>
                <w:bCs/>
                <w:color w:val="auto"/>
                <w:lang w:val="en-US"/>
              </w:rPr>
              <w:t xml:space="preserve">Atlas Project ID/Award ID number:  </w:t>
            </w:r>
            <w:r w:rsidR="00BF2D86" w:rsidRPr="005516CD">
              <w:rPr>
                <w:b/>
                <w:bCs/>
                <w:color w:val="auto"/>
                <w:lang w:val="en-US"/>
              </w:rPr>
              <w:t>00118747</w:t>
            </w:r>
          </w:p>
        </w:tc>
        <w:tc>
          <w:tcPr>
            <w:tcW w:w="4505" w:type="dxa"/>
            <w:gridSpan w:val="2"/>
          </w:tcPr>
          <w:p w14:paraId="315EEDFA"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color w:val="auto"/>
              </w:rPr>
            </w:pPr>
            <w:r w:rsidRPr="005516CD">
              <w:rPr>
                <w:b/>
                <w:bCs/>
                <w:color w:val="auto"/>
                <w:lang w:val="en-US"/>
              </w:rPr>
              <w:t xml:space="preserve">Atlas Output ID/Project ID number:  </w:t>
            </w:r>
            <w:r w:rsidR="00BF2D86" w:rsidRPr="005516CD">
              <w:rPr>
                <w:b/>
                <w:bCs/>
                <w:color w:val="auto"/>
                <w:lang w:val="en-US"/>
              </w:rPr>
              <w:t>00115449</w:t>
            </w:r>
          </w:p>
        </w:tc>
      </w:tr>
      <w:tr w:rsidR="007146F2" w:rsidRPr="005516CD" w14:paraId="3F2DEDBE" w14:textId="77777777" w:rsidTr="00633C2B">
        <w:trPr>
          <w:trHeight w:val="315"/>
        </w:trPr>
        <w:tc>
          <w:tcPr>
            <w:tcW w:w="4505" w:type="dxa"/>
            <w:gridSpan w:val="2"/>
          </w:tcPr>
          <w:p w14:paraId="1BEBB6D1" w14:textId="77777777" w:rsidR="007146F2" w:rsidRPr="005516CD" w:rsidRDefault="007146F2" w:rsidP="007B146B">
            <w:pPr>
              <w:rPr>
                <w:rFonts w:asciiTheme="majorHAnsi" w:hAnsiTheme="majorHAnsi" w:cstheme="majorHAnsi"/>
                <w:color w:val="000000"/>
                <w:sz w:val="20"/>
                <w:szCs w:val="20"/>
              </w:rPr>
            </w:pPr>
            <w:r w:rsidRPr="005516CD">
              <w:rPr>
                <w:rFonts w:asciiTheme="majorHAnsi" w:hAnsiTheme="majorHAnsi" w:cstheme="majorHAnsi"/>
                <w:b/>
                <w:bCs/>
                <w:sz w:val="20"/>
                <w:szCs w:val="20"/>
                <w:lang w:val="en-US"/>
              </w:rPr>
              <w:t xml:space="preserve">UNDP-GEF PIMS ID number:  </w:t>
            </w:r>
            <w:r w:rsidR="00311594" w:rsidRPr="005516CD">
              <w:rPr>
                <w:rFonts w:asciiTheme="majorHAnsi" w:hAnsiTheme="majorHAnsi" w:cstheme="majorHAnsi"/>
                <w:color w:val="000000"/>
                <w:sz w:val="20"/>
                <w:szCs w:val="20"/>
              </w:rPr>
              <w:t>5765</w:t>
            </w:r>
          </w:p>
        </w:tc>
        <w:tc>
          <w:tcPr>
            <w:tcW w:w="4505" w:type="dxa"/>
            <w:gridSpan w:val="2"/>
          </w:tcPr>
          <w:p w14:paraId="3CD12965"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b/>
                <w:bCs/>
                <w:i/>
                <w:iCs/>
                <w:color w:val="auto"/>
                <w:lang w:val="fr-FR"/>
              </w:rPr>
            </w:pPr>
            <w:r w:rsidRPr="005516CD">
              <w:rPr>
                <w:rFonts w:asciiTheme="majorHAnsi" w:hAnsiTheme="majorHAnsi" w:cstheme="majorHAnsi"/>
                <w:b/>
                <w:bCs/>
                <w:color w:val="auto"/>
                <w:lang w:val="en-US"/>
              </w:rPr>
              <w:t>GEF ID number:</w:t>
            </w:r>
            <w:r w:rsidR="00302C05" w:rsidRPr="005516CD">
              <w:rPr>
                <w:rFonts w:asciiTheme="majorHAnsi" w:hAnsiTheme="majorHAnsi" w:cstheme="majorHAnsi"/>
                <w:b/>
                <w:bCs/>
                <w:color w:val="auto"/>
                <w:lang w:val="en-US"/>
              </w:rPr>
              <w:t xml:space="preserve"> </w:t>
            </w:r>
            <w:r w:rsidR="00311594" w:rsidRPr="005516CD">
              <w:rPr>
                <w:rFonts w:asciiTheme="majorHAnsi" w:hAnsiTheme="majorHAnsi" w:cstheme="majorHAnsi"/>
                <w:bCs/>
                <w:color w:val="auto"/>
                <w:lang w:val="en-US"/>
              </w:rPr>
              <w:t>9777</w:t>
            </w:r>
          </w:p>
        </w:tc>
      </w:tr>
      <w:tr w:rsidR="007146F2" w:rsidRPr="005516CD" w14:paraId="46F3F44F" w14:textId="77777777" w:rsidTr="00633C2B">
        <w:trPr>
          <w:trHeight w:val="315"/>
        </w:trPr>
        <w:tc>
          <w:tcPr>
            <w:tcW w:w="4505" w:type="dxa"/>
            <w:gridSpan w:val="2"/>
          </w:tcPr>
          <w:p w14:paraId="60067AFF" w14:textId="47760C5B"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color w:val="auto"/>
                <w:lang w:val="fr-FR"/>
              </w:rPr>
            </w:pPr>
            <w:r w:rsidRPr="005516CD">
              <w:rPr>
                <w:b/>
                <w:bCs/>
                <w:color w:val="auto"/>
                <w:lang w:val="en-US"/>
              </w:rPr>
              <w:t xml:space="preserve">Planned start date: </w:t>
            </w:r>
            <w:r w:rsidR="00F211C3">
              <w:rPr>
                <w:bCs/>
                <w:color w:val="auto"/>
                <w:lang w:val="en-US"/>
              </w:rPr>
              <w:t>March</w:t>
            </w:r>
            <w:r w:rsidR="00082591" w:rsidRPr="005516CD">
              <w:rPr>
                <w:bCs/>
                <w:color w:val="auto"/>
                <w:lang w:val="en-US"/>
              </w:rPr>
              <w:t>, 20</w:t>
            </w:r>
            <w:r w:rsidR="00F211C3">
              <w:rPr>
                <w:bCs/>
                <w:color w:val="auto"/>
                <w:lang w:val="en-US"/>
              </w:rPr>
              <w:t>20</w:t>
            </w:r>
          </w:p>
        </w:tc>
        <w:tc>
          <w:tcPr>
            <w:tcW w:w="4505" w:type="dxa"/>
            <w:gridSpan w:val="2"/>
          </w:tcPr>
          <w:p w14:paraId="73A974D5" w14:textId="20A1A768"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color w:val="auto"/>
                <w:lang w:val="fr-FR"/>
              </w:rPr>
            </w:pPr>
            <w:r w:rsidRPr="005516CD">
              <w:rPr>
                <w:b/>
                <w:bCs/>
                <w:color w:val="auto"/>
                <w:lang w:val="en-US"/>
              </w:rPr>
              <w:t xml:space="preserve">Planned end date:  </w:t>
            </w:r>
            <w:r w:rsidR="00F211C3">
              <w:rPr>
                <w:bCs/>
                <w:color w:val="auto"/>
                <w:lang w:val="en-US"/>
              </w:rPr>
              <w:t>February</w:t>
            </w:r>
            <w:r w:rsidR="00082591" w:rsidRPr="005516CD">
              <w:rPr>
                <w:bCs/>
                <w:color w:val="auto"/>
                <w:lang w:val="en-US"/>
              </w:rPr>
              <w:t>, 202</w:t>
            </w:r>
            <w:r w:rsidR="00F211C3">
              <w:rPr>
                <w:bCs/>
                <w:color w:val="auto"/>
                <w:lang w:val="en-US"/>
              </w:rPr>
              <w:t>5</w:t>
            </w:r>
          </w:p>
        </w:tc>
      </w:tr>
      <w:tr w:rsidR="006643E2" w:rsidRPr="005516CD" w14:paraId="78051987" w14:textId="77777777" w:rsidTr="007146F2">
        <w:tc>
          <w:tcPr>
            <w:tcW w:w="9010" w:type="dxa"/>
            <w:gridSpan w:val="4"/>
          </w:tcPr>
          <w:p w14:paraId="17F047F4"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color w:val="auto"/>
                <w:lang w:val="fr-FR"/>
              </w:rPr>
            </w:pPr>
            <w:r w:rsidRPr="005516CD">
              <w:rPr>
                <w:b/>
                <w:bCs/>
                <w:color w:val="auto"/>
                <w:lang w:val="en-US"/>
              </w:rPr>
              <w:t>LPAC date:</w:t>
            </w:r>
            <w:r w:rsidR="0076160A" w:rsidRPr="005516CD">
              <w:rPr>
                <w:b/>
                <w:bCs/>
                <w:color w:val="auto"/>
                <w:lang w:val="en-US"/>
              </w:rPr>
              <w:t xml:space="preserve">  </w:t>
            </w:r>
          </w:p>
        </w:tc>
      </w:tr>
      <w:tr w:rsidR="007146F2" w:rsidRPr="005516CD" w14:paraId="4A426351" w14:textId="77777777" w:rsidTr="007146F2">
        <w:tc>
          <w:tcPr>
            <w:tcW w:w="9010" w:type="dxa"/>
            <w:gridSpan w:val="4"/>
          </w:tcPr>
          <w:p w14:paraId="76B15197" w14:textId="77777777" w:rsidR="00AF2B6A"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Cs/>
                <w:lang w:val="en-US"/>
              </w:rPr>
            </w:pPr>
            <w:r w:rsidRPr="005516CD">
              <w:rPr>
                <w:b/>
                <w:bCs/>
                <w:lang w:val="en-US"/>
              </w:rPr>
              <w:t>Brief project description:</w:t>
            </w:r>
            <w:r w:rsidR="002B75A1" w:rsidRPr="005516CD">
              <w:rPr>
                <w:b/>
                <w:bCs/>
                <w:lang w:val="en-US"/>
              </w:rPr>
              <w:t xml:space="preserve"> </w:t>
            </w:r>
          </w:p>
          <w:p w14:paraId="0B94104F" w14:textId="77777777" w:rsidR="000365CD" w:rsidRPr="005516CD" w:rsidRDefault="00BB7CD6" w:rsidP="003D4B5C">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Cs/>
                <w:lang w:val="en-US"/>
              </w:rPr>
            </w:pPr>
            <w:r w:rsidRPr="005516CD">
              <w:rPr>
                <w:bCs/>
                <w:lang w:val="en-US"/>
              </w:rPr>
              <w:lastRenderedPageBreak/>
              <w:t xml:space="preserve">This project will generate major biodiversity benefits, as well as </w:t>
            </w:r>
            <w:r w:rsidR="003D4B5C" w:rsidRPr="005516CD">
              <w:rPr>
                <w:bCs/>
                <w:lang w:val="en-US"/>
              </w:rPr>
              <w:t>sustainable land management</w:t>
            </w:r>
            <w:r w:rsidRPr="005516CD">
              <w:rPr>
                <w:bCs/>
                <w:lang w:val="en-US"/>
              </w:rPr>
              <w:t xml:space="preserve"> benefits and collateral gender-sensitive socioeconomic/livelihood benefits by enhancing conditions and capacities among farmers in the north of Haiti to manage BD-friendly, sustainable and economically viable tree-based production systems (diversified cacao, coffee and home gardens). </w:t>
            </w:r>
          </w:p>
        </w:tc>
      </w:tr>
      <w:tr w:rsidR="007146F2" w:rsidRPr="005516CD" w14:paraId="56A209DE" w14:textId="77777777" w:rsidTr="007146F2">
        <w:tc>
          <w:tcPr>
            <w:tcW w:w="9010" w:type="dxa"/>
            <w:gridSpan w:val="4"/>
          </w:tcPr>
          <w:p w14:paraId="6FE8F23D"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lang w:val="fr-FR"/>
              </w:rPr>
            </w:pPr>
            <w:r w:rsidRPr="005516CD">
              <w:rPr>
                <w:b/>
                <w:bCs/>
                <w:smallCaps/>
                <w:lang w:val="en-US"/>
              </w:rPr>
              <w:lastRenderedPageBreak/>
              <w:t>Financing Plan</w:t>
            </w:r>
          </w:p>
        </w:tc>
      </w:tr>
      <w:tr w:rsidR="007146F2" w:rsidRPr="005516CD" w14:paraId="7D9AC923" w14:textId="77777777" w:rsidTr="00A920C3">
        <w:trPr>
          <w:trHeight w:val="61"/>
        </w:trPr>
        <w:tc>
          <w:tcPr>
            <w:tcW w:w="4505" w:type="dxa"/>
            <w:gridSpan w:val="2"/>
          </w:tcPr>
          <w:p w14:paraId="21615F4B"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lang w:val="fr-FR"/>
              </w:rPr>
            </w:pPr>
            <w:r w:rsidRPr="005516CD">
              <w:rPr>
                <w:lang w:val="en-US"/>
              </w:rPr>
              <w:t xml:space="preserve">GEF Trust Fund </w:t>
            </w:r>
          </w:p>
        </w:tc>
        <w:tc>
          <w:tcPr>
            <w:tcW w:w="4505" w:type="dxa"/>
            <w:gridSpan w:val="2"/>
          </w:tcPr>
          <w:p w14:paraId="2F918B53"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lang w:val="fr-FR"/>
              </w:rPr>
            </w:pPr>
            <w:r w:rsidRPr="005516CD">
              <w:rPr>
                <w:lang w:val="en-US"/>
              </w:rPr>
              <w:t>USD</w:t>
            </w:r>
            <w:r w:rsidR="00A920C3" w:rsidRPr="005516CD">
              <w:rPr>
                <w:lang w:val="en-US"/>
              </w:rPr>
              <w:t xml:space="preserve"> </w:t>
            </w:r>
            <w:r w:rsidR="007A65DA" w:rsidRPr="005516CD">
              <w:rPr>
                <w:bCs/>
                <w:lang w:val="en-US"/>
              </w:rPr>
              <w:t>3,500,000</w:t>
            </w:r>
          </w:p>
        </w:tc>
      </w:tr>
      <w:tr w:rsidR="009163EB" w:rsidRPr="005516CD" w14:paraId="4F2C38F7" w14:textId="77777777" w:rsidTr="00A920C3">
        <w:trPr>
          <w:trHeight w:val="61"/>
        </w:trPr>
        <w:tc>
          <w:tcPr>
            <w:tcW w:w="4505" w:type="dxa"/>
            <w:gridSpan w:val="2"/>
          </w:tcPr>
          <w:p w14:paraId="362349B0" w14:textId="77777777" w:rsidR="009163EB" w:rsidRPr="005516CD" w:rsidRDefault="00E63B1C"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lang w:val="en-US"/>
              </w:rPr>
            </w:pPr>
            <w:r w:rsidRPr="005516CD">
              <w:rPr>
                <w:lang w:val="en-US"/>
              </w:rPr>
              <w:t xml:space="preserve">UNDP </w:t>
            </w:r>
            <w:r w:rsidR="009163EB" w:rsidRPr="005516CD">
              <w:rPr>
                <w:lang w:val="en-US"/>
              </w:rPr>
              <w:t xml:space="preserve">TRAC resources </w:t>
            </w:r>
          </w:p>
        </w:tc>
        <w:tc>
          <w:tcPr>
            <w:tcW w:w="4505" w:type="dxa"/>
            <w:gridSpan w:val="2"/>
          </w:tcPr>
          <w:p w14:paraId="02CEB617" w14:textId="77777777" w:rsidR="009163EB" w:rsidRPr="005516CD" w:rsidRDefault="009163EB"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lang w:val="en-US"/>
              </w:rPr>
            </w:pPr>
            <w:r w:rsidRPr="005516CD">
              <w:rPr>
                <w:lang w:val="en-US"/>
              </w:rPr>
              <w:t xml:space="preserve">USD </w:t>
            </w:r>
            <w:r w:rsidR="00E63B1C" w:rsidRPr="005516CD">
              <w:rPr>
                <w:lang w:val="en-US"/>
              </w:rPr>
              <w:t xml:space="preserve">   200,000</w:t>
            </w:r>
          </w:p>
        </w:tc>
      </w:tr>
      <w:tr w:rsidR="007146F2" w:rsidRPr="005516CD" w14:paraId="00D101BC" w14:textId="77777777" w:rsidTr="00A920C3">
        <w:trPr>
          <w:trHeight w:val="61"/>
        </w:trPr>
        <w:tc>
          <w:tcPr>
            <w:tcW w:w="4505" w:type="dxa"/>
            <w:gridSpan w:val="2"/>
          </w:tcPr>
          <w:p w14:paraId="6E9246CE" w14:textId="77777777" w:rsidR="007146F2" w:rsidRPr="005516CD" w:rsidRDefault="007146F2" w:rsidP="006F4D26">
            <w:pPr>
              <w:pStyle w:val="Body"/>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rPr>
              <w:t xml:space="preserve">Total Budget administered by UNDP </w:t>
            </w:r>
          </w:p>
        </w:tc>
        <w:tc>
          <w:tcPr>
            <w:tcW w:w="4505" w:type="dxa"/>
            <w:gridSpan w:val="2"/>
          </w:tcPr>
          <w:p w14:paraId="7CB32CF7"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lang w:val="fr-FR"/>
              </w:rPr>
            </w:pPr>
            <w:r w:rsidRPr="005516CD">
              <w:rPr>
                <w:b/>
                <w:bCs/>
                <w:lang w:val="en-US"/>
              </w:rPr>
              <w:t>USD</w:t>
            </w:r>
            <w:r w:rsidR="00A920C3" w:rsidRPr="005516CD">
              <w:rPr>
                <w:b/>
                <w:bCs/>
                <w:lang w:val="en-US"/>
              </w:rPr>
              <w:t xml:space="preserve"> </w:t>
            </w:r>
            <w:r w:rsidR="00BB7CD6" w:rsidRPr="005516CD">
              <w:rPr>
                <w:b/>
                <w:bCs/>
                <w:lang w:val="en-US"/>
              </w:rPr>
              <w:t>3,</w:t>
            </w:r>
            <w:r w:rsidR="00E63B1C" w:rsidRPr="005516CD">
              <w:rPr>
                <w:b/>
                <w:bCs/>
                <w:lang w:val="en-US"/>
              </w:rPr>
              <w:t>7</w:t>
            </w:r>
            <w:r w:rsidR="00BB7CD6" w:rsidRPr="005516CD">
              <w:rPr>
                <w:b/>
                <w:bCs/>
                <w:lang w:val="en-US"/>
              </w:rPr>
              <w:t>00,000</w:t>
            </w:r>
          </w:p>
        </w:tc>
      </w:tr>
      <w:tr w:rsidR="007146F2" w:rsidRPr="005516CD" w14:paraId="3BCEBFC6" w14:textId="77777777" w:rsidTr="007146F2">
        <w:tc>
          <w:tcPr>
            <w:tcW w:w="9010" w:type="dxa"/>
            <w:gridSpan w:val="4"/>
          </w:tcPr>
          <w:p w14:paraId="6D3C4277" w14:textId="77777777" w:rsidR="007146F2" w:rsidRPr="005516CD" w:rsidRDefault="007146F2"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smallCaps/>
                <w:lang w:val="en-US"/>
              </w:rPr>
              <w:t xml:space="preserve">Parallel co-financing </w:t>
            </w:r>
            <w:r w:rsidRPr="005516CD">
              <w:rPr>
                <w:smallCaps/>
                <w:lang w:val="en-US"/>
              </w:rPr>
              <w:t>(</w:t>
            </w:r>
            <w:r w:rsidRPr="005516CD">
              <w:rPr>
                <w:i/>
                <w:iCs/>
                <w:lang w:val="en-US"/>
              </w:rPr>
              <w:t>all other co-financing that is not cash co-financing administered by UNDP)</w:t>
            </w:r>
          </w:p>
        </w:tc>
      </w:tr>
      <w:tr w:rsidR="00387B00" w:rsidRPr="005516CD" w14:paraId="64D1398D" w14:textId="77777777" w:rsidTr="00FB5829">
        <w:trPr>
          <w:trHeight w:val="61"/>
        </w:trPr>
        <w:tc>
          <w:tcPr>
            <w:tcW w:w="4505" w:type="dxa"/>
            <w:gridSpan w:val="2"/>
          </w:tcPr>
          <w:p w14:paraId="059FED91" w14:textId="77777777" w:rsidR="00387B00" w:rsidRPr="005516CD" w:rsidRDefault="00387B00" w:rsidP="00387B00">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right"/>
              <w:rPr>
                <w:bCs/>
                <w:iCs/>
              </w:rPr>
            </w:pPr>
            <w:r w:rsidRPr="005516CD">
              <w:t>Interamerican Development Bank</w:t>
            </w:r>
          </w:p>
        </w:tc>
        <w:tc>
          <w:tcPr>
            <w:tcW w:w="4505" w:type="dxa"/>
            <w:gridSpan w:val="2"/>
            <w:vAlign w:val="center"/>
          </w:tcPr>
          <w:p w14:paraId="636996F6" w14:textId="77777777" w:rsidR="00387B00" w:rsidRPr="005516CD" w:rsidRDefault="00387B00" w:rsidP="00FB582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Cs/>
                <w:iCs/>
              </w:rPr>
            </w:pPr>
            <w:r w:rsidRPr="005516CD">
              <w:t xml:space="preserve">USD </w:t>
            </w:r>
            <w:r w:rsidR="00E322C9" w:rsidRPr="005516CD">
              <w:t>43,479,737</w:t>
            </w:r>
          </w:p>
        </w:tc>
      </w:tr>
      <w:tr w:rsidR="00387B00" w:rsidRPr="005516CD" w14:paraId="55CDD965" w14:textId="77777777" w:rsidTr="00FB5829">
        <w:trPr>
          <w:trHeight w:val="61"/>
        </w:trPr>
        <w:tc>
          <w:tcPr>
            <w:tcW w:w="4505" w:type="dxa"/>
            <w:gridSpan w:val="2"/>
          </w:tcPr>
          <w:p w14:paraId="4999BC6D" w14:textId="77777777" w:rsidR="00387B00" w:rsidRPr="005516CD" w:rsidRDefault="00387B00" w:rsidP="00387B00">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right"/>
              <w:rPr>
                <w:lang w:val="en-US"/>
              </w:rPr>
            </w:pPr>
            <w:r w:rsidRPr="005516CD">
              <w:t>United Nations Development Programme</w:t>
            </w:r>
          </w:p>
        </w:tc>
        <w:tc>
          <w:tcPr>
            <w:tcW w:w="4505" w:type="dxa"/>
            <w:gridSpan w:val="2"/>
            <w:vAlign w:val="center"/>
          </w:tcPr>
          <w:p w14:paraId="29DE7226" w14:textId="77777777" w:rsidR="00387B00" w:rsidRPr="005516CD" w:rsidRDefault="00387B00" w:rsidP="00FB582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lang w:val="en-US"/>
              </w:rPr>
            </w:pPr>
            <w:r w:rsidRPr="005516CD">
              <w:t>USD</w:t>
            </w:r>
            <w:r w:rsidR="00E63B1C" w:rsidRPr="005516CD">
              <w:t xml:space="preserve">  </w:t>
            </w:r>
            <w:r w:rsidRPr="005516CD">
              <w:t xml:space="preserve"> </w:t>
            </w:r>
            <w:r w:rsidR="007B1FF9" w:rsidRPr="005516CD">
              <w:t>2,206,252</w:t>
            </w:r>
          </w:p>
        </w:tc>
      </w:tr>
      <w:tr w:rsidR="00387B00" w:rsidRPr="005516CD" w14:paraId="42B8D361" w14:textId="77777777" w:rsidTr="00FB5829">
        <w:trPr>
          <w:trHeight w:val="61"/>
        </w:trPr>
        <w:tc>
          <w:tcPr>
            <w:tcW w:w="4505" w:type="dxa"/>
            <w:gridSpan w:val="2"/>
          </w:tcPr>
          <w:p w14:paraId="5519DD5E" w14:textId="77777777" w:rsidR="00387B00" w:rsidRPr="005516CD" w:rsidRDefault="00387B00" w:rsidP="00387B00">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right"/>
              <w:rPr>
                <w:lang w:val="en-US"/>
              </w:rPr>
            </w:pPr>
            <w:r w:rsidRPr="005516CD">
              <w:t>Food and Agriculture Organisation</w:t>
            </w:r>
          </w:p>
        </w:tc>
        <w:tc>
          <w:tcPr>
            <w:tcW w:w="4505" w:type="dxa"/>
            <w:gridSpan w:val="2"/>
            <w:vAlign w:val="center"/>
          </w:tcPr>
          <w:p w14:paraId="5C4E4BA5" w14:textId="77777777" w:rsidR="00387B00" w:rsidRPr="005516CD" w:rsidRDefault="000337E9" w:rsidP="00FB582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lang w:val="en-US"/>
              </w:rPr>
            </w:pPr>
            <w:r w:rsidRPr="005516CD">
              <w:t xml:space="preserve">USD </w:t>
            </w:r>
            <w:r w:rsidR="00E63B1C" w:rsidRPr="005516CD">
              <w:t xml:space="preserve">  </w:t>
            </w:r>
            <w:r w:rsidR="007B1FF9" w:rsidRPr="005516CD">
              <w:t>1,821,572</w:t>
            </w:r>
          </w:p>
        </w:tc>
      </w:tr>
      <w:tr w:rsidR="00A920C3" w:rsidRPr="005516CD" w14:paraId="3DB01B21" w14:textId="77777777" w:rsidTr="00EB5202">
        <w:trPr>
          <w:trHeight w:val="58"/>
        </w:trPr>
        <w:tc>
          <w:tcPr>
            <w:tcW w:w="4505" w:type="dxa"/>
            <w:gridSpan w:val="2"/>
          </w:tcPr>
          <w:p w14:paraId="4792134B" w14:textId="77777777" w:rsidR="00A920C3" w:rsidRPr="005516CD" w:rsidRDefault="00A920C3" w:rsidP="006F4D26">
            <w:pPr>
              <w:pStyle w:val="Body"/>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rPr>
              <w:t>Total co-financing</w:t>
            </w:r>
          </w:p>
        </w:tc>
        <w:tc>
          <w:tcPr>
            <w:tcW w:w="4505" w:type="dxa"/>
            <w:gridSpan w:val="2"/>
          </w:tcPr>
          <w:p w14:paraId="49FB0308" w14:textId="77777777" w:rsidR="00A920C3" w:rsidRPr="005516CD" w:rsidRDefault="000337E9" w:rsidP="00FB582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rPr>
                <w:b/>
                <w:bCs/>
                <w:iCs/>
              </w:rPr>
            </w:pPr>
            <w:r w:rsidRPr="005516CD">
              <w:rPr>
                <w:b/>
                <w:bCs/>
                <w:iCs/>
              </w:rPr>
              <w:t xml:space="preserve">USD </w:t>
            </w:r>
            <w:r w:rsidR="007B1FF9" w:rsidRPr="005516CD">
              <w:rPr>
                <w:b/>
                <w:bCs/>
                <w:iCs/>
              </w:rPr>
              <w:t>47,507,561</w:t>
            </w:r>
          </w:p>
        </w:tc>
      </w:tr>
      <w:tr w:rsidR="00A920C3" w:rsidRPr="005516CD" w14:paraId="15B01F04" w14:textId="77777777" w:rsidTr="00EB5202">
        <w:trPr>
          <w:trHeight w:val="58"/>
        </w:trPr>
        <w:tc>
          <w:tcPr>
            <w:tcW w:w="4505" w:type="dxa"/>
            <w:gridSpan w:val="2"/>
          </w:tcPr>
          <w:p w14:paraId="280D96EF" w14:textId="77777777" w:rsidR="00A920C3" w:rsidRPr="005516CD" w:rsidRDefault="00A920C3" w:rsidP="006F4D26">
            <w:pPr>
              <w:pStyle w:val="Body"/>
              <w:numPr>
                <w:ilvl w:val="0"/>
                <w:numId w:val="154"/>
              </w:numPr>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rPr>
              <w:t>Grand-Total Project Financing (1)+(2)</w:t>
            </w:r>
          </w:p>
        </w:tc>
        <w:tc>
          <w:tcPr>
            <w:tcW w:w="4505" w:type="dxa"/>
            <w:gridSpan w:val="2"/>
          </w:tcPr>
          <w:p w14:paraId="2C640F6A" w14:textId="77777777" w:rsidR="00A920C3" w:rsidRPr="005516CD" w:rsidRDefault="000337E9" w:rsidP="00FB582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Cs/>
              </w:rPr>
            </w:pPr>
            <w:r w:rsidRPr="005516CD">
              <w:rPr>
                <w:b/>
                <w:bCs/>
                <w:iCs/>
              </w:rPr>
              <w:t xml:space="preserve">USD </w:t>
            </w:r>
            <w:r w:rsidR="007B1FF9" w:rsidRPr="005516CD">
              <w:rPr>
                <w:b/>
                <w:bCs/>
                <w:iCs/>
              </w:rPr>
              <w:t>51,</w:t>
            </w:r>
            <w:r w:rsidR="00E63B1C" w:rsidRPr="005516CD">
              <w:rPr>
                <w:b/>
                <w:bCs/>
                <w:iCs/>
              </w:rPr>
              <w:t>2</w:t>
            </w:r>
            <w:r w:rsidR="007B1FF9" w:rsidRPr="005516CD">
              <w:rPr>
                <w:b/>
                <w:bCs/>
                <w:iCs/>
              </w:rPr>
              <w:t>07,561</w:t>
            </w:r>
          </w:p>
        </w:tc>
      </w:tr>
      <w:tr w:rsidR="00A920C3" w:rsidRPr="005516CD" w14:paraId="188F4297" w14:textId="77777777" w:rsidTr="007146F2">
        <w:tc>
          <w:tcPr>
            <w:tcW w:w="9010" w:type="dxa"/>
            <w:gridSpan w:val="4"/>
          </w:tcPr>
          <w:p w14:paraId="20A29733" w14:textId="77777777" w:rsidR="00A920C3" w:rsidRPr="005516CD" w:rsidRDefault="00A920C3"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smallCaps/>
                <w:lang w:val="en-US"/>
              </w:rPr>
              <w:t>Signatures</w:t>
            </w:r>
          </w:p>
        </w:tc>
      </w:tr>
      <w:tr w:rsidR="00A920C3" w:rsidRPr="005516CD" w14:paraId="26115645" w14:textId="77777777" w:rsidTr="002B75A1">
        <w:trPr>
          <w:trHeight w:val="315"/>
        </w:trPr>
        <w:tc>
          <w:tcPr>
            <w:tcW w:w="2830" w:type="dxa"/>
          </w:tcPr>
          <w:p w14:paraId="4AFA6423" w14:textId="77777777" w:rsidR="00A920C3" w:rsidRPr="005516CD" w:rsidRDefault="00A920C3"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 xml:space="preserve">Signature:  </w:t>
            </w:r>
            <w:r w:rsidRPr="005516CD">
              <w:rPr>
                <w:lang w:val="en-US"/>
              </w:rPr>
              <w:t>print name below</w:t>
            </w:r>
          </w:p>
        </w:tc>
        <w:tc>
          <w:tcPr>
            <w:tcW w:w="3176" w:type="dxa"/>
            <w:gridSpan w:val="2"/>
          </w:tcPr>
          <w:p w14:paraId="02E05EEC" w14:textId="77777777" w:rsidR="00A920C3" w:rsidRPr="005516CD" w:rsidRDefault="00A920C3"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Agreed by Government</w:t>
            </w:r>
          </w:p>
        </w:tc>
        <w:tc>
          <w:tcPr>
            <w:tcW w:w="3004" w:type="dxa"/>
          </w:tcPr>
          <w:p w14:paraId="74A62CCB" w14:textId="77777777" w:rsidR="00A920C3" w:rsidRPr="005516CD" w:rsidRDefault="00A920C3"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Date/Month/Year:</w:t>
            </w:r>
          </w:p>
        </w:tc>
      </w:tr>
      <w:tr w:rsidR="00A920C3" w:rsidRPr="005516CD" w14:paraId="4D7AAB41" w14:textId="77777777" w:rsidTr="002B75A1">
        <w:trPr>
          <w:trHeight w:val="315"/>
        </w:trPr>
        <w:tc>
          <w:tcPr>
            <w:tcW w:w="2830" w:type="dxa"/>
          </w:tcPr>
          <w:p w14:paraId="02275C7A" w14:textId="77777777" w:rsidR="00A920C3" w:rsidRPr="005516CD" w:rsidRDefault="00A920C3"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 xml:space="preserve">Signature:  </w:t>
            </w:r>
            <w:r w:rsidRPr="005516CD">
              <w:rPr>
                <w:lang w:val="en-US"/>
              </w:rPr>
              <w:t>print name below</w:t>
            </w:r>
          </w:p>
        </w:tc>
        <w:tc>
          <w:tcPr>
            <w:tcW w:w="3176" w:type="dxa"/>
            <w:gridSpan w:val="2"/>
          </w:tcPr>
          <w:p w14:paraId="3B136BC5" w14:textId="77777777" w:rsidR="00A920C3" w:rsidRPr="005516CD" w:rsidRDefault="00A920C3"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Agreed by Implementing Partner</w:t>
            </w:r>
          </w:p>
        </w:tc>
        <w:tc>
          <w:tcPr>
            <w:tcW w:w="3004" w:type="dxa"/>
          </w:tcPr>
          <w:p w14:paraId="731A27ED" w14:textId="77777777" w:rsidR="00A920C3" w:rsidRPr="005516CD" w:rsidRDefault="00A920C3"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Date/Month/Year:</w:t>
            </w:r>
          </w:p>
        </w:tc>
      </w:tr>
      <w:tr w:rsidR="00A920C3" w:rsidRPr="005516CD" w14:paraId="238449D7" w14:textId="77777777" w:rsidTr="002B75A1">
        <w:trPr>
          <w:trHeight w:val="315"/>
        </w:trPr>
        <w:tc>
          <w:tcPr>
            <w:tcW w:w="2830" w:type="dxa"/>
          </w:tcPr>
          <w:p w14:paraId="7608B5B3" w14:textId="77777777" w:rsidR="00A920C3" w:rsidRPr="005516CD" w:rsidRDefault="00A920C3"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 xml:space="preserve">Signature:  </w:t>
            </w:r>
            <w:r w:rsidRPr="005516CD">
              <w:rPr>
                <w:lang w:val="en-US"/>
              </w:rPr>
              <w:t>print name below</w:t>
            </w:r>
          </w:p>
        </w:tc>
        <w:tc>
          <w:tcPr>
            <w:tcW w:w="3176" w:type="dxa"/>
            <w:gridSpan w:val="2"/>
          </w:tcPr>
          <w:p w14:paraId="472F931B" w14:textId="77777777" w:rsidR="00A920C3" w:rsidRPr="005516CD" w:rsidRDefault="00A920C3"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Agreed by UNDP</w:t>
            </w:r>
          </w:p>
        </w:tc>
        <w:tc>
          <w:tcPr>
            <w:tcW w:w="3004" w:type="dxa"/>
          </w:tcPr>
          <w:p w14:paraId="072B4F0D" w14:textId="77777777" w:rsidR="00A920C3" w:rsidRPr="005516CD" w:rsidRDefault="00A920C3"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b/>
                <w:bCs/>
                <w:i/>
                <w:iCs/>
              </w:rPr>
            </w:pPr>
            <w:r w:rsidRPr="005516CD">
              <w:rPr>
                <w:b/>
                <w:bCs/>
                <w:lang w:val="en-US"/>
              </w:rPr>
              <w:t>Date/Month/Year:</w:t>
            </w:r>
          </w:p>
        </w:tc>
      </w:tr>
    </w:tbl>
    <w:p w14:paraId="251185B7" w14:textId="77777777" w:rsidR="007146F2" w:rsidRPr="005516CD" w:rsidRDefault="007146F2" w:rsidP="007B146B">
      <w:pPr>
        <w:pStyle w:val="Body"/>
        <w:spacing w:after="0"/>
        <w:jc w:val="left"/>
        <w:rPr>
          <w:b/>
          <w:bCs/>
          <w:i/>
          <w:iCs/>
        </w:rPr>
      </w:pPr>
    </w:p>
    <w:p w14:paraId="2C437155" w14:textId="77777777" w:rsidR="001771FE" w:rsidRPr="005516CD" w:rsidRDefault="001771FE" w:rsidP="007B146B">
      <w:pPr>
        <w:pStyle w:val="Body"/>
        <w:spacing w:after="240"/>
        <w:jc w:val="left"/>
        <w:rPr>
          <w:b/>
          <w:bCs/>
        </w:rPr>
      </w:pPr>
    </w:p>
    <w:p w14:paraId="325F9808" w14:textId="77777777" w:rsidR="001771FE" w:rsidRPr="005516CD" w:rsidRDefault="001771FE" w:rsidP="007B146B">
      <w:pPr>
        <w:pStyle w:val="TOCHeading"/>
        <w:spacing w:before="0" w:after="240" w:line="240" w:lineRule="auto"/>
        <w:rPr>
          <w:rFonts w:ascii="Calibri" w:eastAsia="Calibri" w:hAnsi="Calibri" w:cs="Calibri"/>
          <w:b w:val="0"/>
          <w:bCs w:val="0"/>
          <w:color w:val="000000"/>
          <w:sz w:val="22"/>
          <w:szCs w:val="22"/>
          <w:u w:color="000000"/>
        </w:rPr>
      </w:pPr>
    </w:p>
    <w:p w14:paraId="18582FB1" w14:textId="77777777" w:rsidR="001771FE" w:rsidRPr="005516CD" w:rsidRDefault="00045B04" w:rsidP="007B146B">
      <w:pPr>
        <w:pStyle w:val="Body"/>
        <w:spacing w:after="0"/>
        <w:jc w:val="left"/>
      </w:pPr>
      <w:r w:rsidRPr="005516CD">
        <w:rPr>
          <w:b/>
          <w:bCs/>
        </w:rPr>
        <w:br w:type="page"/>
      </w:r>
    </w:p>
    <w:p w14:paraId="0A2A6967" w14:textId="77777777" w:rsidR="001771FE" w:rsidRPr="003B2210" w:rsidRDefault="00045B04" w:rsidP="003B2210">
      <w:pPr>
        <w:pStyle w:val="Title"/>
        <w:numPr>
          <w:ilvl w:val="0"/>
          <w:numId w:val="174"/>
        </w:numPr>
        <w:pBdr>
          <w:top w:val="none" w:sz="0" w:space="0" w:color="auto"/>
          <w:left w:val="none" w:sz="0" w:space="0" w:color="auto"/>
          <w:bottom w:val="none" w:sz="0" w:space="0" w:color="auto"/>
          <w:right w:val="none" w:sz="0" w:space="0" w:color="auto"/>
        </w:pBdr>
        <w:jc w:val="left"/>
        <w:rPr>
          <w:b w:val="0"/>
          <w:smallCaps/>
          <w:sz w:val="24"/>
        </w:rPr>
      </w:pPr>
      <w:r w:rsidRPr="003B2210">
        <w:rPr>
          <w:b w:val="0"/>
          <w:smallCaps/>
          <w:sz w:val="24"/>
        </w:rPr>
        <w:t>Table of Contents</w:t>
      </w:r>
    </w:p>
    <w:p w14:paraId="72FEFC43" w14:textId="6A2FE1C9" w:rsidR="007F3F77" w:rsidRPr="008244FA" w:rsidRDefault="00045B04">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5516CD">
        <w:fldChar w:fldCharType="begin"/>
      </w:r>
      <w:r w:rsidRPr="005516CD">
        <w:instrText xml:space="preserve"> TOC \o 2-3 \t "Heading, 4,heading 4, 5,heading 5, 6"</w:instrText>
      </w:r>
      <w:r w:rsidRPr="005516CD">
        <w:fldChar w:fldCharType="separate"/>
      </w:r>
      <w:r w:rsidR="007F3F77" w:rsidRPr="00D51BF2">
        <w:rPr>
          <w:caps/>
          <w:noProof/>
        </w:rPr>
        <w:t>II.</w:t>
      </w:r>
      <w:r w:rsidR="007F3F77" w:rsidRPr="008244FA">
        <w:rPr>
          <w:rFonts w:asciiTheme="minorHAnsi" w:eastAsiaTheme="minorEastAsia" w:hAnsiTheme="minorHAnsi" w:cstheme="minorBidi"/>
          <w:noProof/>
          <w:color w:val="auto"/>
          <w:sz w:val="24"/>
          <w:szCs w:val="24"/>
          <w:bdr w:val="none" w:sz="0" w:space="0" w:color="auto"/>
          <w:lang w:eastAsia="ru-RU"/>
        </w:rPr>
        <w:tab/>
      </w:r>
      <w:r w:rsidR="007F3F77" w:rsidRPr="00D51BF2">
        <w:rPr>
          <w:caps/>
          <w:noProof/>
        </w:rPr>
        <w:t>Development Challenge</w:t>
      </w:r>
      <w:r w:rsidR="007F3F77">
        <w:rPr>
          <w:noProof/>
        </w:rPr>
        <w:tab/>
      </w:r>
      <w:r w:rsidR="007F3F77">
        <w:rPr>
          <w:noProof/>
        </w:rPr>
        <w:fldChar w:fldCharType="begin"/>
      </w:r>
      <w:r w:rsidR="007F3F77">
        <w:rPr>
          <w:noProof/>
        </w:rPr>
        <w:instrText xml:space="preserve"> PAGEREF _Toc8933073 \h </w:instrText>
      </w:r>
      <w:r w:rsidR="007F3F77">
        <w:rPr>
          <w:noProof/>
        </w:rPr>
      </w:r>
      <w:r w:rsidR="007F3F77">
        <w:rPr>
          <w:noProof/>
        </w:rPr>
        <w:fldChar w:fldCharType="separate"/>
      </w:r>
      <w:r w:rsidR="009301EF">
        <w:rPr>
          <w:noProof/>
        </w:rPr>
        <w:t>7</w:t>
      </w:r>
      <w:r w:rsidR="007F3F77">
        <w:rPr>
          <w:noProof/>
        </w:rPr>
        <w:fldChar w:fldCharType="end"/>
      </w:r>
    </w:p>
    <w:p w14:paraId="3B209126" w14:textId="742E94FE" w:rsidR="007F3F77" w:rsidRPr="008244FA"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u w:val="single"/>
        </w:rPr>
        <w:t>Context</w:t>
      </w:r>
      <w:r>
        <w:rPr>
          <w:noProof/>
        </w:rPr>
        <w:tab/>
      </w:r>
      <w:r>
        <w:rPr>
          <w:noProof/>
        </w:rPr>
        <w:fldChar w:fldCharType="begin"/>
      </w:r>
      <w:r>
        <w:rPr>
          <w:noProof/>
        </w:rPr>
        <w:instrText xml:space="preserve"> PAGEREF _Toc8933074 \h </w:instrText>
      </w:r>
      <w:r>
        <w:rPr>
          <w:noProof/>
        </w:rPr>
      </w:r>
      <w:r>
        <w:rPr>
          <w:noProof/>
        </w:rPr>
        <w:fldChar w:fldCharType="separate"/>
      </w:r>
      <w:r w:rsidR="009301EF">
        <w:rPr>
          <w:noProof/>
        </w:rPr>
        <w:t>7</w:t>
      </w:r>
      <w:r>
        <w:rPr>
          <w:noProof/>
        </w:rPr>
        <w:fldChar w:fldCharType="end"/>
      </w:r>
    </w:p>
    <w:p w14:paraId="6B6D2D8D" w14:textId="1929FAC3" w:rsidR="007F3F77" w:rsidRPr="008244FA"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u w:val="single"/>
        </w:rPr>
        <w:t>Threats and drivers</w:t>
      </w:r>
      <w:r>
        <w:rPr>
          <w:noProof/>
        </w:rPr>
        <w:tab/>
      </w:r>
      <w:r>
        <w:rPr>
          <w:noProof/>
        </w:rPr>
        <w:fldChar w:fldCharType="begin"/>
      </w:r>
      <w:r>
        <w:rPr>
          <w:noProof/>
        </w:rPr>
        <w:instrText xml:space="preserve"> PAGEREF _Toc8933075 \h </w:instrText>
      </w:r>
      <w:r>
        <w:rPr>
          <w:noProof/>
        </w:rPr>
      </w:r>
      <w:r>
        <w:rPr>
          <w:noProof/>
        </w:rPr>
        <w:fldChar w:fldCharType="separate"/>
      </w:r>
      <w:r w:rsidR="009301EF">
        <w:rPr>
          <w:noProof/>
        </w:rPr>
        <w:t>28</w:t>
      </w:r>
      <w:r>
        <w:rPr>
          <w:noProof/>
        </w:rPr>
        <w:fldChar w:fldCharType="end"/>
      </w:r>
    </w:p>
    <w:p w14:paraId="567976C1" w14:textId="79A0870D" w:rsidR="007F3F77" w:rsidRPr="008244FA"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u w:val="single"/>
        </w:rPr>
        <w:t>Baseline investments</w:t>
      </w:r>
      <w:r>
        <w:rPr>
          <w:noProof/>
        </w:rPr>
        <w:tab/>
      </w:r>
      <w:r>
        <w:rPr>
          <w:noProof/>
        </w:rPr>
        <w:fldChar w:fldCharType="begin"/>
      </w:r>
      <w:r>
        <w:rPr>
          <w:noProof/>
        </w:rPr>
        <w:instrText xml:space="preserve"> PAGEREF _Toc8933076 \h </w:instrText>
      </w:r>
      <w:r>
        <w:rPr>
          <w:noProof/>
        </w:rPr>
      </w:r>
      <w:r>
        <w:rPr>
          <w:noProof/>
        </w:rPr>
        <w:fldChar w:fldCharType="separate"/>
      </w:r>
      <w:r w:rsidR="009301EF">
        <w:rPr>
          <w:noProof/>
        </w:rPr>
        <w:t>29</w:t>
      </w:r>
      <w:r>
        <w:rPr>
          <w:noProof/>
        </w:rPr>
        <w:fldChar w:fldCharType="end"/>
      </w:r>
    </w:p>
    <w:p w14:paraId="0CCD9FC3" w14:textId="5F73AA8E" w:rsidR="007F3F77" w:rsidRPr="008244FA"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u w:val="single"/>
        </w:rPr>
        <w:t>Barriers</w:t>
      </w:r>
      <w:r>
        <w:rPr>
          <w:noProof/>
        </w:rPr>
        <w:tab/>
      </w:r>
      <w:r>
        <w:rPr>
          <w:noProof/>
        </w:rPr>
        <w:fldChar w:fldCharType="begin"/>
      </w:r>
      <w:r>
        <w:rPr>
          <w:noProof/>
        </w:rPr>
        <w:instrText xml:space="preserve"> PAGEREF _Toc8933077 \h </w:instrText>
      </w:r>
      <w:r>
        <w:rPr>
          <w:noProof/>
        </w:rPr>
      </w:r>
      <w:r>
        <w:rPr>
          <w:noProof/>
        </w:rPr>
        <w:fldChar w:fldCharType="separate"/>
      </w:r>
      <w:r w:rsidR="009301EF">
        <w:rPr>
          <w:noProof/>
        </w:rPr>
        <w:t>33</w:t>
      </w:r>
      <w:r>
        <w:rPr>
          <w:noProof/>
        </w:rPr>
        <w:fldChar w:fldCharType="end"/>
      </w:r>
    </w:p>
    <w:p w14:paraId="4776A08E" w14:textId="367BDE96" w:rsidR="007F3F77" w:rsidRPr="008244FA" w:rsidRDefault="007F3F77">
      <w:pPr>
        <w:pStyle w:val="TOC2"/>
        <w:tabs>
          <w:tab w:val="left" w:pos="132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III.</w:t>
      </w:r>
      <w:r w:rsidRPr="008244FA">
        <w:rPr>
          <w:rFonts w:asciiTheme="minorHAnsi" w:eastAsiaTheme="minorEastAsia" w:hAnsiTheme="minorHAnsi" w:cstheme="minorBidi"/>
          <w:noProof/>
          <w:color w:val="auto"/>
          <w:sz w:val="24"/>
          <w:szCs w:val="24"/>
          <w:bdr w:val="none" w:sz="0" w:space="0" w:color="auto"/>
          <w:lang w:eastAsia="ru-RU"/>
        </w:rPr>
        <w:tab/>
      </w:r>
      <w:r w:rsidRPr="00D51BF2">
        <w:rPr>
          <w:caps/>
          <w:noProof/>
        </w:rPr>
        <w:t>Strategy</w:t>
      </w:r>
      <w:r>
        <w:rPr>
          <w:noProof/>
        </w:rPr>
        <w:tab/>
      </w:r>
      <w:r>
        <w:rPr>
          <w:noProof/>
        </w:rPr>
        <w:fldChar w:fldCharType="begin"/>
      </w:r>
      <w:r>
        <w:rPr>
          <w:noProof/>
        </w:rPr>
        <w:instrText xml:space="preserve"> PAGEREF _Toc8933078 \h </w:instrText>
      </w:r>
      <w:r>
        <w:rPr>
          <w:noProof/>
        </w:rPr>
      </w:r>
      <w:r>
        <w:rPr>
          <w:noProof/>
        </w:rPr>
        <w:fldChar w:fldCharType="separate"/>
      </w:r>
      <w:r w:rsidR="009301EF">
        <w:rPr>
          <w:noProof/>
        </w:rPr>
        <w:t>35</w:t>
      </w:r>
      <w:r>
        <w:rPr>
          <w:noProof/>
        </w:rPr>
        <w:fldChar w:fldCharType="end"/>
      </w:r>
    </w:p>
    <w:p w14:paraId="2CFA4194" w14:textId="0FAB7648" w:rsidR="007F3F77" w:rsidRPr="008244FA"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u w:val="single"/>
        </w:rPr>
        <w:t>Selected approach</w:t>
      </w:r>
      <w:r>
        <w:rPr>
          <w:noProof/>
        </w:rPr>
        <w:tab/>
      </w:r>
      <w:r>
        <w:rPr>
          <w:noProof/>
        </w:rPr>
        <w:fldChar w:fldCharType="begin"/>
      </w:r>
      <w:r>
        <w:rPr>
          <w:noProof/>
        </w:rPr>
        <w:instrText xml:space="preserve"> PAGEREF _Toc8933079 \h </w:instrText>
      </w:r>
      <w:r>
        <w:rPr>
          <w:noProof/>
        </w:rPr>
      </w:r>
      <w:r>
        <w:rPr>
          <w:noProof/>
        </w:rPr>
        <w:fldChar w:fldCharType="separate"/>
      </w:r>
      <w:r w:rsidR="009301EF">
        <w:rPr>
          <w:noProof/>
        </w:rPr>
        <w:t>35</w:t>
      </w:r>
      <w:r>
        <w:rPr>
          <w:noProof/>
        </w:rPr>
        <w:fldChar w:fldCharType="end"/>
      </w:r>
    </w:p>
    <w:p w14:paraId="17B28403" w14:textId="5D2CE532" w:rsidR="007F3F77" w:rsidRPr="008244FA"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u w:val="single"/>
        </w:rPr>
        <w:t>Lessons learned</w:t>
      </w:r>
      <w:r>
        <w:rPr>
          <w:noProof/>
        </w:rPr>
        <w:tab/>
      </w:r>
      <w:r>
        <w:rPr>
          <w:noProof/>
        </w:rPr>
        <w:fldChar w:fldCharType="begin"/>
      </w:r>
      <w:r>
        <w:rPr>
          <w:noProof/>
        </w:rPr>
        <w:instrText xml:space="preserve"> PAGEREF _Toc8933080 \h </w:instrText>
      </w:r>
      <w:r>
        <w:rPr>
          <w:noProof/>
        </w:rPr>
      </w:r>
      <w:r>
        <w:rPr>
          <w:noProof/>
        </w:rPr>
        <w:fldChar w:fldCharType="separate"/>
      </w:r>
      <w:r w:rsidR="009301EF">
        <w:rPr>
          <w:noProof/>
        </w:rPr>
        <w:t>36</w:t>
      </w:r>
      <w:r>
        <w:rPr>
          <w:noProof/>
        </w:rPr>
        <w:fldChar w:fldCharType="end"/>
      </w:r>
    </w:p>
    <w:p w14:paraId="367F383D" w14:textId="1F22396B"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u w:val="single"/>
        </w:rPr>
        <w:t>Theory of change and incremental reasoning</w:t>
      </w:r>
      <w:r>
        <w:rPr>
          <w:noProof/>
        </w:rPr>
        <w:tab/>
      </w:r>
      <w:r>
        <w:rPr>
          <w:noProof/>
        </w:rPr>
        <w:fldChar w:fldCharType="begin"/>
      </w:r>
      <w:r>
        <w:rPr>
          <w:noProof/>
        </w:rPr>
        <w:instrText xml:space="preserve"> PAGEREF _Toc8933081 \h </w:instrText>
      </w:r>
      <w:r>
        <w:rPr>
          <w:noProof/>
        </w:rPr>
      </w:r>
      <w:r>
        <w:rPr>
          <w:noProof/>
        </w:rPr>
        <w:fldChar w:fldCharType="separate"/>
      </w:r>
      <w:r w:rsidR="009301EF">
        <w:rPr>
          <w:noProof/>
        </w:rPr>
        <w:t>37</w:t>
      </w:r>
      <w:r>
        <w:rPr>
          <w:noProof/>
        </w:rPr>
        <w:fldChar w:fldCharType="end"/>
      </w:r>
    </w:p>
    <w:p w14:paraId="499D4B22" w14:textId="7549764B"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rFonts w:asciiTheme="majorHAnsi" w:hAnsiTheme="majorHAnsi" w:cstheme="majorHAnsi"/>
          <w:noProof/>
          <w:color w:val="auto"/>
        </w:rPr>
        <w:t>Specific strategies</w:t>
      </w:r>
      <w:r>
        <w:rPr>
          <w:noProof/>
        </w:rPr>
        <w:tab/>
      </w:r>
      <w:r>
        <w:rPr>
          <w:noProof/>
        </w:rPr>
        <w:fldChar w:fldCharType="begin"/>
      </w:r>
      <w:r>
        <w:rPr>
          <w:noProof/>
        </w:rPr>
        <w:instrText xml:space="preserve"> PAGEREF _Toc8933082 \h </w:instrText>
      </w:r>
      <w:r>
        <w:rPr>
          <w:noProof/>
        </w:rPr>
      </w:r>
      <w:r>
        <w:rPr>
          <w:noProof/>
        </w:rPr>
        <w:fldChar w:fldCharType="separate"/>
      </w:r>
      <w:r w:rsidR="009301EF">
        <w:rPr>
          <w:noProof/>
        </w:rPr>
        <w:t>51</w:t>
      </w:r>
      <w:r>
        <w:rPr>
          <w:noProof/>
        </w:rPr>
        <w:fldChar w:fldCharType="end"/>
      </w:r>
    </w:p>
    <w:p w14:paraId="3258426D" w14:textId="6921D862"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Incorporation of stakeholder concerns</w:t>
      </w:r>
      <w:r>
        <w:rPr>
          <w:noProof/>
        </w:rPr>
        <w:tab/>
      </w:r>
      <w:r>
        <w:rPr>
          <w:noProof/>
        </w:rPr>
        <w:fldChar w:fldCharType="begin"/>
      </w:r>
      <w:r>
        <w:rPr>
          <w:noProof/>
        </w:rPr>
        <w:instrText xml:space="preserve"> PAGEREF _Toc8933083 \h </w:instrText>
      </w:r>
      <w:r>
        <w:rPr>
          <w:noProof/>
        </w:rPr>
      </w:r>
      <w:r>
        <w:rPr>
          <w:noProof/>
        </w:rPr>
        <w:fldChar w:fldCharType="separate"/>
      </w:r>
      <w:r w:rsidR="009301EF">
        <w:rPr>
          <w:noProof/>
        </w:rPr>
        <w:t>52</w:t>
      </w:r>
      <w:r>
        <w:rPr>
          <w:noProof/>
        </w:rPr>
        <w:fldChar w:fldCharType="end"/>
      </w:r>
    </w:p>
    <w:p w14:paraId="7EF918B9" w14:textId="3EB50D3A"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Selection of project beneficiaries</w:t>
      </w:r>
      <w:r>
        <w:rPr>
          <w:noProof/>
        </w:rPr>
        <w:tab/>
      </w:r>
      <w:r>
        <w:rPr>
          <w:noProof/>
        </w:rPr>
        <w:fldChar w:fldCharType="begin"/>
      </w:r>
      <w:r>
        <w:rPr>
          <w:noProof/>
        </w:rPr>
        <w:instrText xml:space="preserve"> PAGEREF _Toc8933084 \h </w:instrText>
      </w:r>
      <w:r>
        <w:rPr>
          <w:noProof/>
        </w:rPr>
      </w:r>
      <w:r>
        <w:rPr>
          <w:noProof/>
        </w:rPr>
        <w:fldChar w:fldCharType="separate"/>
      </w:r>
      <w:r w:rsidR="009301EF">
        <w:rPr>
          <w:noProof/>
        </w:rPr>
        <w:t>53</w:t>
      </w:r>
      <w:r>
        <w:rPr>
          <w:noProof/>
        </w:rPr>
        <w:fldChar w:fldCharType="end"/>
      </w:r>
    </w:p>
    <w:p w14:paraId="35367C33" w14:textId="3C8D06D8"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Relevance in relation to the baseline scenario</w:t>
      </w:r>
      <w:r>
        <w:rPr>
          <w:noProof/>
        </w:rPr>
        <w:tab/>
      </w:r>
      <w:r>
        <w:rPr>
          <w:noProof/>
        </w:rPr>
        <w:fldChar w:fldCharType="begin"/>
      </w:r>
      <w:r>
        <w:rPr>
          <w:noProof/>
        </w:rPr>
        <w:instrText xml:space="preserve"> PAGEREF _Toc8933085 \h </w:instrText>
      </w:r>
      <w:r>
        <w:rPr>
          <w:noProof/>
        </w:rPr>
      </w:r>
      <w:r>
        <w:rPr>
          <w:noProof/>
        </w:rPr>
        <w:fldChar w:fldCharType="separate"/>
      </w:r>
      <w:r w:rsidR="009301EF">
        <w:rPr>
          <w:noProof/>
        </w:rPr>
        <w:t>53</w:t>
      </w:r>
      <w:r>
        <w:rPr>
          <w:noProof/>
        </w:rPr>
        <w:fldChar w:fldCharType="end"/>
      </w:r>
    </w:p>
    <w:p w14:paraId="06478846" w14:textId="54314888" w:rsidR="007F3F77" w:rsidRPr="00B609DE" w:rsidRDefault="007F3F77">
      <w:pPr>
        <w:pStyle w:val="TOC2"/>
        <w:tabs>
          <w:tab w:val="left" w:pos="132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IV.</w:t>
      </w:r>
      <w:r w:rsidRPr="00B609DE">
        <w:rPr>
          <w:rFonts w:asciiTheme="minorHAnsi" w:eastAsiaTheme="minorEastAsia" w:hAnsiTheme="minorHAnsi" w:cstheme="minorBidi"/>
          <w:noProof/>
          <w:color w:val="auto"/>
          <w:sz w:val="24"/>
          <w:szCs w:val="24"/>
          <w:bdr w:val="none" w:sz="0" w:space="0" w:color="auto"/>
          <w:lang w:eastAsia="ru-RU"/>
        </w:rPr>
        <w:tab/>
      </w:r>
      <w:r w:rsidRPr="00D51BF2">
        <w:rPr>
          <w:caps/>
          <w:noProof/>
        </w:rPr>
        <w:t>Results and Partnerships</w:t>
      </w:r>
      <w:r>
        <w:rPr>
          <w:noProof/>
        </w:rPr>
        <w:tab/>
      </w:r>
      <w:r>
        <w:rPr>
          <w:noProof/>
        </w:rPr>
        <w:fldChar w:fldCharType="begin"/>
      </w:r>
      <w:r>
        <w:rPr>
          <w:noProof/>
        </w:rPr>
        <w:instrText xml:space="preserve"> PAGEREF _Toc8933086 \h </w:instrText>
      </w:r>
      <w:r>
        <w:rPr>
          <w:noProof/>
        </w:rPr>
      </w:r>
      <w:r>
        <w:rPr>
          <w:noProof/>
        </w:rPr>
        <w:fldChar w:fldCharType="separate"/>
      </w:r>
      <w:r w:rsidR="009301EF">
        <w:rPr>
          <w:noProof/>
        </w:rPr>
        <w:t>54</w:t>
      </w:r>
      <w:r>
        <w:rPr>
          <w:noProof/>
        </w:rPr>
        <w:fldChar w:fldCharType="end"/>
      </w:r>
    </w:p>
    <w:p w14:paraId="01438D72" w14:textId="1C9B78D7"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Expected Results:</w:t>
      </w:r>
      <w:r>
        <w:rPr>
          <w:noProof/>
        </w:rPr>
        <w:tab/>
      </w:r>
      <w:r>
        <w:rPr>
          <w:noProof/>
        </w:rPr>
        <w:fldChar w:fldCharType="begin"/>
      </w:r>
      <w:r>
        <w:rPr>
          <w:noProof/>
        </w:rPr>
        <w:instrText xml:space="preserve"> PAGEREF _Toc8933087 \h </w:instrText>
      </w:r>
      <w:r>
        <w:rPr>
          <w:noProof/>
        </w:rPr>
      </w:r>
      <w:r>
        <w:rPr>
          <w:noProof/>
        </w:rPr>
        <w:fldChar w:fldCharType="separate"/>
      </w:r>
      <w:r w:rsidR="009301EF">
        <w:rPr>
          <w:noProof/>
        </w:rPr>
        <w:t>54</w:t>
      </w:r>
      <w:r>
        <w:rPr>
          <w:noProof/>
        </w:rPr>
        <w:fldChar w:fldCharType="end"/>
      </w:r>
    </w:p>
    <w:p w14:paraId="179601BE" w14:textId="6FA8BE22"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rFonts w:asciiTheme="majorHAnsi" w:hAnsiTheme="majorHAnsi" w:cstheme="majorHAnsi"/>
          <w:noProof/>
        </w:rPr>
        <w:t>Outcomes and components</w:t>
      </w:r>
      <w:r>
        <w:rPr>
          <w:noProof/>
        </w:rPr>
        <w:tab/>
      </w:r>
      <w:r>
        <w:rPr>
          <w:noProof/>
        </w:rPr>
        <w:fldChar w:fldCharType="begin"/>
      </w:r>
      <w:r>
        <w:rPr>
          <w:noProof/>
        </w:rPr>
        <w:instrText xml:space="preserve"> PAGEREF _Toc8933088 \h </w:instrText>
      </w:r>
      <w:r>
        <w:rPr>
          <w:noProof/>
        </w:rPr>
      </w:r>
      <w:r>
        <w:rPr>
          <w:noProof/>
        </w:rPr>
        <w:fldChar w:fldCharType="separate"/>
      </w:r>
      <w:r w:rsidR="009301EF">
        <w:rPr>
          <w:noProof/>
        </w:rPr>
        <w:t>54</w:t>
      </w:r>
      <w:r>
        <w:rPr>
          <w:noProof/>
        </w:rPr>
        <w:fldChar w:fldCharType="end"/>
      </w:r>
    </w:p>
    <w:p w14:paraId="70CD99C2" w14:textId="1D45362B"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Partnerships:</w:t>
      </w:r>
      <w:r>
        <w:rPr>
          <w:noProof/>
        </w:rPr>
        <w:tab/>
      </w:r>
      <w:r>
        <w:rPr>
          <w:noProof/>
        </w:rPr>
        <w:fldChar w:fldCharType="begin"/>
      </w:r>
      <w:r>
        <w:rPr>
          <w:noProof/>
        </w:rPr>
        <w:instrText xml:space="preserve"> PAGEREF _Toc8933089 \h </w:instrText>
      </w:r>
      <w:r>
        <w:rPr>
          <w:noProof/>
        </w:rPr>
      </w:r>
      <w:r>
        <w:rPr>
          <w:noProof/>
        </w:rPr>
        <w:fldChar w:fldCharType="separate"/>
      </w:r>
      <w:r w:rsidR="009301EF">
        <w:rPr>
          <w:noProof/>
        </w:rPr>
        <w:t>61</w:t>
      </w:r>
      <w:r>
        <w:rPr>
          <w:noProof/>
        </w:rPr>
        <w:fldChar w:fldCharType="end"/>
      </w:r>
    </w:p>
    <w:p w14:paraId="1A90949D" w14:textId="2AD7584B"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Mainstreaming gender and intercultural issues:</w:t>
      </w:r>
      <w:r>
        <w:rPr>
          <w:noProof/>
        </w:rPr>
        <w:tab/>
      </w:r>
      <w:r>
        <w:rPr>
          <w:noProof/>
        </w:rPr>
        <w:fldChar w:fldCharType="begin"/>
      </w:r>
      <w:r>
        <w:rPr>
          <w:noProof/>
        </w:rPr>
        <w:instrText xml:space="preserve"> PAGEREF _Toc8933090 \h </w:instrText>
      </w:r>
      <w:r>
        <w:rPr>
          <w:noProof/>
        </w:rPr>
      </w:r>
      <w:r>
        <w:rPr>
          <w:noProof/>
        </w:rPr>
        <w:fldChar w:fldCharType="separate"/>
      </w:r>
      <w:r w:rsidR="009301EF">
        <w:rPr>
          <w:noProof/>
        </w:rPr>
        <w:t>62</w:t>
      </w:r>
      <w:r>
        <w:rPr>
          <w:noProof/>
        </w:rPr>
        <w:fldChar w:fldCharType="end"/>
      </w:r>
    </w:p>
    <w:p w14:paraId="37A200E9" w14:textId="4AC5A482"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V.</w:t>
      </w:r>
      <w:r w:rsidRPr="00B609DE">
        <w:rPr>
          <w:rFonts w:asciiTheme="minorHAnsi" w:eastAsiaTheme="minorEastAsia" w:hAnsiTheme="minorHAnsi" w:cstheme="minorBidi"/>
          <w:noProof/>
          <w:color w:val="auto"/>
          <w:sz w:val="24"/>
          <w:szCs w:val="24"/>
          <w:bdr w:val="none" w:sz="0" w:space="0" w:color="auto"/>
          <w:lang w:eastAsia="ru-RU"/>
        </w:rPr>
        <w:tab/>
      </w:r>
      <w:r w:rsidRPr="00D51BF2">
        <w:rPr>
          <w:caps/>
          <w:noProof/>
        </w:rPr>
        <w:t>PROJECT MANAGEMENT</w:t>
      </w:r>
      <w:r>
        <w:rPr>
          <w:noProof/>
        </w:rPr>
        <w:tab/>
      </w:r>
      <w:r>
        <w:rPr>
          <w:noProof/>
        </w:rPr>
        <w:fldChar w:fldCharType="begin"/>
      </w:r>
      <w:r>
        <w:rPr>
          <w:noProof/>
        </w:rPr>
        <w:instrText xml:space="preserve"> PAGEREF _Toc8933091 \h </w:instrText>
      </w:r>
      <w:r>
        <w:rPr>
          <w:noProof/>
        </w:rPr>
      </w:r>
      <w:r>
        <w:rPr>
          <w:noProof/>
        </w:rPr>
        <w:fldChar w:fldCharType="separate"/>
      </w:r>
      <w:r w:rsidR="009301EF">
        <w:rPr>
          <w:noProof/>
        </w:rPr>
        <w:t>63</w:t>
      </w:r>
      <w:r>
        <w:rPr>
          <w:noProof/>
        </w:rPr>
        <w:fldChar w:fldCharType="end"/>
      </w:r>
    </w:p>
    <w:p w14:paraId="5D09B51F" w14:textId="3BFED63F"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Cost efficiency and effectiveness:</w:t>
      </w:r>
      <w:r>
        <w:rPr>
          <w:noProof/>
        </w:rPr>
        <w:tab/>
      </w:r>
      <w:r>
        <w:rPr>
          <w:noProof/>
        </w:rPr>
        <w:fldChar w:fldCharType="begin"/>
      </w:r>
      <w:r>
        <w:rPr>
          <w:noProof/>
        </w:rPr>
        <w:instrText xml:space="preserve"> PAGEREF _Toc8933092 \h </w:instrText>
      </w:r>
      <w:r>
        <w:rPr>
          <w:noProof/>
        </w:rPr>
      </w:r>
      <w:r>
        <w:rPr>
          <w:noProof/>
        </w:rPr>
        <w:fldChar w:fldCharType="separate"/>
      </w:r>
      <w:r w:rsidR="009301EF">
        <w:rPr>
          <w:noProof/>
        </w:rPr>
        <w:t>63</w:t>
      </w:r>
      <w:r>
        <w:rPr>
          <w:noProof/>
        </w:rPr>
        <w:fldChar w:fldCharType="end"/>
      </w:r>
    </w:p>
    <w:p w14:paraId="5876553B" w14:textId="2AE71285"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Risk Management:</w:t>
      </w:r>
      <w:r>
        <w:rPr>
          <w:noProof/>
        </w:rPr>
        <w:tab/>
      </w:r>
      <w:r>
        <w:rPr>
          <w:noProof/>
        </w:rPr>
        <w:fldChar w:fldCharType="begin"/>
      </w:r>
      <w:r>
        <w:rPr>
          <w:noProof/>
        </w:rPr>
        <w:instrText xml:space="preserve"> PAGEREF _Toc8933093 \h </w:instrText>
      </w:r>
      <w:r>
        <w:rPr>
          <w:noProof/>
        </w:rPr>
      </w:r>
      <w:r>
        <w:rPr>
          <w:noProof/>
        </w:rPr>
        <w:fldChar w:fldCharType="separate"/>
      </w:r>
      <w:r w:rsidR="009301EF">
        <w:rPr>
          <w:noProof/>
        </w:rPr>
        <w:t>63</w:t>
      </w:r>
      <w:r>
        <w:rPr>
          <w:noProof/>
        </w:rPr>
        <w:fldChar w:fldCharType="end"/>
      </w:r>
    </w:p>
    <w:p w14:paraId="4EB092A6" w14:textId="05F301C8"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Social and environmental safeguards:</w:t>
      </w:r>
      <w:r>
        <w:rPr>
          <w:noProof/>
        </w:rPr>
        <w:tab/>
      </w:r>
      <w:r>
        <w:rPr>
          <w:noProof/>
        </w:rPr>
        <w:fldChar w:fldCharType="begin"/>
      </w:r>
      <w:r>
        <w:rPr>
          <w:noProof/>
        </w:rPr>
        <w:instrText xml:space="preserve"> PAGEREF _Toc8933094 \h </w:instrText>
      </w:r>
      <w:r>
        <w:rPr>
          <w:noProof/>
        </w:rPr>
      </w:r>
      <w:r>
        <w:rPr>
          <w:noProof/>
        </w:rPr>
        <w:fldChar w:fldCharType="separate"/>
      </w:r>
      <w:r w:rsidR="009301EF">
        <w:rPr>
          <w:noProof/>
        </w:rPr>
        <w:t>63</w:t>
      </w:r>
      <w:r>
        <w:rPr>
          <w:noProof/>
        </w:rPr>
        <w:fldChar w:fldCharType="end"/>
      </w:r>
    </w:p>
    <w:p w14:paraId="66F6B874" w14:textId="20D43856"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Sustainability and Scaling Up:</w:t>
      </w:r>
      <w:r>
        <w:rPr>
          <w:noProof/>
        </w:rPr>
        <w:tab/>
      </w:r>
      <w:r>
        <w:rPr>
          <w:noProof/>
        </w:rPr>
        <w:fldChar w:fldCharType="begin"/>
      </w:r>
      <w:r>
        <w:rPr>
          <w:noProof/>
        </w:rPr>
        <w:instrText xml:space="preserve"> PAGEREF _Toc8933095 \h </w:instrText>
      </w:r>
      <w:r>
        <w:rPr>
          <w:noProof/>
        </w:rPr>
      </w:r>
      <w:r>
        <w:rPr>
          <w:noProof/>
        </w:rPr>
        <w:fldChar w:fldCharType="separate"/>
      </w:r>
      <w:r w:rsidR="009301EF">
        <w:rPr>
          <w:noProof/>
        </w:rPr>
        <w:t>63</w:t>
      </w:r>
      <w:r>
        <w:rPr>
          <w:noProof/>
        </w:rPr>
        <w:fldChar w:fldCharType="end"/>
      </w:r>
    </w:p>
    <w:p w14:paraId="220F254A" w14:textId="7FD76AA9"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Exit Strategy</w:t>
      </w:r>
      <w:r>
        <w:rPr>
          <w:noProof/>
        </w:rPr>
        <w:tab/>
      </w:r>
      <w:r>
        <w:rPr>
          <w:noProof/>
        </w:rPr>
        <w:fldChar w:fldCharType="begin"/>
      </w:r>
      <w:r>
        <w:rPr>
          <w:noProof/>
        </w:rPr>
        <w:instrText xml:space="preserve"> PAGEREF _Toc8933096 \h </w:instrText>
      </w:r>
      <w:r>
        <w:rPr>
          <w:noProof/>
        </w:rPr>
      </w:r>
      <w:r>
        <w:rPr>
          <w:noProof/>
        </w:rPr>
        <w:fldChar w:fldCharType="separate"/>
      </w:r>
      <w:r w:rsidR="009301EF">
        <w:rPr>
          <w:noProof/>
        </w:rPr>
        <w:t>63</w:t>
      </w:r>
      <w:r>
        <w:rPr>
          <w:noProof/>
        </w:rPr>
        <w:fldChar w:fldCharType="end"/>
      </w:r>
    </w:p>
    <w:p w14:paraId="3A1657FB" w14:textId="292A904B" w:rsidR="007F3F77" w:rsidRPr="00B609DE" w:rsidRDefault="007F3F77">
      <w:pPr>
        <w:pStyle w:val="TOC2"/>
        <w:rPr>
          <w:rFonts w:asciiTheme="minorHAnsi" w:eastAsiaTheme="minorEastAsia" w:hAnsiTheme="minorHAnsi" w:cstheme="minorBidi"/>
          <w:noProof/>
          <w:color w:val="auto"/>
          <w:sz w:val="24"/>
          <w:szCs w:val="24"/>
          <w:bdr w:val="none" w:sz="0" w:space="0" w:color="auto"/>
          <w:lang w:eastAsia="ru-RU"/>
        </w:rPr>
      </w:pPr>
      <w:r w:rsidRPr="00D51BF2">
        <w:rPr>
          <w:noProof/>
        </w:rPr>
        <w:t>South-South and Triangular Cooperation (SSC/TrC)</w:t>
      </w:r>
      <w:r>
        <w:rPr>
          <w:noProof/>
        </w:rPr>
        <w:tab/>
      </w:r>
      <w:r>
        <w:rPr>
          <w:noProof/>
        </w:rPr>
        <w:fldChar w:fldCharType="begin"/>
      </w:r>
      <w:r>
        <w:rPr>
          <w:noProof/>
        </w:rPr>
        <w:instrText xml:space="preserve"> PAGEREF _Toc8933097 \h </w:instrText>
      </w:r>
      <w:r>
        <w:rPr>
          <w:noProof/>
        </w:rPr>
      </w:r>
      <w:r>
        <w:rPr>
          <w:noProof/>
        </w:rPr>
        <w:fldChar w:fldCharType="separate"/>
      </w:r>
      <w:r w:rsidR="009301EF">
        <w:rPr>
          <w:noProof/>
        </w:rPr>
        <w:t>64</w:t>
      </w:r>
      <w:r>
        <w:rPr>
          <w:noProof/>
        </w:rPr>
        <w:fldChar w:fldCharType="end"/>
      </w:r>
    </w:p>
    <w:p w14:paraId="063A18B2" w14:textId="341832A0" w:rsidR="007F3F77" w:rsidRPr="00B609DE" w:rsidRDefault="007F3F77">
      <w:pPr>
        <w:pStyle w:val="TOC2"/>
        <w:tabs>
          <w:tab w:val="left" w:pos="132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VI.</w:t>
      </w:r>
      <w:r w:rsidRPr="00B609DE">
        <w:rPr>
          <w:rFonts w:asciiTheme="minorHAnsi" w:eastAsiaTheme="minorEastAsia" w:hAnsiTheme="minorHAnsi" w:cstheme="minorBidi"/>
          <w:noProof/>
          <w:color w:val="auto"/>
          <w:sz w:val="24"/>
          <w:szCs w:val="24"/>
          <w:bdr w:val="none" w:sz="0" w:space="0" w:color="auto"/>
          <w:lang w:eastAsia="ru-RU"/>
        </w:rPr>
        <w:tab/>
      </w:r>
      <w:r w:rsidRPr="00D51BF2">
        <w:rPr>
          <w:caps/>
          <w:noProof/>
        </w:rPr>
        <w:t>Project Results Framework</w:t>
      </w:r>
      <w:r>
        <w:rPr>
          <w:noProof/>
        </w:rPr>
        <w:tab/>
      </w:r>
      <w:r>
        <w:rPr>
          <w:noProof/>
        </w:rPr>
        <w:fldChar w:fldCharType="begin"/>
      </w:r>
      <w:r>
        <w:rPr>
          <w:noProof/>
        </w:rPr>
        <w:instrText xml:space="preserve"> PAGEREF _Toc8933098 \h </w:instrText>
      </w:r>
      <w:r>
        <w:rPr>
          <w:noProof/>
        </w:rPr>
      </w:r>
      <w:r>
        <w:rPr>
          <w:noProof/>
        </w:rPr>
        <w:fldChar w:fldCharType="separate"/>
      </w:r>
      <w:r w:rsidR="009301EF">
        <w:rPr>
          <w:noProof/>
        </w:rPr>
        <w:t>65</w:t>
      </w:r>
      <w:r>
        <w:rPr>
          <w:noProof/>
        </w:rPr>
        <w:fldChar w:fldCharType="end"/>
      </w:r>
    </w:p>
    <w:p w14:paraId="7DD21657" w14:textId="7C8C4F6A" w:rsidR="007F3F77" w:rsidRPr="00B609DE" w:rsidRDefault="007F3F77">
      <w:pPr>
        <w:pStyle w:val="TOC2"/>
        <w:tabs>
          <w:tab w:val="left" w:pos="132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VII.</w:t>
      </w:r>
      <w:r w:rsidRPr="00B609DE">
        <w:rPr>
          <w:rFonts w:asciiTheme="minorHAnsi" w:eastAsiaTheme="minorEastAsia" w:hAnsiTheme="minorHAnsi" w:cstheme="minorBidi"/>
          <w:noProof/>
          <w:color w:val="auto"/>
          <w:sz w:val="24"/>
          <w:szCs w:val="24"/>
          <w:bdr w:val="none" w:sz="0" w:space="0" w:color="auto"/>
          <w:lang w:eastAsia="ru-RU"/>
        </w:rPr>
        <w:tab/>
      </w:r>
      <w:r w:rsidRPr="00D51BF2">
        <w:rPr>
          <w:caps/>
          <w:noProof/>
        </w:rPr>
        <w:t>Monitoring and Evaluation (M&amp;E) Plan</w:t>
      </w:r>
      <w:r>
        <w:rPr>
          <w:noProof/>
        </w:rPr>
        <w:tab/>
      </w:r>
      <w:r>
        <w:rPr>
          <w:noProof/>
        </w:rPr>
        <w:fldChar w:fldCharType="begin"/>
      </w:r>
      <w:r>
        <w:rPr>
          <w:noProof/>
        </w:rPr>
        <w:instrText xml:space="preserve"> PAGEREF _Toc8933099 \h </w:instrText>
      </w:r>
      <w:r>
        <w:rPr>
          <w:noProof/>
        </w:rPr>
      </w:r>
      <w:r>
        <w:rPr>
          <w:noProof/>
        </w:rPr>
        <w:fldChar w:fldCharType="separate"/>
      </w:r>
      <w:r w:rsidR="009301EF">
        <w:rPr>
          <w:noProof/>
        </w:rPr>
        <w:t>70</w:t>
      </w:r>
      <w:r>
        <w:rPr>
          <w:noProof/>
        </w:rPr>
        <w:fldChar w:fldCharType="end"/>
      </w:r>
    </w:p>
    <w:p w14:paraId="7FAFF1DA" w14:textId="0DF76CBB" w:rsidR="007F3F77" w:rsidRPr="00B609DE" w:rsidRDefault="007F3F77">
      <w:pPr>
        <w:pStyle w:val="TOC2"/>
        <w:tabs>
          <w:tab w:val="left" w:pos="132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VIII.</w:t>
      </w:r>
      <w:r w:rsidRPr="00B609DE">
        <w:rPr>
          <w:rFonts w:asciiTheme="minorHAnsi" w:eastAsiaTheme="minorEastAsia" w:hAnsiTheme="minorHAnsi" w:cstheme="minorBidi"/>
          <w:noProof/>
          <w:color w:val="auto"/>
          <w:sz w:val="24"/>
          <w:szCs w:val="24"/>
          <w:bdr w:val="none" w:sz="0" w:space="0" w:color="auto"/>
          <w:lang w:eastAsia="ru-RU"/>
        </w:rPr>
        <w:tab/>
      </w:r>
      <w:r w:rsidRPr="00D51BF2">
        <w:rPr>
          <w:caps/>
          <w:noProof/>
        </w:rPr>
        <w:t>Governance and Management Arrangements</w:t>
      </w:r>
      <w:r>
        <w:rPr>
          <w:noProof/>
        </w:rPr>
        <w:tab/>
      </w:r>
      <w:r>
        <w:rPr>
          <w:noProof/>
        </w:rPr>
        <w:fldChar w:fldCharType="begin"/>
      </w:r>
      <w:r>
        <w:rPr>
          <w:noProof/>
        </w:rPr>
        <w:instrText xml:space="preserve"> PAGEREF _Toc8933100 \h </w:instrText>
      </w:r>
      <w:r>
        <w:rPr>
          <w:noProof/>
        </w:rPr>
      </w:r>
      <w:r>
        <w:rPr>
          <w:noProof/>
        </w:rPr>
        <w:fldChar w:fldCharType="separate"/>
      </w:r>
      <w:r w:rsidR="009301EF">
        <w:rPr>
          <w:noProof/>
        </w:rPr>
        <w:t>75</w:t>
      </w:r>
      <w:r>
        <w:rPr>
          <w:noProof/>
        </w:rPr>
        <w:fldChar w:fldCharType="end"/>
      </w:r>
    </w:p>
    <w:p w14:paraId="1BDE27EA" w14:textId="39243CEA" w:rsidR="007F3F77" w:rsidRPr="00B609DE" w:rsidRDefault="007F3F77">
      <w:pPr>
        <w:pStyle w:val="TOC2"/>
        <w:tabs>
          <w:tab w:val="left" w:pos="132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IX.</w:t>
      </w:r>
      <w:r w:rsidRPr="00B609DE">
        <w:rPr>
          <w:rFonts w:asciiTheme="minorHAnsi" w:eastAsiaTheme="minorEastAsia" w:hAnsiTheme="minorHAnsi" w:cstheme="minorBidi"/>
          <w:noProof/>
          <w:color w:val="auto"/>
          <w:sz w:val="24"/>
          <w:szCs w:val="24"/>
          <w:bdr w:val="none" w:sz="0" w:space="0" w:color="auto"/>
          <w:lang w:eastAsia="ru-RU"/>
        </w:rPr>
        <w:tab/>
      </w:r>
      <w:r w:rsidRPr="00D51BF2">
        <w:rPr>
          <w:caps/>
          <w:noProof/>
        </w:rPr>
        <w:t>Financial Planning and Management</w:t>
      </w:r>
      <w:r>
        <w:rPr>
          <w:noProof/>
        </w:rPr>
        <w:tab/>
      </w:r>
      <w:r>
        <w:rPr>
          <w:noProof/>
        </w:rPr>
        <w:fldChar w:fldCharType="begin"/>
      </w:r>
      <w:r>
        <w:rPr>
          <w:noProof/>
        </w:rPr>
        <w:instrText xml:space="preserve"> PAGEREF _Toc8933101 \h </w:instrText>
      </w:r>
      <w:r>
        <w:rPr>
          <w:noProof/>
        </w:rPr>
      </w:r>
      <w:r>
        <w:rPr>
          <w:noProof/>
        </w:rPr>
        <w:fldChar w:fldCharType="separate"/>
      </w:r>
      <w:r w:rsidR="009301EF">
        <w:rPr>
          <w:noProof/>
        </w:rPr>
        <w:t>80</w:t>
      </w:r>
      <w:r>
        <w:rPr>
          <w:noProof/>
        </w:rPr>
        <w:fldChar w:fldCharType="end"/>
      </w:r>
    </w:p>
    <w:p w14:paraId="34AE0F41" w14:textId="7852E88C"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X.</w:t>
      </w:r>
      <w:r w:rsidRPr="00B609DE">
        <w:rPr>
          <w:rFonts w:asciiTheme="minorHAnsi" w:eastAsiaTheme="minorEastAsia" w:hAnsiTheme="minorHAnsi" w:cstheme="minorBidi"/>
          <w:noProof/>
          <w:color w:val="auto"/>
          <w:sz w:val="24"/>
          <w:szCs w:val="24"/>
          <w:bdr w:val="none" w:sz="0" w:space="0" w:color="auto"/>
          <w:lang w:eastAsia="ru-RU"/>
        </w:rPr>
        <w:tab/>
      </w:r>
      <w:r w:rsidRPr="00D51BF2">
        <w:rPr>
          <w:caps/>
          <w:noProof/>
        </w:rPr>
        <w:t>Total Budget and Workplan</w:t>
      </w:r>
      <w:r>
        <w:rPr>
          <w:noProof/>
        </w:rPr>
        <w:tab/>
      </w:r>
      <w:r>
        <w:rPr>
          <w:noProof/>
        </w:rPr>
        <w:fldChar w:fldCharType="begin"/>
      </w:r>
      <w:r>
        <w:rPr>
          <w:noProof/>
        </w:rPr>
        <w:instrText xml:space="preserve"> PAGEREF _Toc8933102 \h </w:instrText>
      </w:r>
      <w:r>
        <w:rPr>
          <w:noProof/>
        </w:rPr>
      </w:r>
      <w:r>
        <w:rPr>
          <w:noProof/>
        </w:rPr>
        <w:fldChar w:fldCharType="separate"/>
      </w:r>
      <w:r w:rsidR="009301EF">
        <w:rPr>
          <w:noProof/>
        </w:rPr>
        <w:t>82</w:t>
      </w:r>
      <w:r>
        <w:rPr>
          <w:noProof/>
        </w:rPr>
        <w:fldChar w:fldCharType="end"/>
      </w:r>
    </w:p>
    <w:p w14:paraId="148C02E3" w14:textId="45F5C68F" w:rsidR="007F3F77" w:rsidRPr="00B609DE" w:rsidRDefault="007F3F77">
      <w:pPr>
        <w:pStyle w:val="TOC2"/>
        <w:tabs>
          <w:tab w:val="left" w:pos="132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XI.</w:t>
      </w:r>
      <w:r w:rsidRPr="00B609DE">
        <w:rPr>
          <w:rFonts w:asciiTheme="minorHAnsi" w:eastAsiaTheme="minorEastAsia" w:hAnsiTheme="minorHAnsi" w:cstheme="minorBidi"/>
          <w:noProof/>
          <w:color w:val="auto"/>
          <w:sz w:val="24"/>
          <w:szCs w:val="24"/>
          <w:bdr w:val="none" w:sz="0" w:space="0" w:color="auto"/>
          <w:lang w:eastAsia="ru-RU"/>
        </w:rPr>
        <w:tab/>
      </w:r>
      <w:r w:rsidRPr="00D51BF2">
        <w:rPr>
          <w:caps/>
          <w:noProof/>
        </w:rPr>
        <w:t>Legal Context</w:t>
      </w:r>
      <w:r>
        <w:rPr>
          <w:noProof/>
        </w:rPr>
        <w:tab/>
      </w:r>
      <w:r>
        <w:rPr>
          <w:noProof/>
        </w:rPr>
        <w:fldChar w:fldCharType="begin"/>
      </w:r>
      <w:r>
        <w:rPr>
          <w:noProof/>
        </w:rPr>
        <w:instrText xml:space="preserve"> PAGEREF _Toc8933103 \h </w:instrText>
      </w:r>
      <w:r>
        <w:rPr>
          <w:noProof/>
        </w:rPr>
      </w:r>
      <w:r>
        <w:rPr>
          <w:noProof/>
        </w:rPr>
        <w:fldChar w:fldCharType="separate"/>
      </w:r>
      <w:r w:rsidR="009301EF">
        <w:rPr>
          <w:noProof/>
        </w:rPr>
        <w:t>91</w:t>
      </w:r>
      <w:r>
        <w:rPr>
          <w:noProof/>
        </w:rPr>
        <w:fldChar w:fldCharType="end"/>
      </w:r>
    </w:p>
    <w:p w14:paraId="5A5782E0" w14:textId="2999E92F" w:rsidR="007F3F77" w:rsidRPr="00B609DE" w:rsidRDefault="007F3F77">
      <w:pPr>
        <w:pStyle w:val="TOC2"/>
        <w:tabs>
          <w:tab w:val="left" w:pos="132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XII.</w:t>
      </w:r>
      <w:r w:rsidRPr="00B609DE">
        <w:rPr>
          <w:rFonts w:asciiTheme="minorHAnsi" w:eastAsiaTheme="minorEastAsia" w:hAnsiTheme="minorHAnsi" w:cstheme="minorBidi"/>
          <w:noProof/>
          <w:color w:val="auto"/>
          <w:sz w:val="24"/>
          <w:szCs w:val="24"/>
          <w:bdr w:val="none" w:sz="0" w:space="0" w:color="auto"/>
          <w:lang w:eastAsia="ru-RU"/>
        </w:rPr>
        <w:tab/>
      </w:r>
      <w:r w:rsidRPr="00D51BF2">
        <w:rPr>
          <w:caps/>
          <w:noProof/>
        </w:rPr>
        <w:t>RISK MANAGEMENT</w:t>
      </w:r>
      <w:r>
        <w:rPr>
          <w:noProof/>
        </w:rPr>
        <w:tab/>
      </w:r>
      <w:r>
        <w:rPr>
          <w:noProof/>
        </w:rPr>
        <w:fldChar w:fldCharType="begin"/>
      </w:r>
      <w:r>
        <w:rPr>
          <w:noProof/>
        </w:rPr>
        <w:instrText xml:space="preserve"> PAGEREF _Toc8933104 \h </w:instrText>
      </w:r>
      <w:r>
        <w:rPr>
          <w:noProof/>
        </w:rPr>
      </w:r>
      <w:r>
        <w:rPr>
          <w:noProof/>
        </w:rPr>
        <w:fldChar w:fldCharType="separate"/>
      </w:r>
      <w:r w:rsidR="009301EF">
        <w:rPr>
          <w:noProof/>
        </w:rPr>
        <w:t>92</w:t>
      </w:r>
      <w:r>
        <w:rPr>
          <w:noProof/>
        </w:rPr>
        <w:fldChar w:fldCharType="end"/>
      </w:r>
    </w:p>
    <w:p w14:paraId="6A449EFE" w14:textId="05052B5E" w:rsidR="007F3F77" w:rsidRPr="00B609DE" w:rsidRDefault="007F3F77">
      <w:pPr>
        <w:pStyle w:val="TOC2"/>
        <w:tabs>
          <w:tab w:val="left" w:pos="132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XIII.</w:t>
      </w:r>
      <w:r w:rsidRPr="00B609DE">
        <w:rPr>
          <w:rFonts w:asciiTheme="minorHAnsi" w:eastAsiaTheme="minorEastAsia" w:hAnsiTheme="minorHAnsi" w:cstheme="minorBidi"/>
          <w:noProof/>
          <w:color w:val="auto"/>
          <w:sz w:val="24"/>
          <w:szCs w:val="24"/>
          <w:bdr w:val="none" w:sz="0" w:space="0" w:color="auto"/>
          <w:lang w:eastAsia="ru-RU"/>
        </w:rPr>
        <w:tab/>
      </w:r>
      <w:r w:rsidRPr="00D51BF2">
        <w:rPr>
          <w:caps/>
          <w:noProof/>
        </w:rPr>
        <w:t>Mandatory Annexes</w:t>
      </w:r>
      <w:r>
        <w:rPr>
          <w:noProof/>
        </w:rPr>
        <w:tab/>
      </w:r>
      <w:r>
        <w:rPr>
          <w:noProof/>
        </w:rPr>
        <w:fldChar w:fldCharType="begin"/>
      </w:r>
      <w:r>
        <w:rPr>
          <w:noProof/>
        </w:rPr>
        <w:instrText xml:space="preserve"> PAGEREF _Toc8933105 \h </w:instrText>
      </w:r>
      <w:r>
        <w:rPr>
          <w:noProof/>
        </w:rPr>
      </w:r>
      <w:r>
        <w:rPr>
          <w:noProof/>
        </w:rPr>
        <w:fldChar w:fldCharType="separate"/>
      </w:r>
      <w:r w:rsidR="009301EF">
        <w:rPr>
          <w:noProof/>
        </w:rPr>
        <w:t>94</w:t>
      </w:r>
      <w:r>
        <w:rPr>
          <w:noProof/>
        </w:rPr>
        <w:fldChar w:fldCharType="end"/>
      </w:r>
    </w:p>
    <w:p w14:paraId="65946B62" w14:textId="4725A578"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A.</w:t>
      </w:r>
      <w:r w:rsidRPr="00B609DE">
        <w:rPr>
          <w:rFonts w:asciiTheme="minorHAnsi" w:eastAsiaTheme="minorEastAsia" w:hAnsiTheme="minorHAnsi" w:cstheme="minorBidi"/>
          <w:noProof/>
          <w:color w:val="auto"/>
          <w:sz w:val="24"/>
          <w:szCs w:val="24"/>
          <w:bdr w:val="none" w:sz="0" w:space="0" w:color="auto"/>
          <w:lang w:eastAsia="ru-RU"/>
        </w:rPr>
        <w:tab/>
      </w:r>
      <w:r w:rsidRPr="00D51BF2">
        <w:rPr>
          <w:noProof/>
        </w:rPr>
        <w:t>Multi year Workplan</w:t>
      </w:r>
      <w:r>
        <w:rPr>
          <w:noProof/>
        </w:rPr>
        <w:tab/>
      </w:r>
      <w:r>
        <w:rPr>
          <w:noProof/>
        </w:rPr>
        <w:fldChar w:fldCharType="begin"/>
      </w:r>
      <w:r>
        <w:rPr>
          <w:noProof/>
        </w:rPr>
        <w:instrText xml:space="preserve"> PAGEREF _Toc8933106 \h </w:instrText>
      </w:r>
      <w:r>
        <w:rPr>
          <w:noProof/>
        </w:rPr>
      </w:r>
      <w:r>
        <w:rPr>
          <w:noProof/>
        </w:rPr>
        <w:fldChar w:fldCharType="separate"/>
      </w:r>
      <w:r w:rsidR="009301EF">
        <w:rPr>
          <w:noProof/>
        </w:rPr>
        <w:t>94</w:t>
      </w:r>
      <w:r>
        <w:rPr>
          <w:noProof/>
        </w:rPr>
        <w:fldChar w:fldCharType="end"/>
      </w:r>
    </w:p>
    <w:p w14:paraId="09E88B23" w14:textId="4D04BE3C"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B.</w:t>
      </w:r>
      <w:r w:rsidRPr="00B609DE">
        <w:rPr>
          <w:rFonts w:asciiTheme="minorHAnsi" w:eastAsiaTheme="minorEastAsia" w:hAnsiTheme="minorHAnsi" w:cstheme="minorBidi"/>
          <w:noProof/>
          <w:color w:val="auto"/>
          <w:sz w:val="24"/>
          <w:szCs w:val="24"/>
          <w:bdr w:val="none" w:sz="0" w:space="0" w:color="auto"/>
          <w:lang w:eastAsia="ru-RU"/>
        </w:rPr>
        <w:tab/>
      </w:r>
      <w:r w:rsidRPr="00D51BF2">
        <w:rPr>
          <w:noProof/>
        </w:rPr>
        <w:t>Monitoring Plan</w:t>
      </w:r>
      <w:r>
        <w:rPr>
          <w:noProof/>
        </w:rPr>
        <w:tab/>
      </w:r>
      <w:r>
        <w:rPr>
          <w:noProof/>
        </w:rPr>
        <w:fldChar w:fldCharType="begin"/>
      </w:r>
      <w:r>
        <w:rPr>
          <w:noProof/>
        </w:rPr>
        <w:instrText xml:space="preserve"> PAGEREF _Toc8933107 \h </w:instrText>
      </w:r>
      <w:r>
        <w:rPr>
          <w:noProof/>
        </w:rPr>
      </w:r>
      <w:r>
        <w:rPr>
          <w:noProof/>
        </w:rPr>
        <w:fldChar w:fldCharType="separate"/>
      </w:r>
      <w:r w:rsidR="009301EF">
        <w:rPr>
          <w:noProof/>
        </w:rPr>
        <w:t>99</w:t>
      </w:r>
      <w:r>
        <w:rPr>
          <w:noProof/>
        </w:rPr>
        <w:fldChar w:fldCharType="end"/>
      </w:r>
    </w:p>
    <w:p w14:paraId="392E6CD8" w14:textId="6DF465BE"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C.</w:t>
      </w:r>
      <w:r w:rsidRPr="00B609DE">
        <w:rPr>
          <w:rFonts w:asciiTheme="minorHAnsi" w:eastAsiaTheme="minorEastAsia" w:hAnsiTheme="minorHAnsi" w:cstheme="minorBidi"/>
          <w:noProof/>
          <w:color w:val="auto"/>
          <w:sz w:val="24"/>
          <w:szCs w:val="24"/>
          <w:bdr w:val="none" w:sz="0" w:space="0" w:color="auto"/>
          <w:lang w:eastAsia="ru-RU"/>
        </w:rPr>
        <w:tab/>
      </w:r>
      <w:r w:rsidRPr="00D51BF2">
        <w:rPr>
          <w:noProof/>
        </w:rPr>
        <w:t>Evaluation Plan</w:t>
      </w:r>
      <w:r>
        <w:rPr>
          <w:noProof/>
        </w:rPr>
        <w:tab/>
      </w:r>
      <w:r>
        <w:rPr>
          <w:noProof/>
        </w:rPr>
        <w:fldChar w:fldCharType="begin"/>
      </w:r>
      <w:r>
        <w:rPr>
          <w:noProof/>
        </w:rPr>
        <w:instrText xml:space="preserve"> PAGEREF _Toc8933108 \h </w:instrText>
      </w:r>
      <w:r>
        <w:rPr>
          <w:noProof/>
        </w:rPr>
      </w:r>
      <w:r>
        <w:rPr>
          <w:noProof/>
        </w:rPr>
        <w:fldChar w:fldCharType="separate"/>
      </w:r>
      <w:r w:rsidR="009301EF">
        <w:rPr>
          <w:noProof/>
        </w:rPr>
        <w:t>102</w:t>
      </w:r>
      <w:r>
        <w:rPr>
          <w:noProof/>
        </w:rPr>
        <w:fldChar w:fldCharType="end"/>
      </w:r>
    </w:p>
    <w:p w14:paraId="45127DF9" w14:textId="3D6E9D64"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asciiTheme="majorHAnsi" w:eastAsia="SimSun" w:hAnsi="Arial Unicode MS"/>
          <w:noProof/>
        </w:rPr>
        <w:t>D.</w:t>
      </w:r>
      <w:r w:rsidRPr="00B609DE">
        <w:rPr>
          <w:rFonts w:asciiTheme="minorHAnsi" w:eastAsiaTheme="minorEastAsia" w:hAnsiTheme="minorHAnsi" w:cstheme="minorBidi"/>
          <w:noProof/>
          <w:color w:val="auto"/>
          <w:sz w:val="24"/>
          <w:szCs w:val="24"/>
          <w:bdr w:val="none" w:sz="0" w:space="0" w:color="auto"/>
          <w:lang w:eastAsia="ru-RU"/>
        </w:rPr>
        <w:tab/>
      </w:r>
      <w:r w:rsidRPr="00D51BF2">
        <w:rPr>
          <w:rFonts w:asciiTheme="majorHAnsi" w:hAnsiTheme="majorHAnsi"/>
          <w:noProof/>
        </w:rPr>
        <w:t>Overview</w:t>
      </w:r>
      <w:r w:rsidRPr="00D51BF2">
        <w:rPr>
          <w:rFonts w:asciiTheme="majorHAnsi" w:eastAsia="SimSun" w:hAnsiTheme="majorHAnsi"/>
          <w:noProof/>
        </w:rPr>
        <w:t xml:space="preserve"> of Technical Consultancies</w:t>
      </w:r>
      <w:r>
        <w:rPr>
          <w:noProof/>
        </w:rPr>
        <w:tab/>
      </w:r>
      <w:r>
        <w:rPr>
          <w:noProof/>
        </w:rPr>
        <w:fldChar w:fldCharType="begin"/>
      </w:r>
      <w:r>
        <w:rPr>
          <w:noProof/>
        </w:rPr>
        <w:instrText xml:space="preserve"> PAGEREF _Toc8933109 \h </w:instrText>
      </w:r>
      <w:r>
        <w:rPr>
          <w:noProof/>
        </w:rPr>
      </w:r>
      <w:r>
        <w:rPr>
          <w:noProof/>
        </w:rPr>
        <w:fldChar w:fldCharType="separate"/>
      </w:r>
      <w:r w:rsidR="009301EF">
        <w:rPr>
          <w:noProof/>
        </w:rPr>
        <w:t>103</w:t>
      </w:r>
      <w:r>
        <w:rPr>
          <w:noProof/>
        </w:rPr>
        <w:fldChar w:fldCharType="end"/>
      </w:r>
    </w:p>
    <w:p w14:paraId="71779BAF" w14:textId="1C4C421A"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asciiTheme="majorHAnsi" w:hAnsi="Arial Unicode MS"/>
          <w:noProof/>
        </w:rPr>
        <w:t>E.</w:t>
      </w:r>
      <w:r w:rsidRPr="00B609DE">
        <w:rPr>
          <w:rFonts w:asciiTheme="minorHAnsi" w:eastAsiaTheme="minorEastAsia" w:hAnsiTheme="minorHAnsi" w:cstheme="minorBidi"/>
          <w:noProof/>
          <w:color w:val="auto"/>
          <w:sz w:val="24"/>
          <w:szCs w:val="24"/>
          <w:bdr w:val="none" w:sz="0" w:space="0" w:color="auto"/>
          <w:lang w:eastAsia="ru-RU"/>
        </w:rPr>
        <w:tab/>
      </w:r>
      <w:r w:rsidRPr="00D51BF2">
        <w:rPr>
          <w:rFonts w:asciiTheme="majorHAnsi" w:hAnsiTheme="majorHAnsi"/>
          <w:noProof/>
        </w:rPr>
        <w:t>Terms of Reference</w:t>
      </w:r>
      <w:r>
        <w:rPr>
          <w:noProof/>
        </w:rPr>
        <w:tab/>
      </w:r>
      <w:r>
        <w:rPr>
          <w:noProof/>
        </w:rPr>
        <w:fldChar w:fldCharType="begin"/>
      </w:r>
      <w:r>
        <w:rPr>
          <w:noProof/>
        </w:rPr>
        <w:instrText xml:space="preserve"> PAGEREF _Toc8933110 \h </w:instrText>
      </w:r>
      <w:r>
        <w:rPr>
          <w:noProof/>
        </w:rPr>
      </w:r>
      <w:r>
        <w:rPr>
          <w:noProof/>
        </w:rPr>
        <w:fldChar w:fldCharType="separate"/>
      </w:r>
      <w:r w:rsidR="009301EF">
        <w:rPr>
          <w:noProof/>
        </w:rPr>
        <w:t>104</w:t>
      </w:r>
      <w:r>
        <w:rPr>
          <w:noProof/>
        </w:rPr>
        <w:fldChar w:fldCharType="end"/>
      </w:r>
    </w:p>
    <w:p w14:paraId="149C8DCD" w14:textId="29DCD3D9"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asciiTheme="majorHAnsi" w:hAnsi="Arial Unicode MS"/>
          <w:noProof/>
        </w:rPr>
        <w:t>F.</w:t>
      </w:r>
      <w:r w:rsidRPr="00B609DE">
        <w:rPr>
          <w:rFonts w:asciiTheme="minorHAnsi" w:eastAsiaTheme="minorEastAsia" w:hAnsiTheme="minorHAnsi" w:cstheme="minorBidi"/>
          <w:noProof/>
          <w:color w:val="auto"/>
          <w:sz w:val="24"/>
          <w:szCs w:val="24"/>
          <w:bdr w:val="none" w:sz="0" w:space="0" w:color="auto"/>
          <w:lang w:eastAsia="ru-RU"/>
        </w:rPr>
        <w:tab/>
      </w:r>
      <w:r w:rsidRPr="00D51BF2">
        <w:rPr>
          <w:rFonts w:asciiTheme="majorHAnsi" w:hAnsiTheme="majorHAnsi"/>
          <w:noProof/>
        </w:rPr>
        <w:t>UNDP Social and Environmental Screening Procedure (SESP)</w:t>
      </w:r>
      <w:r>
        <w:rPr>
          <w:noProof/>
        </w:rPr>
        <w:tab/>
      </w:r>
      <w:r>
        <w:rPr>
          <w:noProof/>
        </w:rPr>
        <w:fldChar w:fldCharType="begin"/>
      </w:r>
      <w:r>
        <w:rPr>
          <w:noProof/>
        </w:rPr>
        <w:instrText xml:space="preserve"> PAGEREF _Toc8933111 \h </w:instrText>
      </w:r>
      <w:r>
        <w:rPr>
          <w:noProof/>
        </w:rPr>
      </w:r>
      <w:r>
        <w:rPr>
          <w:noProof/>
        </w:rPr>
        <w:fldChar w:fldCharType="separate"/>
      </w:r>
      <w:r w:rsidR="009301EF">
        <w:rPr>
          <w:noProof/>
        </w:rPr>
        <w:t>112</w:t>
      </w:r>
      <w:r>
        <w:rPr>
          <w:noProof/>
        </w:rPr>
        <w:fldChar w:fldCharType="end"/>
      </w:r>
    </w:p>
    <w:p w14:paraId="54F8A373" w14:textId="061DF2EF"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G.</w:t>
      </w:r>
      <w:r w:rsidRPr="00B609DE">
        <w:rPr>
          <w:rFonts w:asciiTheme="minorHAnsi" w:eastAsiaTheme="minorEastAsia" w:hAnsiTheme="minorHAnsi" w:cstheme="minorBidi"/>
          <w:noProof/>
          <w:color w:val="auto"/>
          <w:sz w:val="24"/>
          <w:szCs w:val="24"/>
          <w:bdr w:val="none" w:sz="0" w:space="0" w:color="auto"/>
          <w:lang w:eastAsia="ru-RU"/>
        </w:rPr>
        <w:tab/>
      </w:r>
      <w:r w:rsidRPr="00D51BF2">
        <w:rPr>
          <w:noProof/>
        </w:rPr>
        <w:t>UNDP Project Quality Assurance Report (to be completed by UNDP Country Office)</w:t>
      </w:r>
      <w:r>
        <w:rPr>
          <w:noProof/>
        </w:rPr>
        <w:tab/>
      </w:r>
      <w:r>
        <w:rPr>
          <w:noProof/>
        </w:rPr>
        <w:fldChar w:fldCharType="begin"/>
      </w:r>
      <w:r>
        <w:rPr>
          <w:noProof/>
        </w:rPr>
        <w:instrText xml:space="preserve"> PAGEREF _Toc8933112 \h </w:instrText>
      </w:r>
      <w:r>
        <w:rPr>
          <w:noProof/>
        </w:rPr>
      </w:r>
      <w:r>
        <w:rPr>
          <w:noProof/>
        </w:rPr>
        <w:fldChar w:fldCharType="separate"/>
      </w:r>
      <w:r w:rsidR="009301EF">
        <w:rPr>
          <w:noProof/>
        </w:rPr>
        <w:t>126</w:t>
      </w:r>
      <w:r>
        <w:rPr>
          <w:noProof/>
        </w:rPr>
        <w:fldChar w:fldCharType="end"/>
      </w:r>
    </w:p>
    <w:p w14:paraId="61A35289" w14:textId="24AE8678"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H.</w:t>
      </w:r>
      <w:r w:rsidRPr="00B609DE">
        <w:rPr>
          <w:rFonts w:asciiTheme="minorHAnsi" w:eastAsiaTheme="minorEastAsia" w:hAnsiTheme="minorHAnsi" w:cstheme="minorBidi"/>
          <w:noProof/>
          <w:color w:val="auto"/>
          <w:sz w:val="24"/>
          <w:szCs w:val="24"/>
          <w:bdr w:val="none" w:sz="0" w:space="0" w:color="auto"/>
          <w:lang w:eastAsia="ru-RU"/>
        </w:rPr>
        <w:tab/>
      </w:r>
      <w:r w:rsidRPr="00D51BF2">
        <w:rPr>
          <w:noProof/>
        </w:rPr>
        <w:t>UNDP Risk Log (to be completed by UNDP Country Office)</w:t>
      </w:r>
      <w:r>
        <w:rPr>
          <w:noProof/>
        </w:rPr>
        <w:tab/>
      </w:r>
      <w:r>
        <w:rPr>
          <w:noProof/>
        </w:rPr>
        <w:fldChar w:fldCharType="begin"/>
      </w:r>
      <w:r>
        <w:rPr>
          <w:noProof/>
        </w:rPr>
        <w:instrText xml:space="preserve"> PAGEREF _Toc8933113 \h </w:instrText>
      </w:r>
      <w:r>
        <w:rPr>
          <w:noProof/>
        </w:rPr>
      </w:r>
      <w:r>
        <w:rPr>
          <w:noProof/>
        </w:rPr>
        <w:fldChar w:fldCharType="separate"/>
      </w:r>
      <w:r w:rsidR="009301EF">
        <w:rPr>
          <w:noProof/>
        </w:rPr>
        <w:t>127</w:t>
      </w:r>
      <w:r>
        <w:rPr>
          <w:noProof/>
        </w:rPr>
        <w:fldChar w:fldCharType="end"/>
      </w:r>
    </w:p>
    <w:p w14:paraId="51A230DA" w14:textId="24C51A76"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bdr w:val="none" w:sz="0" w:space="0" w:color="auto"/>
        </w:rPr>
        <w:t>I.</w:t>
      </w:r>
      <w:r w:rsidRPr="00B609DE">
        <w:rPr>
          <w:rFonts w:asciiTheme="minorHAnsi" w:eastAsiaTheme="minorEastAsia" w:hAnsiTheme="minorHAnsi" w:cstheme="minorBidi"/>
          <w:noProof/>
          <w:color w:val="auto"/>
          <w:sz w:val="24"/>
          <w:szCs w:val="24"/>
          <w:bdr w:val="none" w:sz="0" w:space="0" w:color="auto"/>
          <w:lang w:eastAsia="ru-RU"/>
        </w:rPr>
        <w:tab/>
      </w:r>
      <w:r w:rsidRPr="00D51BF2">
        <w:rPr>
          <w:noProof/>
        </w:rPr>
        <w:t>Results of the capacity assessment of the project implementing partner and HACT micro assessment</w:t>
      </w:r>
      <w:r>
        <w:rPr>
          <w:noProof/>
        </w:rPr>
        <w:tab/>
      </w:r>
      <w:r>
        <w:rPr>
          <w:noProof/>
        </w:rPr>
        <w:fldChar w:fldCharType="begin"/>
      </w:r>
      <w:r>
        <w:rPr>
          <w:noProof/>
        </w:rPr>
        <w:instrText xml:space="preserve"> PAGEREF _Toc8933114 \h </w:instrText>
      </w:r>
      <w:r>
        <w:rPr>
          <w:noProof/>
        </w:rPr>
      </w:r>
      <w:r>
        <w:rPr>
          <w:noProof/>
        </w:rPr>
        <w:fldChar w:fldCharType="separate"/>
      </w:r>
      <w:r w:rsidR="009301EF">
        <w:rPr>
          <w:noProof/>
        </w:rPr>
        <w:t>132</w:t>
      </w:r>
      <w:r>
        <w:rPr>
          <w:noProof/>
        </w:rPr>
        <w:fldChar w:fldCharType="end"/>
      </w:r>
    </w:p>
    <w:p w14:paraId="5639084A" w14:textId="43018A5A"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cs="Times New Roman"/>
          <w:noProof/>
          <w:bdr w:val="none" w:sz="0" w:space="0" w:color="auto"/>
        </w:rPr>
        <w:t>J.</w:t>
      </w:r>
      <w:r w:rsidRPr="00B609DE">
        <w:rPr>
          <w:rFonts w:asciiTheme="minorHAnsi" w:eastAsiaTheme="minorEastAsia" w:hAnsiTheme="minorHAnsi" w:cstheme="minorBidi"/>
          <w:noProof/>
          <w:color w:val="auto"/>
          <w:sz w:val="24"/>
          <w:szCs w:val="24"/>
          <w:bdr w:val="none" w:sz="0" w:space="0" w:color="auto"/>
          <w:lang w:eastAsia="ru-RU"/>
        </w:rPr>
        <w:tab/>
      </w:r>
      <w:r w:rsidRPr="00D51BF2">
        <w:rPr>
          <w:noProof/>
        </w:rPr>
        <w:t>Gender rating</w:t>
      </w:r>
      <w:r>
        <w:rPr>
          <w:noProof/>
        </w:rPr>
        <w:tab/>
      </w:r>
      <w:r>
        <w:rPr>
          <w:noProof/>
        </w:rPr>
        <w:fldChar w:fldCharType="begin"/>
      </w:r>
      <w:r>
        <w:rPr>
          <w:noProof/>
        </w:rPr>
        <w:instrText xml:space="preserve"> PAGEREF _Toc8933115 \h </w:instrText>
      </w:r>
      <w:r>
        <w:rPr>
          <w:noProof/>
        </w:rPr>
      </w:r>
      <w:r>
        <w:rPr>
          <w:noProof/>
        </w:rPr>
        <w:fldChar w:fldCharType="separate"/>
      </w:r>
      <w:r w:rsidR="009301EF">
        <w:rPr>
          <w:noProof/>
        </w:rPr>
        <w:t>133</w:t>
      </w:r>
      <w:r>
        <w:rPr>
          <w:noProof/>
        </w:rPr>
        <w:fldChar w:fldCharType="end"/>
      </w:r>
    </w:p>
    <w:p w14:paraId="64FFEAB4" w14:textId="13683C1B"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F.</w:t>
      </w:r>
      <w:r w:rsidRPr="00B609DE">
        <w:rPr>
          <w:rFonts w:asciiTheme="minorHAnsi" w:eastAsiaTheme="minorEastAsia" w:hAnsiTheme="minorHAnsi" w:cstheme="minorBidi"/>
          <w:noProof/>
          <w:color w:val="auto"/>
          <w:sz w:val="24"/>
          <w:szCs w:val="24"/>
          <w:bdr w:val="none" w:sz="0" w:space="0" w:color="auto"/>
          <w:lang w:eastAsia="ru-RU"/>
        </w:rPr>
        <w:tab/>
      </w:r>
      <w:r w:rsidRPr="00D51BF2">
        <w:rPr>
          <w:noProof/>
        </w:rPr>
        <w:t>STANDARD LETTER OF AGREEMENT BETWEEN UNDP AND THE GOVERNMENT FOR THE PROVISION OF SUPPORT SERVICES</w:t>
      </w:r>
      <w:r>
        <w:rPr>
          <w:noProof/>
        </w:rPr>
        <w:tab/>
      </w:r>
      <w:r>
        <w:rPr>
          <w:noProof/>
        </w:rPr>
        <w:fldChar w:fldCharType="begin"/>
      </w:r>
      <w:r>
        <w:rPr>
          <w:noProof/>
        </w:rPr>
        <w:instrText xml:space="preserve"> PAGEREF _Toc8933116 \h </w:instrText>
      </w:r>
      <w:r>
        <w:rPr>
          <w:noProof/>
        </w:rPr>
      </w:r>
      <w:r>
        <w:rPr>
          <w:noProof/>
        </w:rPr>
        <w:fldChar w:fldCharType="separate"/>
      </w:r>
      <w:r w:rsidR="009301EF">
        <w:rPr>
          <w:noProof/>
        </w:rPr>
        <w:t>135</w:t>
      </w:r>
      <w:r>
        <w:rPr>
          <w:noProof/>
        </w:rPr>
        <w:fldChar w:fldCharType="end"/>
      </w:r>
    </w:p>
    <w:p w14:paraId="48DBE3D7" w14:textId="632E4FBB"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G.</w:t>
      </w:r>
      <w:r w:rsidRPr="00B609DE">
        <w:rPr>
          <w:rFonts w:asciiTheme="minorHAnsi" w:eastAsiaTheme="minorEastAsia" w:hAnsiTheme="minorHAnsi" w:cstheme="minorBidi"/>
          <w:noProof/>
          <w:color w:val="auto"/>
          <w:sz w:val="24"/>
          <w:szCs w:val="24"/>
          <w:bdr w:val="none" w:sz="0" w:space="0" w:color="auto"/>
          <w:lang w:eastAsia="ru-RU"/>
        </w:rPr>
        <w:tab/>
      </w:r>
      <w:r w:rsidRPr="00D51BF2">
        <w:rPr>
          <w:rFonts w:asciiTheme="majorHAnsi" w:hAnsiTheme="majorHAnsi" w:cstheme="majorHAnsi"/>
          <w:noProof/>
        </w:rPr>
        <w:t>STAKEHOLDER ENGAGEMENT PLAN FOR THE IMPLEMENTATION PHASE</w:t>
      </w:r>
      <w:r>
        <w:rPr>
          <w:noProof/>
        </w:rPr>
        <w:tab/>
      </w:r>
      <w:r>
        <w:rPr>
          <w:noProof/>
        </w:rPr>
        <w:fldChar w:fldCharType="begin"/>
      </w:r>
      <w:r>
        <w:rPr>
          <w:noProof/>
        </w:rPr>
        <w:instrText xml:space="preserve"> PAGEREF _Toc8933117 \h </w:instrText>
      </w:r>
      <w:r>
        <w:rPr>
          <w:noProof/>
        </w:rPr>
      </w:r>
      <w:r>
        <w:rPr>
          <w:noProof/>
        </w:rPr>
        <w:fldChar w:fldCharType="separate"/>
      </w:r>
      <w:r w:rsidR="009301EF">
        <w:rPr>
          <w:noProof/>
        </w:rPr>
        <w:t>139</w:t>
      </w:r>
      <w:r>
        <w:rPr>
          <w:noProof/>
        </w:rPr>
        <w:fldChar w:fldCharType="end"/>
      </w:r>
    </w:p>
    <w:p w14:paraId="36C090E3" w14:textId="0D984767" w:rsidR="007F3F77" w:rsidRDefault="007F3F77">
      <w:pPr>
        <w:pStyle w:val="TOC3"/>
        <w:rPr>
          <w:rFonts w:asciiTheme="minorHAnsi" w:eastAsiaTheme="minorEastAsia" w:hAnsiTheme="minorHAnsi" w:cstheme="minorBidi"/>
          <w:noProof/>
          <w:color w:val="auto"/>
          <w:sz w:val="24"/>
          <w:szCs w:val="24"/>
          <w:bdr w:val="none" w:sz="0" w:space="0" w:color="auto"/>
          <w:lang w:val="ru-RU" w:eastAsia="ru-RU"/>
        </w:rPr>
      </w:pPr>
      <w:r>
        <w:rPr>
          <w:noProof/>
        </w:rPr>
        <w:tab/>
      </w:r>
      <w:r>
        <w:rPr>
          <w:noProof/>
        </w:rPr>
        <w:fldChar w:fldCharType="begin"/>
      </w:r>
      <w:r>
        <w:rPr>
          <w:noProof/>
        </w:rPr>
        <w:instrText xml:space="preserve"> PAGEREF _Toc8933118 \h </w:instrText>
      </w:r>
      <w:r>
        <w:rPr>
          <w:noProof/>
        </w:rPr>
      </w:r>
      <w:r>
        <w:rPr>
          <w:noProof/>
        </w:rPr>
        <w:fldChar w:fldCharType="separate"/>
      </w:r>
      <w:r w:rsidR="009301EF">
        <w:rPr>
          <w:noProof/>
        </w:rPr>
        <w:t>160</w:t>
      </w:r>
      <w:r>
        <w:rPr>
          <w:noProof/>
        </w:rPr>
        <w:fldChar w:fldCharType="end"/>
      </w:r>
    </w:p>
    <w:p w14:paraId="14832FE1" w14:textId="34CFE2F6" w:rsidR="007F3F77" w:rsidRPr="00B609DE" w:rsidRDefault="007F3F77">
      <w:pPr>
        <w:pStyle w:val="TOC2"/>
        <w:tabs>
          <w:tab w:val="left" w:pos="660"/>
        </w:tabs>
        <w:rPr>
          <w:rFonts w:asciiTheme="minorHAnsi" w:eastAsiaTheme="minorEastAsia" w:hAnsiTheme="minorHAnsi" w:cstheme="minorBidi"/>
          <w:noProof/>
          <w:color w:val="auto"/>
          <w:sz w:val="24"/>
          <w:szCs w:val="24"/>
          <w:bdr w:val="none" w:sz="0" w:space="0" w:color="auto"/>
          <w:lang w:eastAsia="ru-RU"/>
        </w:rPr>
      </w:pPr>
      <w:r w:rsidRPr="00D51BF2">
        <w:rPr>
          <w:rFonts w:hAnsi="Arial Unicode MS"/>
          <w:noProof/>
        </w:rPr>
        <w:t>H.</w:t>
      </w:r>
      <w:r w:rsidRPr="00B609DE">
        <w:rPr>
          <w:rFonts w:asciiTheme="minorHAnsi" w:eastAsiaTheme="minorEastAsia" w:hAnsiTheme="minorHAnsi" w:cstheme="minorBidi"/>
          <w:noProof/>
          <w:color w:val="auto"/>
          <w:sz w:val="24"/>
          <w:szCs w:val="24"/>
          <w:bdr w:val="none" w:sz="0" w:space="0" w:color="auto"/>
          <w:lang w:eastAsia="ru-RU"/>
        </w:rPr>
        <w:tab/>
      </w:r>
      <w:r w:rsidRPr="00D51BF2">
        <w:rPr>
          <w:noProof/>
        </w:rPr>
        <w:t>GENDER ANALYSIS AND STRATEGY</w:t>
      </w:r>
      <w:r>
        <w:rPr>
          <w:noProof/>
        </w:rPr>
        <w:tab/>
      </w:r>
      <w:r>
        <w:rPr>
          <w:noProof/>
        </w:rPr>
        <w:fldChar w:fldCharType="begin"/>
      </w:r>
      <w:r>
        <w:rPr>
          <w:noProof/>
        </w:rPr>
        <w:instrText xml:space="preserve"> PAGEREF _Toc8933119 \h </w:instrText>
      </w:r>
      <w:r>
        <w:rPr>
          <w:noProof/>
        </w:rPr>
      </w:r>
      <w:r>
        <w:rPr>
          <w:noProof/>
        </w:rPr>
        <w:fldChar w:fldCharType="separate"/>
      </w:r>
      <w:r w:rsidR="009301EF">
        <w:rPr>
          <w:noProof/>
        </w:rPr>
        <w:t>167</w:t>
      </w:r>
      <w:r>
        <w:rPr>
          <w:noProof/>
        </w:rPr>
        <w:fldChar w:fldCharType="end"/>
      </w:r>
    </w:p>
    <w:p w14:paraId="07D0954C" w14:textId="69BA4E72" w:rsidR="007F3F77" w:rsidRPr="00B609DE" w:rsidRDefault="007F3F77">
      <w:pPr>
        <w:pStyle w:val="TOC2"/>
        <w:tabs>
          <w:tab w:val="left" w:pos="2036"/>
        </w:tabs>
        <w:rPr>
          <w:rFonts w:asciiTheme="minorHAnsi" w:eastAsiaTheme="minorEastAsia" w:hAnsiTheme="minorHAnsi" w:cstheme="minorBidi"/>
          <w:noProof/>
          <w:color w:val="auto"/>
          <w:sz w:val="24"/>
          <w:szCs w:val="24"/>
          <w:bdr w:val="none" w:sz="0" w:space="0" w:color="auto"/>
          <w:lang w:eastAsia="ru-RU"/>
        </w:rPr>
      </w:pPr>
      <w:r w:rsidRPr="00D51BF2">
        <w:rPr>
          <w:rFonts w:asciiTheme="majorHAnsi" w:hAnsiTheme="majorHAnsi" w:cstheme="majorHAnsi"/>
          <w:noProof/>
          <w:color w:val="auto"/>
          <w:bdr w:val="none" w:sz="0" w:space="0" w:color="auto"/>
        </w:rPr>
        <w:t>Additional Annex A.</w:t>
      </w:r>
      <w:r w:rsidRPr="00B609DE">
        <w:rPr>
          <w:rFonts w:asciiTheme="minorHAnsi" w:eastAsiaTheme="minorEastAsia" w:hAnsiTheme="minorHAnsi" w:cstheme="minorBidi"/>
          <w:noProof/>
          <w:color w:val="auto"/>
          <w:sz w:val="24"/>
          <w:szCs w:val="24"/>
          <w:bdr w:val="none" w:sz="0" w:space="0" w:color="auto"/>
          <w:lang w:eastAsia="ru-RU"/>
        </w:rPr>
        <w:tab/>
      </w:r>
      <w:r w:rsidRPr="00D51BF2">
        <w:rPr>
          <w:rFonts w:asciiTheme="majorHAnsi" w:hAnsiTheme="majorHAnsi" w:cstheme="majorHAnsi"/>
          <w:noProof/>
        </w:rPr>
        <w:t>Target species of global conservation concern</w:t>
      </w:r>
      <w:r>
        <w:rPr>
          <w:noProof/>
        </w:rPr>
        <w:tab/>
      </w:r>
      <w:r>
        <w:rPr>
          <w:noProof/>
        </w:rPr>
        <w:fldChar w:fldCharType="begin"/>
      </w:r>
      <w:r>
        <w:rPr>
          <w:noProof/>
        </w:rPr>
        <w:instrText xml:space="preserve"> PAGEREF _Toc8933120 \h </w:instrText>
      </w:r>
      <w:r>
        <w:rPr>
          <w:noProof/>
        </w:rPr>
      </w:r>
      <w:r>
        <w:rPr>
          <w:noProof/>
        </w:rPr>
        <w:fldChar w:fldCharType="separate"/>
      </w:r>
      <w:r w:rsidR="009301EF">
        <w:rPr>
          <w:noProof/>
        </w:rPr>
        <w:t>188</w:t>
      </w:r>
      <w:r>
        <w:rPr>
          <w:noProof/>
        </w:rPr>
        <w:fldChar w:fldCharType="end"/>
      </w:r>
    </w:p>
    <w:p w14:paraId="67FC2DD1" w14:textId="2941C9C9" w:rsidR="007F3F77" w:rsidRPr="00B609DE" w:rsidRDefault="007F3F77">
      <w:pPr>
        <w:pStyle w:val="TOC2"/>
        <w:tabs>
          <w:tab w:val="left" w:pos="2099"/>
        </w:tabs>
        <w:rPr>
          <w:rFonts w:asciiTheme="minorHAnsi" w:eastAsiaTheme="minorEastAsia" w:hAnsiTheme="minorHAnsi" w:cstheme="minorBidi"/>
          <w:noProof/>
          <w:color w:val="auto"/>
          <w:sz w:val="24"/>
          <w:szCs w:val="24"/>
          <w:bdr w:val="none" w:sz="0" w:space="0" w:color="auto"/>
          <w:lang w:eastAsia="ru-RU"/>
        </w:rPr>
      </w:pPr>
      <w:r w:rsidRPr="00D51BF2">
        <w:rPr>
          <w:rFonts w:asciiTheme="majorHAnsi" w:hAnsiTheme="majorHAnsi" w:cstheme="majorHAnsi"/>
          <w:noProof/>
        </w:rPr>
        <w:t>Additional Annex B.</w:t>
      </w:r>
      <w:r w:rsidRPr="00B609DE">
        <w:rPr>
          <w:rFonts w:asciiTheme="minorHAnsi" w:eastAsiaTheme="minorEastAsia" w:hAnsiTheme="minorHAnsi" w:cstheme="minorBidi"/>
          <w:noProof/>
          <w:color w:val="auto"/>
          <w:sz w:val="24"/>
          <w:szCs w:val="24"/>
          <w:bdr w:val="none" w:sz="0" w:space="0" w:color="auto"/>
          <w:lang w:eastAsia="ru-RU"/>
        </w:rPr>
        <w:tab/>
      </w:r>
      <w:r w:rsidRPr="00D51BF2">
        <w:rPr>
          <w:rFonts w:asciiTheme="majorHAnsi" w:hAnsiTheme="majorHAnsi" w:cstheme="majorHAnsi"/>
          <w:noProof/>
        </w:rPr>
        <w:t>Cumulative dry matter yields (kg ha</w:t>
      </w:r>
      <w:r w:rsidRPr="00D51BF2">
        <w:rPr>
          <w:rFonts w:asciiTheme="majorHAnsi" w:hAnsiTheme="majorHAnsi" w:cstheme="majorHAnsi"/>
          <w:noProof/>
          <w:vertAlign w:val="superscript"/>
        </w:rPr>
        <w:t>−1</w:t>
      </w:r>
      <w:r w:rsidRPr="00D51BF2">
        <w:rPr>
          <w:rFonts w:asciiTheme="majorHAnsi" w:hAnsiTheme="majorHAnsi" w:cstheme="majorHAnsi"/>
          <w:noProof/>
        </w:rPr>
        <w:t>) of marketable products harvested in five different cocoa production systems in Bolivia from 2009 to 2013</w:t>
      </w:r>
      <w:r w:rsidRPr="00D51BF2">
        <w:rPr>
          <w:rFonts w:asciiTheme="majorHAnsi" w:hAnsiTheme="majorHAnsi" w:cstheme="majorHAnsi"/>
          <w:noProof/>
          <w:vertAlign w:val="superscript"/>
        </w:rPr>
        <w:t>.</w:t>
      </w:r>
      <w:r>
        <w:rPr>
          <w:noProof/>
        </w:rPr>
        <w:tab/>
      </w:r>
      <w:r>
        <w:rPr>
          <w:noProof/>
        </w:rPr>
        <w:fldChar w:fldCharType="begin"/>
      </w:r>
      <w:r>
        <w:rPr>
          <w:noProof/>
        </w:rPr>
        <w:instrText xml:space="preserve"> PAGEREF _Toc8933121 \h </w:instrText>
      </w:r>
      <w:r>
        <w:rPr>
          <w:noProof/>
        </w:rPr>
      </w:r>
      <w:r>
        <w:rPr>
          <w:noProof/>
        </w:rPr>
        <w:fldChar w:fldCharType="separate"/>
      </w:r>
      <w:r w:rsidR="009301EF">
        <w:rPr>
          <w:noProof/>
        </w:rPr>
        <w:t>209</w:t>
      </w:r>
      <w:r>
        <w:rPr>
          <w:noProof/>
        </w:rPr>
        <w:fldChar w:fldCharType="end"/>
      </w:r>
    </w:p>
    <w:p w14:paraId="5076A762" w14:textId="439AE127" w:rsidR="007F3F77" w:rsidRPr="00B609DE" w:rsidRDefault="007F3F77">
      <w:pPr>
        <w:pStyle w:val="TOC2"/>
        <w:tabs>
          <w:tab w:val="left" w:pos="2288"/>
        </w:tabs>
        <w:rPr>
          <w:rFonts w:asciiTheme="minorHAnsi" w:eastAsiaTheme="minorEastAsia" w:hAnsiTheme="minorHAnsi" w:cstheme="minorBidi"/>
          <w:noProof/>
          <w:color w:val="auto"/>
          <w:sz w:val="24"/>
          <w:szCs w:val="24"/>
          <w:bdr w:val="none" w:sz="0" w:space="0" w:color="auto"/>
          <w:lang w:eastAsia="ru-RU"/>
        </w:rPr>
      </w:pPr>
      <w:r w:rsidRPr="00D51BF2">
        <w:rPr>
          <w:rFonts w:asciiTheme="majorHAnsi" w:hAnsiTheme="majorHAnsi" w:cstheme="majorHAnsi"/>
          <w:noProof/>
        </w:rPr>
        <w:t>Additional Annex C.</w:t>
      </w:r>
      <w:r w:rsidRPr="00B609DE">
        <w:rPr>
          <w:rFonts w:asciiTheme="minorHAnsi" w:eastAsiaTheme="minorEastAsia" w:hAnsiTheme="minorHAnsi" w:cstheme="minorBidi"/>
          <w:noProof/>
          <w:color w:val="auto"/>
          <w:sz w:val="24"/>
          <w:szCs w:val="24"/>
          <w:bdr w:val="none" w:sz="0" w:space="0" w:color="auto"/>
          <w:lang w:eastAsia="ru-RU"/>
        </w:rPr>
        <w:tab/>
      </w:r>
      <w:r w:rsidRPr="00D51BF2">
        <w:rPr>
          <w:rFonts w:asciiTheme="majorHAnsi" w:hAnsiTheme="majorHAnsi" w:cstheme="majorHAnsi"/>
          <w:noProof/>
        </w:rPr>
        <w:t xml:space="preserve">Partnership Arrangement between the </w:t>
      </w:r>
      <w:r w:rsidR="009241AB">
        <w:rPr>
          <w:rFonts w:asciiTheme="majorHAnsi" w:hAnsiTheme="majorHAnsi" w:cstheme="majorHAnsi"/>
          <w:noProof/>
        </w:rPr>
        <w:t>MoE</w:t>
      </w:r>
      <w:r w:rsidRPr="00D51BF2">
        <w:rPr>
          <w:rFonts w:asciiTheme="majorHAnsi" w:hAnsiTheme="majorHAnsi" w:cstheme="majorHAnsi"/>
          <w:noProof/>
        </w:rPr>
        <w:t>/UNDP/FAO/GEF Project "Sustainable management of wooded production landscapes for biodiversity conservation” and the IADB PITAG program</w:t>
      </w:r>
      <w:r>
        <w:rPr>
          <w:noProof/>
        </w:rPr>
        <w:tab/>
      </w:r>
      <w:r>
        <w:rPr>
          <w:noProof/>
        </w:rPr>
        <w:fldChar w:fldCharType="begin"/>
      </w:r>
      <w:r>
        <w:rPr>
          <w:noProof/>
        </w:rPr>
        <w:instrText xml:space="preserve"> PAGEREF _Toc8933122 \h </w:instrText>
      </w:r>
      <w:r>
        <w:rPr>
          <w:noProof/>
        </w:rPr>
      </w:r>
      <w:r>
        <w:rPr>
          <w:noProof/>
        </w:rPr>
        <w:fldChar w:fldCharType="separate"/>
      </w:r>
      <w:r w:rsidR="009301EF">
        <w:rPr>
          <w:noProof/>
        </w:rPr>
        <w:t>210</w:t>
      </w:r>
      <w:r>
        <w:rPr>
          <w:noProof/>
        </w:rPr>
        <w:fldChar w:fldCharType="end"/>
      </w:r>
    </w:p>
    <w:p w14:paraId="73002920" w14:textId="010747E8" w:rsidR="007F3F77" w:rsidRPr="00B609DE" w:rsidRDefault="007F3F77">
      <w:pPr>
        <w:pStyle w:val="TOC2"/>
        <w:tabs>
          <w:tab w:val="left" w:pos="2045"/>
        </w:tabs>
        <w:rPr>
          <w:rFonts w:asciiTheme="minorHAnsi" w:eastAsiaTheme="minorEastAsia" w:hAnsiTheme="minorHAnsi" w:cstheme="minorBidi"/>
          <w:noProof/>
          <w:color w:val="auto"/>
          <w:sz w:val="24"/>
          <w:szCs w:val="24"/>
          <w:bdr w:val="none" w:sz="0" w:space="0" w:color="auto"/>
          <w:lang w:eastAsia="ru-RU"/>
        </w:rPr>
      </w:pPr>
      <w:r w:rsidRPr="00D51BF2">
        <w:rPr>
          <w:rFonts w:asciiTheme="majorHAnsi" w:hAnsiTheme="majorHAnsi" w:cstheme="majorHAnsi"/>
          <w:noProof/>
        </w:rPr>
        <w:t>Additional Annex D.</w:t>
      </w:r>
      <w:r w:rsidRPr="00B609DE">
        <w:rPr>
          <w:rFonts w:asciiTheme="minorHAnsi" w:eastAsiaTheme="minorEastAsia" w:hAnsiTheme="minorHAnsi" w:cstheme="minorBidi"/>
          <w:noProof/>
          <w:color w:val="auto"/>
          <w:sz w:val="24"/>
          <w:szCs w:val="24"/>
          <w:bdr w:val="none" w:sz="0" w:space="0" w:color="auto"/>
          <w:lang w:eastAsia="ru-RU"/>
        </w:rPr>
        <w:tab/>
      </w:r>
      <w:r w:rsidRPr="00D51BF2">
        <w:rPr>
          <w:rFonts w:asciiTheme="majorHAnsi" w:hAnsiTheme="majorHAnsi" w:cstheme="majorHAnsi"/>
          <w:noProof/>
        </w:rPr>
        <w:t>Procurement Plan</w:t>
      </w:r>
      <w:r>
        <w:rPr>
          <w:noProof/>
        </w:rPr>
        <w:tab/>
      </w:r>
      <w:r>
        <w:rPr>
          <w:noProof/>
        </w:rPr>
        <w:fldChar w:fldCharType="begin"/>
      </w:r>
      <w:r>
        <w:rPr>
          <w:noProof/>
        </w:rPr>
        <w:instrText xml:space="preserve"> PAGEREF _Toc8933123 \h </w:instrText>
      </w:r>
      <w:r>
        <w:rPr>
          <w:noProof/>
        </w:rPr>
      </w:r>
      <w:r>
        <w:rPr>
          <w:noProof/>
        </w:rPr>
        <w:fldChar w:fldCharType="separate"/>
      </w:r>
      <w:r w:rsidR="009301EF">
        <w:rPr>
          <w:noProof/>
        </w:rPr>
        <w:t>212</w:t>
      </w:r>
      <w:r>
        <w:rPr>
          <w:noProof/>
        </w:rPr>
        <w:fldChar w:fldCharType="end"/>
      </w:r>
    </w:p>
    <w:p w14:paraId="004DD007" w14:textId="604FDDDB" w:rsidR="001771FE" w:rsidRPr="005516CD" w:rsidRDefault="00045B04" w:rsidP="007B146B">
      <w:pPr>
        <w:pStyle w:val="Body"/>
        <w:spacing w:after="240"/>
        <w:rPr>
          <w:sz w:val="22"/>
          <w:szCs w:val="22"/>
        </w:rPr>
      </w:pPr>
      <w:r w:rsidRPr="005516CD">
        <w:fldChar w:fldCharType="end"/>
      </w:r>
    </w:p>
    <w:p w14:paraId="44325D35" w14:textId="77777777" w:rsidR="001771FE" w:rsidRPr="005516CD" w:rsidRDefault="00045B04" w:rsidP="007B146B">
      <w:pPr>
        <w:pStyle w:val="Body"/>
        <w:spacing w:after="160" w:line="259" w:lineRule="auto"/>
        <w:jc w:val="left"/>
      </w:pPr>
      <w:r w:rsidRPr="005516CD">
        <w:br w:type="page"/>
      </w:r>
    </w:p>
    <w:p w14:paraId="5B2E8ABA" w14:textId="77777777" w:rsidR="001771FE" w:rsidRPr="005516CD" w:rsidRDefault="00045B04" w:rsidP="007B146B">
      <w:pPr>
        <w:pStyle w:val="Body"/>
        <w:spacing w:after="0"/>
        <w:jc w:val="left"/>
        <w:rPr>
          <w:b/>
          <w:bCs/>
        </w:rPr>
      </w:pPr>
      <w:r w:rsidRPr="005516CD">
        <w:rPr>
          <w:b/>
          <w:bCs/>
          <w:lang w:val="en-US"/>
        </w:rPr>
        <w:t>Abbreviations and acronyms</w:t>
      </w:r>
    </w:p>
    <w:p w14:paraId="238CECF2" w14:textId="77777777" w:rsidR="001771FE" w:rsidRPr="005516CD" w:rsidRDefault="001771FE" w:rsidP="007B146B">
      <w:pPr>
        <w:pStyle w:val="Body"/>
        <w:spacing w:after="0"/>
        <w:jc w:val="left"/>
        <w:rPr>
          <w:b/>
          <w:bCs/>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4"/>
        <w:gridCol w:w="7794"/>
      </w:tblGrid>
      <w:tr w:rsidR="00864BF8" w:rsidRPr="005516CD" w14:paraId="5AA3DC2C" w14:textId="77777777" w:rsidTr="00864BF8">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hideMark/>
          </w:tcPr>
          <w:p w14:paraId="706ABE8D" w14:textId="77777777" w:rsidR="00864BF8" w:rsidRPr="005516CD" w:rsidRDefault="00864BF8">
            <w:pPr>
              <w:spacing w:line="256" w:lineRule="auto"/>
              <w:jc w:val="center"/>
              <w:rPr>
                <w:rFonts w:asciiTheme="majorHAnsi" w:eastAsia="Calibri" w:hAnsiTheme="majorHAnsi" w:cstheme="majorHAnsi"/>
                <w:b/>
                <w:sz w:val="20"/>
                <w:szCs w:val="20"/>
              </w:rPr>
            </w:pPr>
            <w:r w:rsidRPr="005516CD">
              <w:rPr>
                <w:rFonts w:asciiTheme="majorHAnsi" w:hAnsiTheme="majorHAnsi" w:cstheme="majorHAnsi"/>
                <w:b/>
                <w:sz w:val="20"/>
                <w:szCs w:val="20"/>
              </w:rPr>
              <w:t>Abbreviation</w:t>
            </w:r>
          </w:p>
        </w:tc>
        <w:tc>
          <w:tcPr>
            <w:tcW w:w="7794" w:type="dxa"/>
            <w:tcBorders>
              <w:top w:val="single" w:sz="4" w:space="0" w:color="auto"/>
              <w:left w:val="single" w:sz="4" w:space="0" w:color="auto"/>
              <w:bottom w:val="single" w:sz="4" w:space="0" w:color="auto"/>
              <w:right w:val="single" w:sz="4" w:space="0" w:color="auto"/>
            </w:tcBorders>
            <w:shd w:val="clear" w:color="auto" w:fill="D9D9D9"/>
            <w:hideMark/>
          </w:tcPr>
          <w:p w14:paraId="4A1D21BB" w14:textId="77777777" w:rsidR="00864BF8" w:rsidRPr="005516CD" w:rsidRDefault="00864BF8">
            <w:pPr>
              <w:spacing w:line="256" w:lineRule="auto"/>
              <w:jc w:val="center"/>
              <w:rPr>
                <w:rFonts w:asciiTheme="majorHAnsi" w:hAnsiTheme="majorHAnsi" w:cstheme="majorHAnsi"/>
                <w:b/>
                <w:sz w:val="20"/>
                <w:szCs w:val="20"/>
              </w:rPr>
            </w:pPr>
            <w:r w:rsidRPr="005516CD">
              <w:rPr>
                <w:rFonts w:asciiTheme="majorHAnsi" w:hAnsiTheme="majorHAnsi" w:cstheme="majorHAnsi"/>
                <w:b/>
                <w:sz w:val="20"/>
                <w:szCs w:val="20"/>
              </w:rPr>
              <w:t>English meaning</w:t>
            </w:r>
          </w:p>
        </w:tc>
      </w:tr>
      <w:tr w:rsidR="00864BF8" w:rsidRPr="005516CD" w14:paraId="44AAB9D8"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B426AA3"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AECID</w:t>
            </w:r>
          </w:p>
        </w:tc>
        <w:tc>
          <w:tcPr>
            <w:tcW w:w="7794" w:type="dxa"/>
            <w:tcBorders>
              <w:top w:val="single" w:sz="4" w:space="0" w:color="auto"/>
              <w:left w:val="single" w:sz="4" w:space="0" w:color="auto"/>
              <w:bottom w:val="single" w:sz="4" w:space="0" w:color="auto"/>
              <w:right w:val="single" w:sz="4" w:space="0" w:color="auto"/>
            </w:tcBorders>
            <w:hideMark/>
          </w:tcPr>
          <w:p w14:paraId="1E01C336"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rPr>
              <w:t>Spanish Agency for International Development Cooperation</w:t>
            </w:r>
          </w:p>
        </w:tc>
      </w:tr>
      <w:tr w:rsidR="00864BF8" w:rsidRPr="005516CD" w14:paraId="4B6C7658"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4A87B64"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AFOLU</w:t>
            </w:r>
          </w:p>
        </w:tc>
        <w:tc>
          <w:tcPr>
            <w:tcW w:w="7794" w:type="dxa"/>
            <w:tcBorders>
              <w:top w:val="single" w:sz="4" w:space="0" w:color="auto"/>
              <w:left w:val="single" w:sz="4" w:space="0" w:color="auto"/>
              <w:bottom w:val="single" w:sz="4" w:space="0" w:color="auto"/>
              <w:right w:val="single" w:sz="4" w:space="0" w:color="auto"/>
            </w:tcBorders>
            <w:hideMark/>
          </w:tcPr>
          <w:p w14:paraId="2E92A90F"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Agriculture, forestry and other land use</w:t>
            </w:r>
          </w:p>
        </w:tc>
      </w:tr>
      <w:tr w:rsidR="00864BF8" w:rsidRPr="005516CD" w14:paraId="435A4D8D"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B04FC44" w14:textId="77777777" w:rsidR="00864BF8" w:rsidRPr="005516CD" w:rsidRDefault="00864BF8">
            <w:pPr>
              <w:spacing w:line="256" w:lineRule="auto"/>
              <w:rPr>
                <w:rFonts w:asciiTheme="majorHAnsi" w:hAnsiTheme="majorHAnsi" w:cstheme="majorHAnsi"/>
                <w:sz w:val="20"/>
                <w:szCs w:val="20"/>
                <w:lang w:val="es-EC"/>
              </w:rPr>
            </w:pPr>
            <w:r w:rsidRPr="005516CD">
              <w:rPr>
                <w:rFonts w:asciiTheme="majorHAnsi" w:hAnsiTheme="majorHAnsi" w:cstheme="majorHAnsi"/>
                <w:sz w:val="20"/>
                <w:szCs w:val="20"/>
                <w:lang w:val="en-US"/>
              </w:rPr>
              <w:t>ANAP</w:t>
            </w:r>
          </w:p>
        </w:tc>
        <w:tc>
          <w:tcPr>
            <w:tcW w:w="7794" w:type="dxa"/>
            <w:tcBorders>
              <w:top w:val="single" w:sz="4" w:space="0" w:color="auto"/>
              <w:left w:val="single" w:sz="4" w:space="0" w:color="auto"/>
              <w:bottom w:val="single" w:sz="4" w:space="0" w:color="auto"/>
              <w:right w:val="single" w:sz="4" w:space="0" w:color="auto"/>
            </w:tcBorders>
            <w:hideMark/>
          </w:tcPr>
          <w:p w14:paraId="294E7E91"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National Protected Area Agency</w:t>
            </w:r>
          </w:p>
        </w:tc>
      </w:tr>
      <w:tr w:rsidR="00864BF8" w:rsidRPr="005516CD" w14:paraId="4DE1ED19"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7A5E01FF"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ANATRAF</w:t>
            </w:r>
          </w:p>
        </w:tc>
        <w:tc>
          <w:tcPr>
            <w:tcW w:w="7794" w:type="dxa"/>
            <w:tcBorders>
              <w:top w:val="single" w:sz="4" w:space="0" w:color="auto"/>
              <w:left w:val="single" w:sz="4" w:space="0" w:color="auto"/>
              <w:bottom w:val="single" w:sz="4" w:space="0" w:color="auto"/>
              <w:right w:val="single" w:sz="4" w:space="0" w:color="auto"/>
            </w:tcBorders>
            <w:hideMark/>
          </w:tcPr>
          <w:p w14:paraId="037F836F"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The National Association of Fruit Processers</w:t>
            </w:r>
          </w:p>
        </w:tc>
      </w:tr>
      <w:tr w:rsidR="00864BF8" w:rsidRPr="005516CD" w14:paraId="32BF447E"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F51C5A0"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AOO</w:t>
            </w:r>
          </w:p>
        </w:tc>
        <w:tc>
          <w:tcPr>
            <w:tcW w:w="7794" w:type="dxa"/>
            <w:tcBorders>
              <w:top w:val="single" w:sz="4" w:space="0" w:color="auto"/>
              <w:left w:val="single" w:sz="4" w:space="0" w:color="auto"/>
              <w:bottom w:val="single" w:sz="4" w:space="0" w:color="auto"/>
              <w:right w:val="single" w:sz="4" w:space="0" w:color="auto"/>
            </w:tcBorders>
            <w:hideMark/>
          </w:tcPr>
          <w:p w14:paraId="2F177A65"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Area of occupancy</w:t>
            </w:r>
          </w:p>
        </w:tc>
      </w:tr>
      <w:tr w:rsidR="00864BF8" w:rsidRPr="005516CD" w14:paraId="296A092A"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EB35A68" w14:textId="77777777" w:rsidR="00864BF8" w:rsidRPr="005516CD" w:rsidRDefault="00864BF8">
            <w:pPr>
              <w:spacing w:line="256" w:lineRule="auto"/>
              <w:rPr>
                <w:rFonts w:asciiTheme="majorHAnsi" w:hAnsiTheme="majorHAnsi" w:cstheme="majorHAnsi"/>
                <w:sz w:val="20"/>
                <w:szCs w:val="20"/>
                <w:lang w:val="es-ES"/>
              </w:rPr>
            </w:pPr>
            <w:r w:rsidRPr="005516CD">
              <w:rPr>
                <w:rFonts w:asciiTheme="majorHAnsi" w:hAnsiTheme="majorHAnsi" w:cstheme="majorHAnsi"/>
                <w:sz w:val="20"/>
                <w:szCs w:val="20"/>
                <w:lang w:val="es-ES"/>
              </w:rPr>
              <w:t>BD</w:t>
            </w:r>
          </w:p>
        </w:tc>
        <w:tc>
          <w:tcPr>
            <w:tcW w:w="7794" w:type="dxa"/>
            <w:tcBorders>
              <w:top w:val="single" w:sz="4" w:space="0" w:color="auto"/>
              <w:left w:val="single" w:sz="4" w:space="0" w:color="auto"/>
              <w:bottom w:val="single" w:sz="4" w:space="0" w:color="auto"/>
              <w:right w:val="single" w:sz="4" w:space="0" w:color="auto"/>
            </w:tcBorders>
            <w:hideMark/>
          </w:tcPr>
          <w:p w14:paraId="71A0304E" w14:textId="64EF1223" w:rsidR="00864BF8" w:rsidRPr="005516CD" w:rsidRDefault="00864BF8">
            <w:pPr>
              <w:spacing w:line="256" w:lineRule="auto"/>
              <w:rPr>
                <w:rFonts w:asciiTheme="majorHAnsi" w:hAnsiTheme="majorHAnsi" w:cstheme="majorHAnsi"/>
                <w:sz w:val="20"/>
                <w:szCs w:val="20"/>
                <w:lang w:val="en-US"/>
              </w:rPr>
            </w:pPr>
            <w:proofErr w:type="spellStart"/>
            <w:r w:rsidRPr="005516CD">
              <w:rPr>
                <w:rFonts w:asciiTheme="majorHAnsi" w:hAnsiTheme="majorHAnsi" w:cstheme="majorHAnsi"/>
                <w:sz w:val="20"/>
                <w:szCs w:val="20"/>
                <w:lang w:val="en-US"/>
              </w:rPr>
              <w:t>Bio</w:t>
            </w:r>
            <w:r w:rsidR="007C2347">
              <w:rPr>
                <w:rFonts w:asciiTheme="majorHAnsi" w:hAnsiTheme="majorHAnsi" w:cstheme="majorHAnsi"/>
                <w:sz w:val="20"/>
                <w:szCs w:val="20"/>
                <w:lang w:val="en-US"/>
              </w:rPr>
              <w:t>D</w:t>
            </w:r>
            <w:r w:rsidRPr="005516CD">
              <w:rPr>
                <w:rFonts w:asciiTheme="majorHAnsi" w:hAnsiTheme="majorHAnsi" w:cstheme="majorHAnsi"/>
                <w:sz w:val="20"/>
                <w:szCs w:val="20"/>
                <w:lang w:val="en-US"/>
              </w:rPr>
              <w:t>iversity</w:t>
            </w:r>
            <w:proofErr w:type="spellEnd"/>
          </w:p>
        </w:tc>
      </w:tr>
      <w:tr w:rsidR="00864BF8" w:rsidRPr="005516CD" w14:paraId="41AE58EC"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3EE483A" w14:textId="77777777" w:rsidR="00864BF8" w:rsidRPr="005516CD" w:rsidRDefault="00864BF8">
            <w:pPr>
              <w:spacing w:line="256" w:lineRule="auto"/>
              <w:rPr>
                <w:rFonts w:asciiTheme="majorHAnsi" w:hAnsiTheme="majorHAnsi" w:cstheme="majorHAnsi"/>
                <w:sz w:val="20"/>
                <w:szCs w:val="20"/>
                <w:lang w:val="es-EC"/>
              </w:rPr>
            </w:pPr>
            <w:r w:rsidRPr="005516CD">
              <w:rPr>
                <w:rFonts w:asciiTheme="majorHAnsi" w:hAnsiTheme="majorHAnsi" w:cstheme="majorHAnsi"/>
                <w:sz w:val="20"/>
                <w:szCs w:val="20"/>
                <w:lang w:val="es-ES"/>
              </w:rPr>
              <w:t xml:space="preserve">CARICOM  </w:t>
            </w:r>
          </w:p>
        </w:tc>
        <w:tc>
          <w:tcPr>
            <w:tcW w:w="7794" w:type="dxa"/>
            <w:tcBorders>
              <w:top w:val="single" w:sz="4" w:space="0" w:color="auto"/>
              <w:left w:val="single" w:sz="4" w:space="0" w:color="auto"/>
              <w:bottom w:val="single" w:sz="4" w:space="0" w:color="auto"/>
              <w:right w:val="single" w:sz="4" w:space="0" w:color="auto"/>
            </w:tcBorders>
            <w:hideMark/>
          </w:tcPr>
          <w:p w14:paraId="4755CD36"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Caribbean Community</w:t>
            </w:r>
          </w:p>
        </w:tc>
      </w:tr>
      <w:tr w:rsidR="00864BF8" w:rsidRPr="005516CD" w14:paraId="186E6871"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8963A70"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CASELI</w:t>
            </w:r>
          </w:p>
        </w:tc>
        <w:tc>
          <w:tcPr>
            <w:tcW w:w="7794" w:type="dxa"/>
            <w:tcBorders>
              <w:top w:val="single" w:sz="4" w:space="0" w:color="auto"/>
              <w:left w:val="single" w:sz="4" w:space="0" w:color="auto"/>
              <w:bottom w:val="single" w:sz="4" w:space="0" w:color="auto"/>
              <w:right w:val="single" w:sz="4" w:space="0" w:color="auto"/>
            </w:tcBorders>
            <w:hideMark/>
          </w:tcPr>
          <w:p w14:paraId="164CB953"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Center for Support and Services for Local and International Businesses </w:t>
            </w:r>
          </w:p>
        </w:tc>
      </w:tr>
      <w:tr w:rsidR="00864BF8" w:rsidRPr="005516CD" w14:paraId="562BD987"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EA96EDF" w14:textId="77777777" w:rsidR="00864BF8" w:rsidRPr="005516CD" w:rsidRDefault="00864BF8">
            <w:pPr>
              <w:spacing w:line="256" w:lineRule="auto"/>
              <w:rPr>
                <w:rFonts w:asciiTheme="majorHAnsi" w:hAnsiTheme="majorHAnsi" w:cstheme="majorHAnsi"/>
                <w:sz w:val="20"/>
                <w:szCs w:val="20"/>
                <w:lang w:val="es-EC"/>
              </w:rPr>
            </w:pPr>
            <w:r w:rsidRPr="005516CD">
              <w:rPr>
                <w:rFonts w:asciiTheme="majorHAnsi" w:hAnsiTheme="majorHAnsi" w:cstheme="majorHAnsi"/>
                <w:sz w:val="20"/>
                <w:szCs w:val="20"/>
                <w:lang w:val="es-EC"/>
              </w:rPr>
              <w:t>CBC</w:t>
            </w:r>
          </w:p>
        </w:tc>
        <w:tc>
          <w:tcPr>
            <w:tcW w:w="7794" w:type="dxa"/>
            <w:tcBorders>
              <w:top w:val="single" w:sz="4" w:space="0" w:color="auto"/>
              <w:left w:val="single" w:sz="4" w:space="0" w:color="auto"/>
              <w:bottom w:val="single" w:sz="4" w:space="0" w:color="auto"/>
              <w:right w:val="single" w:sz="4" w:space="0" w:color="auto"/>
            </w:tcBorders>
            <w:hideMark/>
          </w:tcPr>
          <w:p w14:paraId="250F4737"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Caribbean Biological Corridor</w:t>
            </w:r>
          </w:p>
        </w:tc>
      </w:tr>
      <w:tr w:rsidR="00864BF8" w:rsidRPr="005516CD" w14:paraId="005BE0A3"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B44F3FF" w14:textId="77777777" w:rsidR="00864BF8" w:rsidRPr="005516CD" w:rsidRDefault="00864BF8">
            <w:pPr>
              <w:spacing w:line="256" w:lineRule="auto"/>
              <w:rPr>
                <w:rFonts w:asciiTheme="majorHAnsi" w:hAnsiTheme="majorHAnsi" w:cstheme="majorHAnsi"/>
                <w:sz w:val="20"/>
                <w:szCs w:val="20"/>
                <w:lang w:val="es-EC"/>
              </w:rPr>
            </w:pPr>
            <w:r w:rsidRPr="005516CD">
              <w:rPr>
                <w:rFonts w:asciiTheme="majorHAnsi" w:hAnsiTheme="majorHAnsi" w:cstheme="majorHAnsi"/>
                <w:sz w:val="20"/>
                <w:szCs w:val="20"/>
                <w:lang w:val="es-EC"/>
              </w:rPr>
              <w:t>CBO</w:t>
            </w:r>
          </w:p>
        </w:tc>
        <w:tc>
          <w:tcPr>
            <w:tcW w:w="7794" w:type="dxa"/>
            <w:tcBorders>
              <w:top w:val="single" w:sz="4" w:space="0" w:color="auto"/>
              <w:left w:val="single" w:sz="4" w:space="0" w:color="auto"/>
              <w:bottom w:val="single" w:sz="4" w:space="0" w:color="auto"/>
              <w:right w:val="single" w:sz="4" w:space="0" w:color="auto"/>
            </w:tcBorders>
            <w:hideMark/>
          </w:tcPr>
          <w:p w14:paraId="4F516350"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Community-Based </w:t>
            </w:r>
            <w:proofErr w:type="spellStart"/>
            <w:r w:rsidRPr="005516CD">
              <w:rPr>
                <w:rFonts w:asciiTheme="majorHAnsi" w:hAnsiTheme="majorHAnsi" w:cstheme="majorHAnsi"/>
                <w:sz w:val="20"/>
                <w:szCs w:val="20"/>
                <w:lang w:val="en-US"/>
              </w:rPr>
              <w:t>Organisation</w:t>
            </w:r>
            <w:proofErr w:type="spellEnd"/>
          </w:p>
        </w:tc>
      </w:tr>
      <w:tr w:rsidR="00864BF8" w:rsidRPr="005516CD" w14:paraId="52C01A30"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FC58842" w14:textId="77777777" w:rsidR="00864BF8" w:rsidRPr="005516CD" w:rsidRDefault="00864BF8">
            <w:pPr>
              <w:spacing w:line="256" w:lineRule="auto"/>
              <w:rPr>
                <w:rFonts w:asciiTheme="majorHAnsi" w:hAnsiTheme="majorHAnsi" w:cstheme="majorHAnsi"/>
                <w:sz w:val="20"/>
                <w:szCs w:val="20"/>
                <w:lang w:val="es-ES"/>
              </w:rPr>
            </w:pPr>
            <w:r w:rsidRPr="005516CD">
              <w:rPr>
                <w:rFonts w:asciiTheme="majorHAnsi" w:hAnsiTheme="majorHAnsi" w:cstheme="majorHAnsi"/>
                <w:sz w:val="20"/>
                <w:szCs w:val="20"/>
                <w:lang w:val="es-EC"/>
              </w:rPr>
              <w:t>CC</w:t>
            </w:r>
          </w:p>
        </w:tc>
        <w:tc>
          <w:tcPr>
            <w:tcW w:w="7794" w:type="dxa"/>
            <w:tcBorders>
              <w:top w:val="single" w:sz="4" w:space="0" w:color="auto"/>
              <w:left w:val="single" w:sz="4" w:space="0" w:color="auto"/>
              <w:bottom w:val="single" w:sz="4" w:space="0" w:color="auto"/>
              <w:right w:val="single" w:sz="4" w:space="0" w:color="auto"/>
            </w:tcBorders>
            <w:hideMark/>
          </w:tcPr>
          <w:p w14:paraId="38092AEA"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Climate Change</w:t>
            </w:r>
          </w:p>
        </w:tc>
      </w:tr>
      <w:tr w:rsidR="00864BF8" w:rsidRPr="005516CD" w14:paraId="0498A15B"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2EB992B5" w14:textId="77777777" w:rsidR="00864BF8" w:rsidRPr="005516CD" w:rsidRDefault="00864BF8">
            <w:pPr>
              <w:spacing w:line="256" w:lineRule="auto"/>
              <w:rPr>
                <w:rFonts w:asciiTheme="majorHAnsi" w:hAnsiTheme="majorHAnsi" w:cstheme="majorHAnsi"/>
                <w:sz w:val="20"/>
                <w:szCs w:val="20"/>
                <w:lang w:val="es-EC"/>
              </w:rPr>
            </w:pPr>
            <w:r w:rsidRPr="005516CD">
              <w:rPr>
                <w:rFonts w:asciiTheme="majorHAnsi" w:hAnsiTheme="majorHAnsi" w:cstheme="majorHAnsi"/>
                <w:sz w:val="20"/>
                <w:szCs w:val="20"/>
                <w:lang w:val="es-EC"/>
              </w:rPr>
              <w:t>CCA</w:t>
            </w:r>
          </w:p>
        </w:tc>
        <w:tc>
          <w:tcPr>
            <w:tcW w:w="7794" w:type="dxa"/>
            <w:tcBorders>
              <w:top w:val="single" w:sz="4" w:space="0" w:color="auto"/>
              <w:left w:val="single" w:sz="4" w:space="0" w:color="auto"/>
              <w:bottom w:val="single" w:sz="4" w:space="0" w:color="auto"/>
              <w:right w:val="single" w:sz="4" w:space="0" w:color="auto"/>
            </w:tcBorders>
            <w:hideMark/>
          </w:tcPr>
          <w:p w14:paraId="203DF97B"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Climate Change Adaptation </w:t>
            </w:r>
          </w:p>
        </w:tc>
      </w:tr>
      <w:tr w:rsidR="00864BF8" w:rsidRPr="005516CD" w14:paraId="6695D30D"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E72BFFA"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CSO</w:t>
            </w:r>
          </w:p>
        </w:tc>
        <w:tc>
          <w:tcPr>
            <w:tcW w:w="7794" w:type="dxa"/>
            <w:tcBorders>
              <w:top w:val="single" w:sz="4" w:space="0" w:color="auto"/>
              <w:left w:val="single" w:sz="4" w:space="0" w:color="auto"/>
              <w:bottom w:val="single" w:sz="4" w:space="0" w:color="auto"/>
              <w:right w:val="single" w:sz="4" w:space="0" w:color="auto"/>
            </w:tcBorders>
            <w:hideMark/>
          </w:tcPr>
          <w:p w14:paraId="433BC232" w14:textId="77777777" w:rsidR="00864BF8" w:rsidRPr="005516CD" w:rsidRDefault="00864BF8">
            <w:pPr>
              <w:spacing w:line="256" w:lineRule="auto"/>
              <w:rPr>
                <w:rFonts w:asciiTheme="majorHAnsi" w:hAnsiTheme="majorHAnsi" w:cstheme="majorHAnsi"/>
                <w:color w:val="000000"/>
                <w:sz w:val="20"/>
                <w:szCs w:val="20"/>
              </w:rPr>
            </w:pPr>
            <w:r w:rsidRPr="005516CD">
              <w:rPr>
                <w:rFonts w:asciiTheme="majorHAnsi" w:hAnsiTheme="majorHAnsi" w:cstheme="majorHAnsi"/>
                <w:color w:val="000000"/>
                <w:sz w:val="20"/>
                <w:szCs w:val="20"/>
              </w:rPr>
              <w:t>Civil Society Organisations</w:t>
            </w:r>
          </w:p>
        </w:tc>
      </w:tr>
      <w:tr w:rsidR="00864BF8" w:rsidRPr="005516CD" w14:paraId="342A8076"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CCE803A"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CTCR</w:t>
            </w:r>
          </w:p>
        </w:tc>
        <w:tc>
          <w:tcPr>
            <w:tcW w:w="7794" w:type="dxa"/>
            <w:tcBorders>
              <w:top w:val="single" w:sz="4" w:space="0" w:color="auto"/>
              <w:left w:val="single" w:sz="4" w:space="0" w:color="auto"/>
              <w:bottom w:val="single" w:sz="4" w:space="0" w:color="auto"/>
              <w:right w:val="single" w:sz="4" w:space="0" w:color="auto"/>
            </w:tcBorders>
            <w:hideMark/>
          </w:tcPr>
          <w:p w14:paraId="3919F721" w14:textId="77777777" w:rsidR="00864BF8" w:rsidRPr="005516CD" w:rsidRDefault="00864BF8">
            <w:pPr>
              <w:spacing w:line="256" w:lineRule="auto"/>
              <w:rPr>
                <w:rFonts w:asciiTheme="majorHAnsi" w:hAnsiTheme="majorHAnsi" w:cstheme="majorHAnsi"/>
                <w:color w:val="000000"/>
                <w:sz w:val="20"/>
                <w:szCs w:val="20"/>
              </w:rPr>
            </w:pPr>
            <w:r w:rsidRPr="005516CD">
              <w:rPr>
                <w:rFonts w:asciiTheme="majorHAnsi" w:hAnsiTheme="majorHAnsi" w:cstheme="majorHAnsi"/>
                <w:color w:val="000000"/>
                <w:sz w:val="20"/>
                <w:szCs w:val="20"/>
              </w:rPr>
              <w:t>Technical Commission on Rural Credit</w:t>
            </w:r>
          </w:p>
        </w:tc>
      </w:tr>
      <w:tr w:rsidR="00864BF8" w:rsidRPr="005516CD" w14:paraId="0CBCDC82"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D8EEFAE"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DEED</w:t>
            </w:r>
          </w:p>
        </w:tc>
        <w:tc>
          <w:tcPr>
            <w:tcW w:w="7794" w:type="dxa"/>
            <w:tcBorders>
              <w:top w:val="single" w:sz="4" w:space="0" w:color="auto"/>
              <w:left w:val="single" w:sz="4" w:space="0" w:color="auto"/>
              <w:bottom w:val="single" w:sz="4" w:space="0" w:color="auto"/>
              <w:right w:val="single" w:sz="4" w:space="0" w:color="auto"/>
            </w:tcBorders>
            <w:hideMark/>
          </w:tcPr>
          <w:p w14:paraId="4F8DC49F" w14:textId="77777777" w:rsidR="00864BF8" w:rsidRPr="005516CD" w:rsidRDefault="00864BF8">
            <w:pPr>
              <w:spacing w:line="256" w:lineRule="auto"/>
              <w:rPr>
                <w:rFonts w:asciiTheme="majorHAnsi" w:hAnsiTheme="majorHAnsi" w:cstheme="majorHAnsi"/>
                <w:color w:val="000000"/>
                <w:sz w:val="20"/>
                <w:szCs w:val="20"/>
              </w:rPr>
            </w:pPr>
            <w:r w:rsidRPr="005516CD">
              <w:rPr>
                <w:rFonts w:asciiTheme="majorHAnsi" w:hAnsiTheme="majorHAnsi" w:cstheme="majorHAnsi"/>
                <w:sz w:val="20"/>
                <w:szCs w:val="20"/>
              </w:rPr>
              <w:t>Sustainable Economic and Environmental Development project</w:t>
            </w:r>
          </w:p>
        </w:tc>
      </w:tr>
      <w:tr w:rsidR="00864BF8" w:rsidRPr="005516CD" w14:paraId="6FC6A5D1"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44642B69"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lang w:val="en-US"/>
              </w:rPr>
              <w:t>DSNCRP</w:t>
            </w:r>
          </w:p>
        </w:tc>
        <w:tc>
          <w:tcPr>
            <w:tcW w:w="7794" w:type="dxa"/>
            <w:tcBorders>
              <w:top w:val="single" w:sz="4" w:space="0" w:color="auto"/>
              <w:left w:val="single" w:sz="4" w:space="0" w:color="auto"/>
              <w:bottom w:val="single" w:sz="4" w:space="0" w:color="auto"/>
              <w:right w:val="single" w:sz="4" w:space="0" w:color="auto"/>
            </w:tcBorders>
            <w:hideMark/>
          </w:tcPr>
          <w:p w14:paraId="51E24039"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National Strategy Document for Growth and the Reduction of Poverty</w:t>
            </w:r>
          </w:p>
        </w:tc>
      </w:tr>
      <w:tr w:rsidR="00864BF8" w:rsidRPr="005516CD" w14:paraId="1D1405A8"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32D43E55"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lang w:val="en-US"/>
              </w:rPr>
              <w:t>ERC</w:t>
            </w:r>
          </w:p>
        </w:tc>
        <w:tc>
          <w:tcPr>
            <w:tcW w:w="7794" w:type="dxa"/>
            <w:tcBorders>
              <w:top w:val="single" w:sz="4" w:space="0" w:color="auto"/>
              <w:left w:val="single" w:sz="4" w:space="0" w:color="auto"/>
              <w:bottom w:val="single" w:sz="4" w:space="0" w:color="auto"/>
              <w:right w:val="single" w:sz="4" w:space="0" w:color="auto"/>
            </w:tcBorders>
            <w:hideMark/>
          </w:tcPr>
          <w:p w14:paraId="13682304"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Evaluation Resource Center</w:t>
            </w:r>
          </w:p>
        </w:tc>
      </w:tr>
      <w:tr w:rsidR="00864BF8" w:rsidRPr="005516CD" w14:paraId="3BA873EA"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2429B029"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EU</w:t>
            </w:r>
          </w:p>
        </w:tc>
        <w:tc>
          <w:tcPr>
            <w:tcW w:w="7794" w:type="dxa"/>
            <w:tcBorders>
              <w:top w:val="single" w:sz="4" w:space="0" w:color="auto"/>
              <w:left w:val="single" w:sz="4" w:space="0" w:color="auto"/>
              <w:bottom w:val="single" w:sz="4" w:space="0" w:color="auto"/>
              <w:right w:val="single" w:sz="4" w:space="0" w:color="auto"/>
            </w:tcBorders>
            <w:hideMark/>
          </w:tcPr>
          <w:p w14:paraId="6E57DC39"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European Union</w:t>
            </w:r>
          </w:p>
        </w:tc>
      </w:tr>
      <w:tr w:rsidR="00864BF8" w:rsidRPr="005516CD" w14:paraId="75C277EE"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48739F90"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FACN</w:t>
            </w:r>
          </w:p>
        </w:tc>
        <w:tc>
          <w:tcPr>
            <w:tcW w:w="7794" w:type="dxa"/>
            <w:tcBorders>
              <w:top w:val="single" w:sz="4" w:space="0" w:color="auto"/>
              <w:left w:val="single" w:sz="4" w:space="0" w:color="auto"/>
              <w:bottom w:val="single" w:sz="4" w:space="0" w:color="auto"/>
              <w:right w:val="single" w:sz="4" w:space="0" w:color="auto"/>
            </w:tcBorders>
            <w:hideMark/>
          </w:tcPr>
          <w:p w14:paraId="16BD4310"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Federation of Native Coffee Associations</w:t>
            </w:r>
          </w:p>
        </w:tc>
      </w:tr>
      <w:tr w:rsidR="00864BF8" w:rsidRPr="005516CD" w14:paraId="601931BA"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407FCB5D"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FAO</w:t>
            </w:r>
          </w:p>
        </w:tc>
        <w:tc>
          <w:tcPr>
            <w:tcW w:w="7794" w:type="dxa"/>
            <w:tcBorders>
              <w:top w:val="single" w:sz="4" w:space="0" w:color="auto"/>
              <w:left w:val="single" w:sz="4" w:space="0" w:color="auto"/>
              <w:bottom w:val="single" w:sz="4" w:space="0" w:color="auto"/>
              <w:right w:val="single" w:sz="4" w:space="0" w:color="auto"/>
            </w:tcBorders>
            <w:hideMark/>
          </w:tcPr>
          <w:p w14:paraId="01A989D4"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Food and Agriculture </w:t>
            </w:r>
            <w:proofErr w:type="spellStart"/>
            <w:r w:rsidRPr="005516CD">
              <w:rPr>
                <w:rFonts w:asciiTheme="majorHAnsi" w:hAnsiTheme="majorHAnsi" w:cstheme="majorHAnsi"/>
                <w:sz w:val="20"/>
                <w:szCs w:val="20"/>
                <w:lang w:val="en-US"/>
              </w:rPr>
              <w:t>Organisation</w:t>
            </w:r>
            <w:proofErr w:type="spellEnd"/>
          </w:p>
        </w:tc>
      </w:tr>
      <w:tr w:rsidR="00864BF8" w:rsidRPr="005516CD" w14:paraId="017A7B72"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419590C0"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FECCANO</w:t>
            </w:r>
          </w:p>
        </w:tc>
        <w:tc>
          <w:tcPr>
            <w:tcW w:w="7794" w:type="dxa"/>
            <w:tcBorders>
              <w:top w:val="single" w:sz="4" w:space="0" w:color="auto"/>
              <w:left w:val="single" w:sz="4" w:space="0" w:color="auto"/>
              <w:bottom w:val="single" w:sz="4" w:space="0" w:color="auto"/>
              <w:right w:val="single" w:sz="4" w:space="0" w:color="auto"/>
            </w:tcBorders>
            <w:hideMark/>
          </w:tcPr>
          <w:p w14:paraId="21DEF570"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Federation of Cacao Cooperatives of the North</w:t>
            </w:r>
          </w:p>
        </w:tc>
      </w:tr>
      <w:tr w:rsidR="00864BF8" w:rsidRPr="005516CD" w14:paraId="651D5438"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2DE68E7"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GBV</w:t>
            </w:r>
          </w:p>
        </w:tc>
        <w:tc>
          <w:tcPr>
            <w:tcW w:w="7794" w:type="dxa"/>
            <w:tcBorders>
              <w:top w:val="single" w:sz="4" w:space="0" w:color="auto"/>
              <w:left w:val="single" w:sz="4" w:space="0" w:color="auto"/>
              <w:bottom w:val="single" w:sz="4" w:space="0" w:color="auto"/>
              <w:right w:val="single" w:sz="4" w:space="0" w:color="auto"/>
            </w:tcBorders>
            <w:hideMark/>
          </w:tcPr>
          <w:p w14:paraId="396B515E"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Gender-based violence</w:t>
            </w:r>
          </w:p>
        </w:tc>
      </w:tr>
      <w:tr w:rsidR="00864BF8" w:rsidRPr="005516CD" w14:paraId="3F0C0CD1"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3134D6B7"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GEBs</w:t>
            </w:r>
          </w:p>
        </w:tc>
        <w:tc>
          <w:tcPr>
            <w:tcW w:w="7794" w:type="dxa"/>
            <w:tcBorders>
              <w:top w:val="single" w:sz="4" w:space="0" w:color="auto"/>
              <w:left w:val="single" w:sz="4" w:space="0" w:color="auto"/>
              <w:bottom w:val="single" w:sz="4" w:space="0" w:color="auto"/>
              <w:right w:val="single" w:sz="4" w:space="0" w:color="auto"/>
            </w:tcBorders>
            <w:hideMark/>
          </w:tcPr>
          <w:p w14:paraId="531DF34F"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Global Environmental Benefits</w:t>
            </w:r>
          </w:p>
        </w:tc>
      </w:tr>
      <w:tr w:rsidR="00864BF8" w:rsidRPr="005516CD" w14:paraId="1233DAE2"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4C549613"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GEF</w:t>
            </w:r>
          </w:p>
        </w:tc>
        <w:tc>
          <w:tcPr>
            <w:tcW w:w="7794" w:type="dxa"/>
            <w:tcBorders>
              <w:top w:val="single" w:sz="4" w:space="0" w:color="auto"/>
              <w:left w:val="single" w:sz="4" w:space="0" w:color="auto"/>
              <w:bottom w:val="single" w:sz="4" w:space="0" w:color="auto"/>
              <w:right w:val="single" w:sz="4" w:space="0" w:color="auto"/>
            </w:tcBorders>
            <w:hideMark/>
          </w:tcPr>
          <w:p w14:paraId="640E432C"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Global Environment Facility</w:t>
            </w:r>
          </w:p>
        </w:tc>
      </w:tr>
      <w:tr w:rsidR="00864BF8" w:rsidRPr="005516CD" w14:paraId="2AD58097"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A60D928"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GEFTF</w:t>
            </w:r>
          </w:p>
        </w:tc>
        <w:tc>
          <w:tcPr>
            <w:tcW w:w="7794" w:type="dxa"/>
            <w:tcBorders>
              <w:top w:val="single" w:sz="4" w:space="0" w:color="auto"/>
              <w:left w:val="single" w:sz="4" w:space="0" w:color="auto"/>
              <w:bottom w:val="single" w:sz="4" w:space="0" w:color="auto"/>
              <w:right w:val="single" w:sz="4" w:space="0" w:color="auto"/>
            </w:tcBorders>
            <w:hideMark/>
          </w:tcPr>
          <w:p w14:paraId="2077B132"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GEF Trust Fund</w:t>
            </w:r>
          </w:p>
        </w:tc>
      </w:tr>
      <w:tr w:rsidR="00864BF8" w:rsidRPr="005516CD" w14:paraId="5E34FA13"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BB2E7E3"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GHG</w:t>
            </w:r>
          </w:p>
        </w:tc>
        <w:tc>
          <w:tcPr>
            <w:tcW w:w="7794" w:type="dxa"/>
            <w:tcBorders>
              <w:top w:val="single" w:sz="4" w:space="0" w:color="auto"/>
              <w:left w:val="single" w:sz="4" w:space="0" w:color="auto"/>
              <w:bottom w:val="single" w:sz="4" w:space="0" w:color="auto"/>
              <w:right w:val="single" w:sz="4" w:space="0" w:color="auto"/>
            </w:tcBorders>
            <w:hideMark/>
          </w:tcPr>
          <w:p w14:paraId="7976D0CB"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Greenhouse Gases</w:t>
            </w:r>
          </w:p>
        </w:tc>
      </w:tr>
      <w:tr w:rsidR="00864BF8" w:rsidRPr="005516CD" w14:paraId="296DFE0F"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316A8E55"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HAP</w:t>
            </w:r>
          </w:p>
        </w:tc>
        <w:tc>
          <w:tcPr>
            <w:tcW w:w="7794" w:type="dxa"/>
            <w:tcBorders>
              <w:top w:val="single" w:sz="4" w:space="0" w:color="auto"/>
              <w:left w:val="single" w:sz="4" w:space="0" w:color="auto"/>
              <w:bottom w:val="single" w:sz="4" w:space="0" w:color="auto"/>
              <w:right w:val="single" w:sz="4" w:space="0" w:color="auto"/>
            </w:tcBorders>
            <w:hideMark/>
          </w:tcPr>
          <w:p w14:paraId="5FE32E24"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 xml:space="preserve">Hillside Agricultural Program </w:t>
            </w:r>
          </w:p>
        </w:tc>
      </w:tr>
      <w:tr w:rsidR="00864BF8" w:rsidRPr="005516CD" w14:paraId="00B9D502"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7BB85D43"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HTG</w:t>
            </w:r>
          </w:p>
        </w:tc>
        <w:tc>
          <w:tcPr>
            <w:tcW w:w="7794" w:type="dxa"/>
            <w:tcBorders>
              <w:top w:val="single" w:sz="4" w:space="0" w:color="auto"/>
              <w:left w:val="single" w:sz="4" w:space="0" w:color="auto"/>
              <w:bottom w:val="single" w:sz="4" w:space="0" w:color="auto"/>
              <w:right w:val="single" w:sz="4" w:space="0" w:color="auto"/>
            </w:tcBorders>
            <w:hideMark/>
          </w:tcPr>
          <w:p w14:paraId="6ADECF0B"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Haitian Gourdes</w:t>
            </w:r>
          </w:p>
        </w:tc>
      </w:tr>
      <w:tr w:rsidR="00864BF8" w:rsidRPr="005516CD" w14:paraId="2A1C3BAC"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742D5283" w14:textId="77777777" w:rsidR="00864BF8" w:rsidRPr="005516CD" w:rsidRDefault="00864BF8">
            <w:pPr>
              <w:spacing w:line="256" w:lineRule="auto"/>
              <w:rPr>
                <w:rFonts w:asciiTheme="majorHAnsi" w:hAnsiTheme="majorHAnsi" w:cstheme="majorHAnsi"/>
                <w:color w:val="000000"/>
                <w:sz w:val="20"/>
                <w:szCs w:val="20"/>
              </w:rPr>
            </w:pPr>
            <w:r w:rsidRPr="005516CD">
              <w:rPr>
                <w:rFonts w:asciiTheme="majorHAnsi" w:hAnsiTheme="majorHAnsi" w:cstheme="majorHAnsi"/>
                <w:color w:val="000000"/>
                <w:sz w:val="20"/>
                <w:szCs w:val="20"/>
              </w:rPr>
              <w:t>IDB</w:t>
            </w:r>
          </w:p>
        </w:tc>
        <w:tc>
          <w:tcPr>
            <w:tcW w:w="7794" w:type="dxa"/>
            <w:tcBorders>
              <w:top w:val="single" w:sz="4" w:space="0" w:color="auto"/>
              <w:left w:val="single" w:sz="4" w:space="0" w:color="auto"/>
              <w:bottom w:val="single" w:sz="4" w:space="0" w:color="auto"/>
              <w:right w:val="single" w:sz="4" w:space="0" w:color="auto"/>
            </w:tcBorders>
            <w:hideMark/>
          </w:tcPr>
          <w:p w14:paraId="09C372EA" w14:textId="77777777" w:rsidR="00864BF8" w:rsidRPr="005516CD" w:rsidRDefault="00864BF8">
            <w:pPr>
              <w:spacing w:line="256" w:lineRule="auto"/>
              <w:rPr>
                <w:rFonts w:asciiTheme="majorHAnsi" w:hAnsiTheme="majorHAnsi" w:cstheme="majorHAnsi"/>
                <w:color w:val="000000"/>
                <w:sz w:val="20"/>
                <w:szCs w:val="20"/>
              </w:rPr>
            </w:pPr>
            <w:r w:rsidRPr="005516CD">
              <w:rPr>
                <w:rFonts w:asciiTheme="majorHAnsi" w:hAnsiTheme="majorHAnsi" w:cstheme="majorHAnsi"/>
                <w:color w:val="000000"/>
                <w:sz w:val="20"/>
                <w:szCs w:val="20"/>
              </w:rPr>
              <w:t>Interamerican Development Bank</w:t>
            </w:r>
          </w:p>
        </w:tc>
      </w:tr>
      <w:tr w:rsidR="00864BF8" w:rsidRPr="005516CD" w14:paraId="11B627B6"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82A05F6" w14:textId="77777777" w:rsidR="00864BF8" w:rsidRPr="005516CD" w:rsidRDefault="00864BF8">
            <w:pPr>
              <w:spacing w:line="256" w:lineRule="auto"/>
              <w:rPr>
                <w:rFonts w:asciiTheme="majorHAnsi" w:hAnsiTheme="majorHAnsi" w:cstheme="majorHAnsi"/>
                <w:color w:val="000000"/>
                <w:sz w:val="20"/>
                <w:szCs w:val="20"/>
              </w:rPr>
            </w:pPr>
            <w:r w:rsidRPr="005516CD">
              <w:rPr>
                <w:rFonts w:asciiTheme="majorHAnsi" w:hAnsiTheme="majorHAnsi" w:cstheme="majorHAnsi"/>
                <w:color w:val="000000"/>
                <w:sz w:val="20"/>
                <w:szCs w:val="20"/>
              </w:rPr>
              <w:t>IEO</w:t>
            </w:r>
          </w:p>
        </w:tc>
        <w:tc>
          <w:tcPr>
            <w:tcW w:w="7794" w:type="dxa"/>
            <w:tcBorders>
              <w:top w:val="single" w:sz="4" w:space="0" w:color="auto"/>
              <w:left w:val="single" w:sz="4" w:space="0" w:color="auto"/>
              <w:bottom w:val="single" w:sz="4" w:space="0" w:color="auto"/>
              <w:right w:val="single" w:sz="4" w:space="0" w:color="auto"/>
            </w:tcBorders>
            <w:hideMark/>
          </w:tcPr>
          <w:p w14:paraId="1F3364FE" w14:textId="77777777" w:rsidR="00864BF8" w:rsidRPr="005516CD" w:rsidRDefault="00864BF8">
            <w:pPr>
              <w:spacing w:line="256" w:lineRule="auto"/>
              <w:rPr>
                <w:rFonts w:asciiTheme="majorHAnsi" w:hAnsiTheme="majorHAnsi" w:cstheme="majorHAnsi"/>
                <w:color w:val="000000"/>
                <w:sz w:val="20"/>
                <w:szCs w:val="20"/>
              </w:rPr>
            </w:pPr>
            <w:r w:rsidRPr="005516CD">
              <w:rPr>
                <w:rFonts w:asciiTheme="majorHAnsi" w:hAnsiTheme="majorHAnsi" w:cstheme="majorHAnsi"/>
                <w:color w:val="000000"/>
                <w:sz w:val="20"/>
                <w:szCs w:val="20"/>
              </w:rPr>
              <w:t>Independent Evaluation Office</w:t>
            </w:r>
          </w:p>
        </w:tc>
      </w:tr>
      <w:tr w:rsidR="00864BF8" w:rsidRPr="005516CD" w14:paraId="43086D8A"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41E36E1"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IPCC</w:t>
            </w:r>
          </w:p>
        </w:tc>
        <w:tc>
          <w:tcPr>
            <w:tcW w:w="7794" w:type="dxa"/>
            <w:tcBorders>
              <w:top w:val="single" w:sz="4" w:space="0" w:color="auto"/>
              <w:left w:val="single" w:sz="4" w:space="0" w:color="auto"/>
              <w:bottom w:val="single" w:sz="4" w:space="0" w:color="auto"/>
              <w:right w:val="single" w:sz="4" w:space="0" w:color="auto"/>
            </w:tcBorders>
            <w:hideMark/>
          </w:tcPr>
          <w:p w14:paraId="662C0D55"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International Panel on Climate Change</w:t>
            </w:r>
          </w:p>
        </w:tc>
      </w:tr>
      <w:tr w:rsidR="00864BF8" w:rsidRPr="005516CD" w14:paraId="18EB3AE6"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355F240B"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IUCN</w:t>
            </w:r>
          </w:p>
        </w:tc>
        <w:tc>
          <w:tcPr>
            <w:tcW w:w="7794" w:type="dxa"/>
            <w:tcBorders>
              <w:top w:val="single" w:sz="4" w:space="0" w:color="auto"/>
              <w:left w:val="single" w:sz="4" w:space="0" w:color="auto"/>
              <w:bottom w:val="single" w:sz="4" w:space="0" w:color="auto"/>
              <w:right w:val="single" w:sz="4" w:space="0" w:color="auto"/>
            </w:tcBorders>
            <w:hideMark/>
          </w:tcPr>
          <w:p w14:paraId="1DF69CD4"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International Union for Conservation of Nature</w:t>
            </w:r>
          </w:p>
        </w:tc>
      </w:tr>
      <w:tr w:rsidR="00864BF8" w:rsidRPr="005516CD" w14:paraId="5D430EB0"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33F40C8"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LD</w:t>
            </w:r>
          </w:p>
        </w:tc>
        <w:tc>
          <w:tcPr>
            <w:tcW w:w="7794" w:type="dxa"/>
            <w:tcBorders>
              <w:top w:val="single" w:sz="4" w:space="0" w:color="auto"/>
              <w:left w:val="single" w:sz="4" w:space="0" w:color="auto"/>
              <w:bottom w:val="single" w:sz="4" w:space="0" w:color="auto"/>
              <w:right w:val="single" w:sz="4" w:space="0" w:color="auto"/>
            </w:tcBorders>
            <w:hideMark/>
          </w:tcPr>
          <w:p w14:paraId="7CA4E71C"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Land Degradation</w:t>
            </w:r>
          </w:p>
        </w:tc>
      </w:tr>
      <w:tr w:rsidR="00864BF8" w:rsidRPr="005516CD" w14:paraId="3568D0C6"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709756F8"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LULUCF</w:t>
            </w:r>
          </w:p>
        </w:tc>
        <w:tc>
          <w:tcPr>
            <w:tcW w:w="7794" w:type="dxa"/>
            <w:tcBorders>
              <w:top w:val="single" w:sz="4" w:space="0" w:color="auto"/>
              <w:left w:val="single" w:sz="4" w:space="0" w:color="auto"/>
              <w:bottom w:val="single" w:sz="4" w:space="0" w:color="auto"/>
              <w:right w:val="single" w:sz="4" w:space="0" w:color="auto"/>
            </w:tcBorders>
            <w:hideMark/>
          </w:tcPr>
          <w:p w14:paraId="78F04A8C"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Land Use and Land Use Change in Forestry</w:t>
            </w:r>
          </w:p>
        </w:tc>
      </w:tr>
      <w:tr w:rsidR="00864BF8" w:rsidRPr="005516CD" w14:paraId="1381158D"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11E15C6"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M&amp;E</w:t>
            </w:r>
          </w:p>
        </w:tc>
        <w:tc>
          <w:tcPr>
            <w:tcW w:w="7794" w:type="dxa"/>
            <w:tcBorders>
              <w:top w:val="single" w:sz="4" w:space="0" w:color="auto"/>
              <w:left w:val="single" w:sz="4" w:space="0" w:color="auto"/>
              <w:bottom w:val="single" w:sz="4" w:space="0" w:color="auto"/>
              <w:right w:val="single" w:sz="4" w:space="0" w:color="auto"/>
            </w:tcBorders>
            <w:hideMark/>
          </w:tcPr>
          <w:p w14:paraId="4A35F83D"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Monitoring and Evaluation</w:t>
            </w:r>
          </w:p>
        </w:tc>
      </w:tr>
      <w:tr w:rsidR="00864BF8" w:rsidRPr="005516CD" w14:paraId="1F18C863"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A249072"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MARNDR</w:t>
            </w:r>
          </w:p>
        </w:tc>
        <w:tc>
          <w:tcPr>
            <w:tcW w:w="7794" w:type="dxa"/>
            <w:tcBorders>
              <w:top w:val="single" w:sz="4" w:space="0" w:color="auto"/>
              <w:left w:val="single" w:sz="4" w:space="0" w:color="auto"/>
              <w:bottom w:val="single" w:sz="4" w:space="0" w:color="auto"/>
              <w:right w:val="single" w:sz="4" w:space="0" w:color="auto"/>
            </w:tcBorders>
            <w:hideMark/>
          </w:tcPr>
          <w:p w14:paraId="47C65788"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Ministry of Agriculture and Natural Resources</w:t>
            </w:r>
          </w:p>
        </w:tc>
      </w:tr>
      <w:tr w:rsidR="00864BF8" w:rsidRPr="005516CD" w14:paraId="00D1AD53"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4CC387D"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lang w:val="en-US"/>
              </w:rPr>
              <w:t>MCFDF</w:t>
            </w:r>
          </w:p>
        </w:tc>
        <w:tc>
          <w:tcPr>
            <w:tcW w:w="7794" w:type="dxa"/>
            <w:tcBorders>
              <w:top w:val="single" w:sz="4" w:space="0" w:color="auto"/>
              <w:left w:val="single" w:sz="4" w:space="0" w:color="auto"/>
              <w:bottom w:val="single" w:sz="4" w:space="0" w:color="auto"/>
              <w:right w:val="single" w:sz="4" w:space="0" w:color="auto"/>
            </w:tcBorders>
            <w:hideMark/>
          </w:tcPr>
          <w:p w14:paraId="799FC190"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Ministry of the Feminine Condition and Women’s Rights</w:t>
            </w:r>
          </w:p>
        </w:tc>
      </w:tr>
      <w:tr w:rsidR="00864BF8" w:rsidRPr="005516CD" w14:paraId="6255BD37"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06F2EDF2" w14:textId="3C4701A7" w:rsidR="00864BF8" w:rsidRPr="005516CD" w:rsidRDefault="009241AB">
            <w:pPr>
              <w:spacing w:line="256" w:lineRule="auto"/>
              <w:rPr>
                <w:rFonts w:asciiTheme="majorHAnsi" w:hAnsiTheme="majorHAnsi" w:cstheme="majorHAnsi"/>
                <w:sz w:val="20"/>
                <w:szCs w:val="20"/>
              </w:rPr>
            </w:pPr>
            <w:proofErr w:type="spellStart"/>
            <w:r>
              <w:rPr>
                <w:rFonts w:asciiTheme="majorHAnsi" w:hAnsiTheme="majorHAnsi" w:cstheme="majorHAnsi"/>
                <w:sz w:val="20"/>
                <w:szCs w:val="20"/>
              </w:rPr>
              <w:t>M</w:t>
            </w:r>
            <w:r w:rsidR="007C2347">
              <w:rPr>
                <w:rFonts w:asciiTheme="majorHAnsi" w:hAnsiTheme="majorHAnsi" w:cstheme="majorHAnsi"/>
                <w:sz w:val="20"/>
                <w:szCs w:val="20"/>
              </w:rPr>
              <w:t>o</w:t>
            </w:r>
            <w:r>
              <w:rPr>
                <w:rFonts w:asciiTheme="majorHAnsi" w:hAnsiTheme="majorHAnsi" w:cstheme="majorHAnsi"/>
                <w:sz w:val="20"/>
                <w:szCs w:val="20"/>
              </w:rPr>
              <w:t>E</w:t>
            </w:r>
            <w:proofErr w:type="spellEnd"/>
          </w:p>
        </w:tc>
        <w:tc>
          <w:tcPr>
            <w:tcW w:w="7794" w:type="dxa"/>
            <w:tcBorders>
              <w:top w:val="single" w:sz="4" w:space="0" w:color="auto"/>
              <w:left w:val="single" w:sz="4" w:space="0" w:color="auto"/>
              <w:bottom w:val="single" w:sz="4" w:space="0" w:color="auto"/>
              <w:right w:val="single" w:sz="4" w:space="0" w:color="auto"/>
            </w:tcBorders>
            <w:hideMark/>
          </w:tcPr>
          <w:p w14:paraId="309F1783"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Ministry of Environment</w:t>
            </w:r>
          </w:p>
        </w:tc>
      </w:tr>
      <w:tr w:rsidR="00864BF8" w:rsidRPr="005516CD" w14:paraId="20397F96"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0E48C727"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MTR</w:t>
            </w:r>
          </w:p>
        </w:tc>
        <w:tc>
          <w:tcPr>
            <w:tcW w:w="7794" w:type="dxa"/>
            <w:tcBorders>
              <w:top w:val="single" w:sz="4" w:space="0" w:color="auto"/>
              <w:left w:val="single" w:sz="4" w:space="0" w:color="auto"/>
              <w:bottom w:val="single" w:sz="4" w:space="0" w:color="auto"/>
              <w:right w:val="single" w:sz="4" w:space="0" w:color="auto"/>
            </w:tcBorders>
            <w:hideMark/>
          </w:tcPr>
          <w:p w14:paraId="190CEF00"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Mid-Term Review</w:t>
            </w:r>
          </w:p>
        </w:tc>
      </w:tr>
      <w:tr w:rsidR="00864BF8" w:rsidRPr="005516CD" w14:paraId="477D5954"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8E053E4"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NGO</w:t>
            </w:r>
          </w:p>
        </w:tc>
        <w:tc>
          <w:tcPr>
            <w:tcW w:w="7794" w:type="dxa"/>
            <w:tcBorders>
              <w:top w:val="single" w:sz="4" w:space="0" w:color="auto"/>
              <w:left w:val="single" w:sz="4" w:space="0" w:color="auto"/>
              <w:bottom w:val="single" w:sz="4" w:space="0" w:color="auto"/>
              <w:right w:val="single" w:sz="4" w:space="0" w:color="auto"/>
            </w:tcBorders>
            <w:hideMark/>
          </w:tcPr>
          <w:p w14:paraId="30FF26B9"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Non-Governmental </w:t>
            </w:r>
            <w:proofErr w:type="spellStart"/>
            <w:r w:rsidRPr="005516CD">
              <w:rPr>
                <w:rFonts w:asciiTheme="majorHAnsi" w:hAnsiTheme="majorHAnsi" w:cstheme="majorHAnsi"/>
                <w:sz w:val="20"/>
                <w:szCs w:val="20"/>
                <w:lang w:val="en-US"/>
              </w:rPr>
              <w:t>Organisation</w:t>
            </w:r>
            <w:proofErr w:type="spellEnd"/>
          </w:p>
        </w:tc>
      </w:tr>
      <w:tr w:rsidR="00864BF8" w:rsidRPr="005516CD" w14:paraId="68A13BF3"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2ED8C85A"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NPCD</w:t>
            </w:r>
          </w:p>
        </w:tc>
        <w:tc>
          <w:tcPr>
            <w:tcW w:w="7794" w:type="dxa"/>
            <w:tcBorders>
              <w:top w:val="single" w:sz="4" w:space="0" w:color="auto"/>
              <w:left w:val="single" w:sz="4" w:space="0" w:color="auto"/>
              <w:bottom w:val="single" w:sz="4" w:space="0" w:color="auto"/>
              <w:right w:val="single" w:sz="4" w:space="0" w:color="auto"/>
            </w:tcBorders>
            <w:hideMark/>
          </w:tcPr>
          <w:p w14:paraId="4D8B008F"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National Programme for the Combat of Desertification</w:t>
            </w:r>
          </w:p>
        </w:tc>
      </w:tr>
      <w:tr w:rsidR="00864BF8" w:rsidRPr="005516CD" w14:paraId="7BCDF281"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0C85B67E"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PA</w:t>
            </w:r>
          </w:p>
        </w:tc>
        <w:tc>
          <w:tcPr>
            <w:tcW w:w="7794" w:type="dxa"/>
            <w:tcBorders>
              <w:top w:val="single" w:sz="4" w:space="0" w:color="auto"/>
              <w:left w:val="single" w:sz="4" w:space="0" w:color="auto"/>
              <w:bottom w:val="single" w:sz="4" w:space="0" w:color="auto"/>
              <w:right w:val="single" w:sz="4" w:space="0" w:color="auto"/>
            </w:tcBorders>
            <w:hideMark/>
          </w:tcPr>
          <w:p w14:paraId="00B6B1C1"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Protected Area</w:t>
            </w:r>
          </w:p>
        </w:tc>
      </w:tr>
      <w:tr w:rsidR="00864BF8" w:rsidRPr="005516CD" w14:paraId="3CC81E86"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26DD4450"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PAC</w:t>
            </w:r>
          </w:p>
        </w:tc>
        <w:tc>
          <w:tcPr>
            <w:tcW w:w="7794" w:type="dxa"/>
            <w:tcBorders>
              <w:top w:val="single" w:sz="4" w:space="0" w:color="auto"/>
              <w:left w:val="single" w:sz="4" w:space="0" w:color="auto"/>
              <w:bottom w:val="single" w:sz="4" w:space="0" w:color="auto"/>
              <w:right w:val="single" w:sz="4" w:space="0" w:color="auto"/>
            </w:tcBorders>
            <w:hideMark/>
          </w:tcPr>
          <w:p w14:paraId="11928369"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Project Approval Committee</w:t>
            </w:r>
          </w:p>
        </w:tc>
      </w:tr>
      <w:tr w:rsidR="00864BF8" w:rsidRPr="005516CD" w14:paraId="50668563"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447CA2D" w14:textId="77777777" w:rsidR="00864BF8" w:rsidRPr="005516CD" w:rsidRDefault="00AE718A">
            <w:pPr>
              <w:spacing w:line="256" w:lineRule="auto"/>
              <w:rPr>
                <w:rFonts w:asciiTheme="majorHAnsi" w:hAnsiTheme="majorHAnsi" w:cstheme="majorHAnsi"/>
                <w:sz w:val="20"/>
                <w:szCs w:val="20"/>
              </w:rPr>
            </w:pPr>
            <w:r>
              <w:rPr>
                <w:rFonts w:asciiTheme="majorHAnsi" w:hAnsiTheme="majorHAnsi" w:cstheme="majorHAnsi"/>
                <w:sz w:val="20"/>
                <w:szCs w:val="20"/>
                <w:lang w:val="en-US"/>
              </w:rPr>
              <w:t>NAPE</w:t>
            </w:r>
          </w:p>
        </w:tc>
        <w:tc>
          <w:tcPr>
            <w:tcW w:w="7794" w:type="dxa"/>
            <w:tcBorders>
              <w:top w:val="single" w:sz="4" w:space="0" w:color="auto"/>
              <w:left w:val="single" w:sz="4" w:space="0" w:color="auto"/>
              <w:bottom w:val="single" w:sz="4" w:space="0" w:color="auto"/>
              <w:right w:val="single" w:sz="4" w:space="0" w:color="auto"/>
            </w:tcBorders>
            <w:hideMark/>
          </w:tcPr>
          <w:p w14:paraId="312415D6"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National Action Plan for the Environment</w:t>
            </w:r>
          </w:p>
        </w:tc>
      </w:tr>
      <w:tr w:rsidR="00864BF8" w:rsidRPr="005516CD" w14:paraId="24334F0C"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08180E38"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PGS</w:t>
            </w:r>
          </w:p>
        </w:tc>
        <w:tc>
          <w:tcPr>
            <w:tcW w:w="7794" w:type="dxa"/>
            <w:tcBorders>
              <w:top w:val="single" w:sz="4" w:space="0" w:color="auto"/>
              <w:left w:val="single" w:sz="4" w:space="0" w:color="auto"/>
              <w:bottom w:val="single" w:sz="4" w:space="0" w:color="auto"/>
              <w:right w:val="single" w:sz="4" w:space="0" w:color="auto"/>
            </w:tcBorders>
            <w:hideMark/>
          </w:tcPr>
          <w:p w14:paraId="1DE6395C"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Participatory Guarantee System</w:t>
            </w:r>
          </w:p>
        </w:tc>
      </w:tr>
      <w:tr w:rsidR="00864BF8" w:rsidRPr="005516CD" w14:paraId="75B0C3F7"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F6C43EB"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PIF</w:t>
            </w:r>
          </w:p>
        </w:tc>
        <w:tc>
          <w:tcPr>
            <w:tcW w:w="7794" w:type="dxa"/>
            <w:tcBorders>
              <w:top w:val="single" w:sz="4" w:space="0" w:color="auto"/>
              <w:left w:val="single" w:sz="4" w:space="0" w:color="auto"/>
              <w:bottom w:val="single" w:sz="4" w:space="0" w:color="auto"/>
              <w:right w:val="single" w:sz="4" w:space="0" w:color="auto"/>
            </w:tcBorders>
            <w:hideMark/>
          </w:tcPr>
          <w:p w14:paraId="57766FED"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Project Identification Form</w:t>
            </w:r>
          </w:p>
        </w:tc>
      </w:tr>
      <w:tr w:rsidR="00864BF8" w:rsidRPr="005516CD" w14:paraId="0863C3CB"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95AD803"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PIR</w:t>
            </w:r>
          </w:p>
        </w:tc>
        <w:tc>
          <w:tcPr>
            <w:tcW w:w="7794" w:type="dxa"/>
            <w:tcBorders>
              <w:top w:val="single" w:sz="4" w:space="0" w:color="auto"/>
              <w:left w:val="single" w:sz="4" w:space="0" w:color="auto"/>
              <w:bottom w:val="single" w:sz="4" w:space="0" w:color="auto"/>
              <w:right w:val="single" w:sz="4" w:space="0" w:color="auto"/>
            </w:tcBorders>
            <w:hideMark/>
          </w:tcPr>
          <w:p w14:paraId="4D1DB98A"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Project Implementation Report</w:t>
            </w:r>
          </w:p>
        </w:tc>
      </w:tr>
      <w:tr w:rsidR="00864BF8" w:rsidRPr="005516CD" w14:paraId="051DF6EB"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765B025B"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PITAG</w:t>
            </w:r>
          </w:p>
        </w:tc>
        <w:tc>
          <w:tcPr>
            <w:tcW w:w="7794" w:type="dxa"/>
            <w:tcBorders>
              <w:top w:val="single" w:sz="4" w:space="0" w:color="auto"/>
              <w:left w:val="single" w:sz="4" w:space="0" w:color="auto"/>
              <w:bottom w:val="single" w:sz="4" w:space="0" w:color="auto"/>
              <w:right w:val="single" w:sz="4" w:space="0" w:color="auto"/>
            </w:tcBorders>
            <w:hideMark/>
          </w:tcPr>
          <w:p w14:paraId="1C76656E"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Programme for Technical Innovation of Agriculture and Agroforestry</w:t>
            </w:r>
          </w:p>
        </w:tc>
      </w:tr>
      <w:tr w:rsidR="00250916" w:rsidRPr="005516CD" w14:paraId="60D81A9E" w14:textId="77777777" w:rsidTr="00864BF8">
        <w:tc>
          <w:tcPr>
            <w:tcW w:w="0" w:type="auto"/>
            <w:tcBorders>
              <w:top w:val="single" w:sz="4" w:space="0" w:color="auto"/>
              <w:left w:val="single" w:sz="4" w:space="0" w:color="auto"/>
              <w:bottom w:val="single" w:sz="4" w:space="0" w:color="auto"/>
              <w:right w:val="single" w:sz="4" w:space="0" w:color="auto"/>
            </w:tcBorders>
          </w:tcPr>
          <w:p w14:paraId="6996538F" w14:textId="0B17296E" w:rsidR="00250916" w:rsidRPr="005516CD" w:rsidRDefault="00250916">
            <w:pPr>
              <w:spacing w:line="256" w:lineRule="auto"/>
              <w:rPr>
                <w:rFonts w:asciiTheme="majorHAnsi" w:hAnsiTheme="majorHAnsi" w:cstheme="majorHAnsi"/>
                <w:sz w:val="20"/>
                <w:szCs w:val="20"/>
              </w:rPr>
            </w:pPr>
            <w:r w:rsidRPr="005516CD">
              <w:rPr>
                <w:rFonts w:asciiTheme="majorHAnsi" w:hAnsiTheme="majorHAnsi" w:cstheme="majorHAnsi"/>
                <w:sz w:val="20"/>
                <w:szCs w:val="20"/>
              </w:rPr>
              <w:t>P</w:t>
            </w:r>
            <w:r w:rsidR="00201734">
              <w:rPr>
                <w:rFonts w:asciiTheme="majorHAnsi" w:hAnsiTheme="majorHAnsi" w:cstheme="majorHAnsi"/>
                <w:sz w:val="20"/>
                <w:szCs w:val="20"/>
              </w:rPr>
              <w:t>O</w:t>
            </w:r>
          </w:p>
        </w:tc>
        <w:tc>
          <w:tcPr>
            <w:tcW w:w="7794" w:type="dxa"/>
            <w:tcBorders>
              <w:top w:val="single" w:sz="4" w:space="0" w:color="auto"/>
              <w:left w:val="single" w:sz="4" w:space="0" w:color="auto"/>
              <w:bottom w:val="single" w:sz="4" w:space="0" w:color="auto"/>
              <w:right w:val="single" w:sz="4" w:space="0" w:color="auto"/>
            </w:tcBorders>
          </w:tcPr>
          <w:p w14:paraId="47108C03" w14:textId="129D1890" w:rsidR="00250916" w:rsidRPr="005516CD" w:rsidRDefault="00250916">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Project </w:t>
            </w:r>
            <w:r w:rsidR="00201734">
              <w:rPr>
                <w:rFonts w:asciiTheme="majorHAnsi" w:hAnsiTheme="majorHAnsi" w:cstheme="majorHAnsi"/>
                <w:sz w:val="20"/>
                <w:szCs w:val="20"/>
                <w:lang w:val="en-US"/>
              </w:rPr>
              <w:t xml:space="preserve">Officer </w:t>
            </w:r>
          </w:p>
        </w:tc>
      </w:tr>
      <w:tr w:rsidR="00864BF8" w:rsidRPr="005516CD" w14:paraId="089A2186"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D81FCD5"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PMU</w:t>
            </w:r>
          </w:p>
        </w:tc>
        <w:tc>
          <w:tcPr>
            <w:tcW w:w="7794" w:type="dxa"/>
            <w:tcBorders>
              <w:top w:val="single" w:sz="4" w:space="0" w:color="auto"/>
              <w:left w:val="single" w:sz="4" w:space="0" w:color="auto"/>
              <w:bottom w:val="single" w:sz="4" w:space="0" w:color="auto"/>
              <w:right w:val="single" w:sz="4" w:space="0" w:color="auto"/>
            </w:tcBorders>
            <w:hideMark/>
          </w:tcPr>
          <w:p w14:paraId="5ECD649F"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Project Management Unit</w:t>
            </w:r>
          </w:p>
        </w:tc>
      </w:tr>
      <w:tr w:rsidR="00864BF8" w:rsidRPr="005516CD" w14:paraId="595B09FC"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C04CB87"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PN3B</w:t>
            </w:r>
          </w:p>
        </w:tc>
        <w:tc>
          <w:tcPr>
            <w:tcW w:w="7794" w:type="dxa"/>
            <w:tcBorders>
              <w:top w:val="single" w:sz="4" w:space="0" w:color="auto"/>
              <w:left w:val="single" w:sz="4" w:space="0" w:color="auto"/>
              <w:bottom w:val="single" w:sz="4" w:space="0" w:color="auto"/>
              <w:right w:val="single" w:sz="4" w:space="0" w:color="auto"/>
            </w:tcBorders>
            <w:hideMark/>
          </w:tcPr>
          <w:p w14:paraId="7F00B635"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Three Bays National Park</w:t>
            </w:r>
          </w:p>
        </w:tc>
      </w:tr>
      <w:tr w:rsidR="00864BF8" w:rsidRPr="005516CD" w14:paraId="5E40E5DD"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49AF6C5"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PPG</w:t>
            </w:r>
          </w:p>
        </w:tc>
        <w:tc>
          <w:tcPr>
            <w:tcW w:w="7794" w:type="dxa"/>
            <w:tcBorders>
              <w:top w:val="single" w:sz="4" w:space="0" w:color="auto"/>
              <w:left w:val="single" w:sz="4" w:space="0" w:color="auto"/>
              <w:bottom w:val="single" w:sz="4" w:space="0" w:color="auto"/>
              <w:right w:val="single" w:sz="4" w:space="0" w:color="auto"/>
            </w:tcBorders>
            <w:hideMark/>
          </w:tcPr>
          <w:p w14:paraId="17F99E76"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Project Preparation Grant</w:t>
            </w:r>
          </w:p>
        </w:tc>
      </w:tr>
      <w:tr w:rsidR="00864BF8" w:rsidRPr="005516CD" w14:paraId="1DF15549"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7ABF36AF"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lang w:val="en-US"/>
              </w:rPr>
              <w:t>PSDH</w:t>
            </w:r>
          </w:p>
        </w:tc>
        <w:tc>
          <w:tcPr>
            <w:tcW w:w="7794" w:type="dxa"/>
            <w:tcBorders>
              <w:top w:val="single" w:sz="4" w:space="0" w:color="auto"/>
              <w:left w:val="single" w:sz="4" w:space="0" w:color="auto"/>
              <w:bottom w:val="single" w:sz="4" w:space="0" w:color="auto"/>
              <w:right w:val="single" w:sz="4" w:space="0" w:color="auto"/>
            </w:tcBorders>
            <w:hideMark/>
          </w:tcPr>
          <w:p w14:paraId="14A1CAE4"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Strategic Plan for the Development of Haiti</w:t>
            </w:r>
          </w:p>
        </w:tc>
      </w:tr>
      <w:tr w:rsidR="00864BF8" w:rsidRPr="005516CD" w14:paraId="29E225E6"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4E619DCC"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RECOCARNO</w:t>
            </w:r>
          </w:p>
        </w:tc>
        <w:tc>
          <w:tcPr>
            <w:tcW w:w="7794" w:type="dxa"/>
            <w:tcBorders>
              <w:top w:val="single" w:sz="4" w:space="0" w:color="auto"/>
              <w:left w:val="single" w:sz="4" w:space="0" w:color="auto"/>
              <w:bottom w:val="single" w:sz="4" w:space="0" w:color="auto"/>
              <w:right w:val="single" w:sz="4" w:space="0" w:color="auto"/>
            </w:tcBorders>
            <w:hideMark/>
          </w:tcPr>
          <w:p w14:paraId="11EF7181"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Network of Coffee Cooperatives in the North Region</w:t>
            </w:r>
          </w:p>
        </w:tc>
      </w:tr>
      <w:tr w:rsidR="00864BF8" w:rsidRPr="005516CD" w14:paraId="4BD9DB1C"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3D4BFB2"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SESP</w:t>
            </w:r>
          </w:p>
        </w:tc>
        <w:tc>
          <w:tcPr>
            <w:tcW w:w="7794" w:type="dxa"/>
            <w:tcBorders>
              <w:top w:val="single" w:sz="4" w:space="0" w:color="auto"/>
              <w:left w:val="single" w:sz="4" w:space="0" w:color="auto"/>
              <w:bottom w:val="single" w:sz="4" w:space="0" w:color="auto"/>
              <w:right w:val="single" w:sz="4" w:space="0" w:color="auto"/>
            </w:tcBorders>
            <w:hideMark/>
          </w:tcPr>
          <w:p w14:paraId="73CAF304"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 xml:space="preserve">Social and Environmental Screening </w:t>
            </w:r>
            <w:r w:rsidR="00250916" w:rsidRPr="005516CD">
              <w:rPr>
                <w:rFonts w:asciiTheme="majorHAnsi" w:hAnsiTheme="majorHAnsi" w:cstheme="majorHAnsi"/>
                <w:sz w:val="20"/>
                <w:szCs w:val="20"/>
              </w:rPr>
              <w:t>Procedure</w:t>
            </w:r>
          </w:p>
        </w:tc>
      </w:tr>
      <w:tr w:rsidR="00864BF8" w:rsidRPr="005516CD" w14:paraId="0DA119C5"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7FB7A858"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STAP</w:t>
            </w:r>
          </w:p>
        </w:tc>
        <w:tc>
          <w:tcPr>
            <w:tcW w:w="7794" w:type="dxa"/>
            <w:tcBorders>
              <w:top w:val="single" w:sz="4" w:space="0" w:color="auto"/>
              <w:left w:val="single" w:sz="4" w:space="0" w:color="auto"/>
              <w:bottom w:val="single" w:sz="4" w:space="0" w:color="auto"/>
              <w:right w:val="single" w:sz="4" w:space="0" w:color="auto"/>
            </w:tcBorders>
            <w:hideMark/>
          </w:tcPr>
          <w:p w14:paraId="43C23CBE"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Scientific and Technical Advisory Panel</w:t>
            </w:r>
          </w:p>
        </w:tc>
      </w:tr>
      <w:tr w:rsidR="00864BF8" w:rsidRPr="005516CD" w14:paraId="66513034"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78665EBF"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TA</w:t>
            </w:r>
          </w:p>
        </w:tc>
        <w:tc>
          <w:tcPr>
            <w:tcW w:w="7794" w:type="dxa"/>
            <w:tcBorders>
              <w:top w:val="single" w:sz="4" w:space="0" w:color="auto"/>
              <w:left w:val="single" w:sz="4" w:space="0" w:color="auto"/>
              <w:bottom w:val="single" w:sz="4" w:space="0" w:color="auto"/>
              <w:right w:val="single" w:sz="4" w:space="0" w:color="auto"/>
            </w:tcBorders>
            <w:hideMark/>
          </w:tcPr>
          <w:p w14:paraId="0A4DD0D5"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Technical assistance</w:t>
            </w:r>
          </w:p>
        </w:tc>
      </w:tr>
      <w:tr w:rsidR="00864BF8" w:rsidRPr="005516CD" w14:paraId="603CE187"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53B316E7"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TE</w:t>
            </w:r>
          </w:p>
        </w:tc>
        <w:tc>
          <w:tcPr>
            <w:tcW w:w="7794" w:type="dxa"/>
            <w:tcBorders>
              <w:top w:val="single" w:sz="4" w:space="0" w:color="auto"/>
              <w:left w:val="single" w:sz="4" w:space="0" w:color="auto"/>
              <w:bottom w:val="single" w:sz="4" w:space="0" w:color="auto"/>
              <w:right w:val="single" w:sz="4" w:space="0" w:color="auto"/>
            </w:tcBorders>
            <w:hideMark/>
          </w:tcPr>
          <w:p w14:paraId="188277DC"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Terminal Evaluation</w:t>
            </w:r>
          </w:p>
        </w:tc>
      </w:tr>
      <w:tr w:rsidR="00864BF8" w:rsidRPr="005516CD" w14:paraId="230F0E6A"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AA4D123"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TPR</w:t>
            </w:r>
          </w:p>
        </w:tc>
        <w:tc>
          <w:tcPr>
            <w:tcW w:w="7794" w:type="dxa"/>
            <w:tcBorders>
              <w:top w:val="single" w:sz="4" w:space="0" w:color="auto"/>
              <w:left w:val="single" w:sz="4" w:space="0" w:color="auto"/>
              <w:bottom w:val="single" w:sz="4" w:space="0" w:color="auto"/>
              <w:right w:val="single" w:sz="4" w:space="0" w:color="auto"/>
            </w:tcBorders>
            <w:hideMark/>
          </w:tcPr>
          <w:p w14:paraId="3FF7DE11"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Resilient Productive Landscapes in Haiti</w:t>
            </w:r>
          </w:p>
        </w:tc>
      </w:tr>
      <w:tr w:rsidR="00864BF8" w:rsidRPr="005516CD" w14:paraId="47B19E2B"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13A8C2FD"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UNDP</w:t>
            </w:r>
          </w:p>
        </w:tc>
        <w:tc>
          <w:tcPr>
            <w:tcW w:w="7794" w:type="dxa"/>
            <w:tcBorders>
              <w:top w:val="single" w:sz="4" w:space="0" w:color="auto"/>
              <w:left w:val="single" w:sz="4" w:space="0" w:color="auto"/>
              <w:bottom w:val="single" w:sz="4" w:space="0" w:color="auto"/>
              <w:right w:val="single" w:sz="4" w:space="0" w:color="auto"/>
            </w:tcBorders>
            <w:hideMark/>
          </w:tcPr>
          <w:p w14:paraId="4C4D2C84"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United Nations Development Programme</w:t>
            </w:r>
          </w:p>
        </w:tc>
      </w:tr>
      <w:tr w:rsidR="00864BF8" w:rsidRPr="005516CD" w14:paraId="22BA7995"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040DA5C6"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UNFCCC</w:t>
            </w:r>
          </w:p>
        </w:tc>
        <w:tc>
          <w:tcPr>
            <w:tcW w:w="7794" w:type="dxa"/>
            <w:tcBorders>
              <w:top w:val="single" w:sz="4" w:space="0" w:color="auto"/>
              <w:left w:val="single" w:sz="4" w:space="0" w:color="auto"/>
              <w:bottom w:val="single" w:sz="4" w:space="0" w:color="auto"/>
              <w:right w:val="single" w:sz="4" w:space="0" w:color="auto"/>
            </w:tcBorders>
            <w:hideMark/>
          </w:tcPr>
          <w:p w14:paraId="1A9D61B7"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United Nations Framework Convention on Climate Change</w:t>
            </w:r>
          </w:p>
        </w:tc>
      </w:tr>
      <w:tr w:rsidR="00864BF8" w:rsidRPr="005516CD" w14:paraId="223F21D8"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6D70345"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USAID</w:t>
            </w:r>
          </w:p>
        </w:tc>
        <w:tc>
          <w:tcPr>
            <w:tcW w:w="7794" w:type="dxa"/>
            <w:tcBorders>
              <w:top w:val="single" w:sz="4" w:space="0" w:color="auto"/>
              <w:left w:val="single" w:sz="4" w:space="0" w:color="auto"/>
              <w:bottom w:val="single" w:sz="4" w:space="0" w:color="auto"/>
              <w:right w:val="single" w:sz="4" w:space="0" w:color="auto"/>
            </w:tcBorders>
            <w:hideMark/>
          </w:tcPr>
          <w:p w14:paraId="61A56C78"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US Agency for International Development</w:t>
            </w:r>
          </w:p>
        </w:tc>
      </w:tr>
      <w:tr w:rsidR="00864BF8" w:rsidRPr="005516CD" w14:paraId="2BCCE72D" w14:textId="77777777" w:rsidTr="00864BF8">
        <w:tc>
          <w:tcPr>
            <w:tcW w:w="0" w:type="auto"/>
            <w:tcBorders>
              <w:top w:val="single" w:sz="4" w:space="0" w:color="auto"/>
              <w:left w:val="single" w:sz="4" w:space="0" w:color="auto"/>
              <w:bottom w:val="single" w:sz="4" w:space="0" w:color="auto"/>
              <w:right w:val="single" w:sz="4" w:space="0" w:color="auto"/>
            </w:tcBorders>
            <w:hideMark/>
          </w:tcPr>
          <w:p w14:paraId="6B0224AC" w14:textId="77777777" w:rsidR="00864BF8" w:rsidRPr="005516CD" w:rsidRDefault="00864BF8">
            <w:pPr>
              <w:spacing w:line="256" w:lineRule="auto"/>
              <w:rPr>
                <w:rFonts w:asciiTheme="majorHAnsi" w:hAnsiTheme="majorHAnsi" w:cstheme="majorHAnsi"/>
                <w:sz w:val="20"/>
                <w:szCs w:val="20"/>
              </w:rPr>
            </w:pPr>
            <w:r w:rsidRPr="005516CD">
              <w:rPr>
                <w:rFonts w:asciiTheme="majorHAnsi" w:hAnsiTheme="majorHAnsi" w:cstheme="majorHAnsi"/>
                <w:sz w:val="20"/>
                <w:szCs w:val="20"/>
              </w:rPr>
              <w:t>WFP</w:t>
            </w:r>
          </w:p>
        </w:tc>
        <w:tc>
          <w:tcPr>
            <w:tcW w:w="7794" w:type="dxa"/>
            <w:tcBorders>
              <w:top w:val="single" w:sz="4" w:space="0" w:color="auto"/>
              <w:left w:val="single" w:sz="4" w:space="0" w:color="auto"/>
              <w:bottom w:val="single" w:sz="4" w:space="0" w:color="auto"/>
              <w:right w:val="single" w:sz="4" w:space="0" w:color="auto"/>
            </w:tcBorders>
            <w:hideMark/>
          </w:tcPr>
          <w:p w14:paraId="4C45C615" w14:textId="77777777" w:rsidR="00864BF8" w:rsidRPr="005516CD" w:rsidRDefault="00864BF8">
            <w:pPr>
              <w:spacing w:line="256" w:lineRule="auto"/>
              <w:rPr>
                <w:rFonts w:asciiTheme="majorHAnsi" w:hAnsiTheme="majorHAnsi" w:cstheme="majorHAnsi"/>
                <w:sz w:val="20"/>
                <w:szCs w:val="20"/>
                <w:lang w:val="en-US"/>
              </w:rPr>
            </w:pPr>
            <w:r w:rsidRPr="005516CD">
              <w:rPr>
                <w:rFonts w:asciiTheme="majorHAnsi" w:hAnsiTheme="majorHAnsi" w:cstheme="majorHAnsi"/>
                <w:sz w:val="20"/>
                <w:szCs w:val="20"/>
                <w:lang w:val="en-US"/>
              </w:rPr>
              <w:t>World Food Programme</w:t>
            </w:r>
          </w:p>
        </w:tc>
      </w:tr>
    </w:tbl>
    <w:p w14:paraId="6ECD7120" w14:textId="77777777" w:rsidR="00023CBA" w:rsidRPr="005516CD" w:rsidRDefault="00023CBA" w:rsidP="007B146B">
      <w:pPr>
        <w:pStyle w:val="Body"/>
        <w:spacing w:after="0"/>
        <w:jc w:val="left"/>
        <w:rPr>
          <w:b/>
          <w:bCs/>
        </w:rPr>
      </w:pPr>
    </w:p>
    <w:p w14:paraId="5A79D947" w14:textId="77777777" w:rsidR="001771FE" w:rsidRPr="005516CD" w:rsidRDefault="001771FE" w:rsidP="007B146B">
      <w:pPr>
        <w:pStyle w:val="Body"/>
        <w:spacing w:after="0"/>
        <w:jc w:val="left"/>
        <w:rPr>
          <w:b/>
          <w:bCs/>
        </w:rPr>
      </w:pPr>
    </w:p>
    <w:p w14:paraId="0F914DFD" w14:textId="77777777" w:rsidR="001771FE" w:rsidRPr="005516CD" w:rsidRDefault="001771FE" w:rsidP="007B146B">
      <w:pPr>
        <w:pStyle w:val="Body"/>
        <w:spacing w:after="0"/>
        <w:jc w:val="left"/>
        <w:rPr>
          <w:b/>
          <w:bCs/>
        </w:rPr>
      </w:pPr>
    </w:p>
    <w:p w14:paraId="5469AA8A" w14:textId="77777777" w:rsidR="001771FE" w:rsidRPr="005516CD" w:rsidRDefault="001771FE" w:rsidP="007B146B">
      <w:pPr>
        <w:pStyle w:val="Body"/>
        <w:spacing w:after="0"/>
        <w:jc w:val="left"/>
        <w:rPr>
          <w:b/>
          <w:bCs/>
        </w:rPr>
      </w:pPr>
    </w:p>
    <w:p w14:paraId="74C062D8" w14:textId="77777777" w:rsidR="001771FE" w:rsidRPr="005516CD" w:rsidRDefault="00045B04" w:rsidP="007B146B">
      <w:pPr>
        <w:pStyle w:val="Body"/>
        <w:spacing w:after="160" w:line="259" w:lineRule="auto"/>
        <w:jc w:val="left"/>
      </w:pPr>
      <w:r w:rsidRPr="005516CD">
        <w:br w:type="page"/>
      </w:r>
    </w:p>
    <w:p w14:paraId="139CFC32" w14:textId="77777777" w:rsidR="001771FE" w:rsidRPr="005516CD" w:rsidRDefault="00045B04" w:rsidP="003B2210">
      <w:pPr>
        <w:pStyle w:val="Heading2"/>
        <w:numPr>
          <w:ilvl w:val="1"/>
          <w:numId w:val="173"/>
        </w:numPr>
        <w:spacing w:after="120"/>
        <w:rPr>
          <w:rFonts w:ascii="Calibri" w:eastAsia="Calibri" w:hAnsi="Calibri" w:cs="Calibri"/>
          <w:caps/>
          <w:sz w:val="22"/>
          <w:lang w:val="en-US"/>
        </w:rPr>
      </w:pPr>
      <w:bookmarkStart w:id="4" w:name="_Toc8933073"/>
      <w:r w:rsidRPr="005516CD">
        <w:rPr>
          <w:rFonts w:ascii="Calibri" w:eastAsia="Calibri" w:hAnsi="Calibri" w:cs="Calibri"/>
          <w:caps/>
          <w:sz w:val="22"/>
          <w:lang w:val="en-US"/>
        </w:rPr>
        <w:t>Development Challenge</w:t>
      </w:r>
      <w:bookmarkEnd w:id="4"/>
      <w:r w:rsidRPr="005516CD">
        <w:rPr>
          <w:rFonts w:ascii="Calibri" w:eastAsia="Calibri" w:hAnsi="Calibri" w:cs="Calibri"/>
          <w:caps/>
          <w:sz w:val="22"/>
          <w:lang w:val="en-US"/>
        </w:rPr>
        <w:t xml:space="preserve"> </w:t>
      </w:r>
    </w:p>
    <w:p w14:paraId="0883CA3B" w14:textId="77777777" w:rsidR="001771FE" w:rsidRPr="005516CD" w:rsidRDefault="00045B04" w:rsidP="007B146B">
      <w:pPr>
        <w:pStyle w:val="Heading2"/>
        <w:spacing w:after="120"/>
        <w:ind w:left="0"/>
        <w:rPr>
          <w:rFonts w:ascii="Calibri" w:eastAsia="Calibri" w:hAnsi="Calibri" w:cs="Calibri"/>
          <w:u w:val="single"/>
        </w:rPr>
      </w:pPr>
      <w:bookmarkStart w:id="5" w:name="_Toc8933074"/>
      <w:r w:rsidRPr="005516CD">
        <w:rPr>
          <w:rFonts w:ascii="Calibri" w:eastAsia="Calibri" w:hAnsi="Calibri" w:cs="Calibri"/>
          <w:u w:val="single"/>
          <w:lang w:val="en-US"/>
        </w:rPr>
        <w:t>Context</w:t>
      </w:r>
      <w:bookmarkEnd w:id="5"/>
    </w:p>
    <w:p w14:paraId="42F1F886" w14:textId="77777777" w:rsidR="00D92385" w:rsidRPr="005516CD" w:rsidRDefault="00D9238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i/>
        </w:rPr>
      </w:pPr>
      <w:r w:rsidRPr="005516CD">
        <w:rPr>
          <w:rFonts w:asciiTheme="majorHAnsi" w:hAnsiTheme="majorHAnsi" w:cstheme="majorHAnsi"/>
          <w:sz w:val="20"/>
          <w:szCs w:val="20"/>
        </w:rPr>
        <w:t xml:space="preserve">Haiti consists of </w:t>
      </w:r>
      <w:r w:rsidRPr="005516CD">
        <w:rPr>
          <w:rFonts w:asciiTheme="majorHAnsi" w:hAnsiTheme="majorHAnsi" w:cstheme="majorHAnsi"/>
          <w:color w:val="000000"/>
          <w:sz w:val="20"/>
          <w:szCs w:val="20"/>
        </w:rPr>
        <w:t>the</w:t>
      </w:r>
      <w:r w:rsidRPr="005516CD">
        <w:rPr>
          <w:rFonts w:asciiTheme="majorHAnsi" w:hAnsiTheme="majorHAnsi" w:cstheme="majorHAnsi"/>
          <w:sz w:val="20"/>
          <w:szCs w:val="20"/>
        </w:rPr>
        <w:t xml:space="preserve"> 2,775,000-ha portion of Hispaniola, which is shared with Dominican Republic, and six satellites islands totalling 95,400 ha.</w:t>
      </w:r>
    </w:p>
    <w:p w14:paraId="57D80445" w14:textId="77777777" w:rsidR="00D92385" w:rsidRPr="005516CD" w:rsidRDefault="00D92385" w:rsidP="006D3404">
      <w:pPr>
        <w:pStyle w:val="Heading7"/>
        <w:spacing w:before="0" w:after="0"/>
        <w:ind w:left="0"/>
        <w:rPr>
          <w:rFonts w:asciiTheme="majorHAnsi" w:hAnsiTheme="majorHAnsi" w:cstheme="majorHAnsi"/>
          <w:i/>
        </w:rPr>
      </w:pPr>
      <w:r w:rsidRPr="005516CD">
        <w:rPr>
          <w:rFonts w:asciiTheme="majorHAnsi" w:hAnsiTheme="majorHAnsi" w:cstheme="majorHAnsi"/>
          <w:i/>
        </w:rPr>
        <w:t>Demography</w:t>
      </w:r>
    </w:p>
    <w:p w14:paraId="1528B1DF" w14:textId="77777777" w:rsidR="00622E80" w:rsidRPr="005516CD" w:rsidRDefault="00622E8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proofErr w:type="spellStart"/>
      <w:r w:rsidRPr="005516CD">
        <w:rPr>
          <w:rFonts w:asciiTheme="majorHAnsi" w:hAnsiTheme="majorHAnsi" w:cstheme="majorHAnsi"/>
          <w:color w:val="000000"/>
          <w:sz w:val="20"/>
          <w:szCs w:val="20"/>
        </w:rPr>
        <w:t>Haïti’s</w:t>
      </w:r>
      <w:proofErr w:type="spellEnd"/>
      <w:r w:rsidRPr="005516CD">
        <w:rPr>
          <w:rFonts w:asciiTheme="majorHAnsi" w:hAnsiTheme="majorHAnsi" w:cstheme="majorHAnsi"/>
          <w:color w:val="000000"/>
          <w:sz w:val="20"/>
          <w:szCs w:val="20"/>
        </w:rPr>
        <w:t xml:space="preserve"> population is estimated to be 8 million with a 2.08% annual growth rate.  Haiti had a Human Development Index of 0.471 in 2013, the lowest in the western hemisphere and </w:t>
      </w:r>
      <w:r w:rsidRPr="005516CD">
        <w:rPr>
          <w:rFonts w:asciiTheme="majorHAnsi" w:hAnsiTheme="majorHAnsi" w:cstheme="majorHAnsi"/>
          <w:sz w:val="20"/>
          <w:szCs w:val="20"/>
        </w:rPr>
        <w:t>number</w:t>
      </w:r>
      <w:r w:rsidRPr="005516CD">
        <w:rPr>
          <w:rFonts w:asciiTheme="majorHAnsi" w:hAnsiTheme="majorHAnsi" w:cstheme="majorHAnsi"/>
          <w:color w:val="000000"/>
          <w:sz w:val="20"/>
          <w:szCs w:val="20"/>
        </w:rPr>
        <w:t xml:space="preserve"> 168 out of 187 worldwide. Between 2005 and 2010, three-quarters of the population lived below the poverty line of US$2 per person per day, and more than half (56%) lived below the absolute poverty line of US$1/person/day.</w:t>
      </w:r>
    </w:p>
    <w:p w14:paraId="553C7394" w14:textId="77777777" w:rsidR="00A51295" w:rsidRPr="005516CD" w:rsidRDefault="00A5129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sz w:val="20"/>
          <w:szCs w:val="20"/>
        </w:rPr>
        <w:t>According to 2003 census data (updated by projection in 2012), 52% of the population is rural, 22% l</w:t>
      </w:r>
      <w:r w:rsidR="00224AD7" w:rsidRPr="005516CD">
        <w:rPr>
          <w:rFonts w:asciiTheme="majorHAnsi" w:hAnsiTheme="majorHAnsi" w:cstheme="majorHAnsi"/>
          <w:sz w:val="20"/>
          <w:szCs w:val="20"/>
        </w:rPr>
        <w:t>i</w:t>
      </w:r>
      <w:r w:rsidRPr="005516CD">
        <w:rPr>
          <w:rFonts w:asciiTheme="majorHAnsi" w:hAnsiTheme="majorHAnsi" w:cstheme="majorHAnsi"/>
          <w:sz w:val="20"/>
          <w:szCs w:val="20"/>
        </w:rPr>
        <w:t>ve in the capital Port-au-Prince and the remaining 26% live in other urban centres. The population growth rate in towns between 2003 and 2012 was double that of the country as a whole.</w:t>
      </w:r>
    </w:p>
    <w:p w14:paraId="0B2ADE1E" w14:textId="77777777" w:rsidR="00B65ABA" w:rsidRPr="005516CD" w:rsidRDefault="00D9238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color w:val="000000"/>
          <w:sz w:val="20"/>
          <w:szCs w:val="20"/>
        </w:rPr>
        <w:t>Demographic growth in rural areas is leading to accelerated rates of fragmentation of land holdings</w:t>
      </w:r>
      <w:r w:rsidR="00230F3A" w:rsidRPr="005516CD">
        <w:rPr>
          <w:rFonts w:asciiTheme="majorHAnsi" w:hAnsiTheme="majorHAnsi" w:cstheme="majorHAnsi"/>
          <w:color w:val="000000"/>
          <w:sz w:val="20"/>
          <w:szCs w:val="20"/>
        </w:rPr>
        <w:t xml:space="preserve">. The proportion of </w:t>
      </w:r>
      <w:r w:rsidRPr="005516CD">
        <w:rPr>
          <w:rFonts w:asciiTheme="majorHAnsi" w:hAnsiTheme="majorHAnsi" w:cstheme="majorHAnsi"/>
          <w:color w:val="000000"/>
          <w:sz w:val="20"/>
          <w:szCs w:val="20"/>
        </w:rPr>
        <w:t xml:space="preserve">holdings with an area of less than </w:t>
      </w:r>
      <w:r w:rsidR="0050546A" w:rsidRPr="005516CD">
        <w:rPr>
          <w:rFonts w:asciiTheme="majorHAnsi" w:hAnsiTheme="majorHAnsi" w:cstheme="majorHAnsi"/>
          <w:color w:val="000000"/>
          <w:sz w:val="20"/>
          <w:szCs w:val="20"/>
        </w:rPr>
        <w:t xml:space="preserve">1 </w:t>
      </w:r>
      <w:proofErr w:type="spellStart"/>
      <w:r w:rsidR="0050546A" w:rsidRPr="005516CD">
        <w:rPr>
          <w:rFonts w:asciiTheme="majorHAnsi" w:hAnsiTheme="majorHAnsi" w:cstheme="majorHAnsi"/>
          <w:color w:val="000000"/>
          <w:sz w:val="20"/>
          <w:szCs w:val="20"/>
        </w:rPr>
        <w:t>carreau</w:t>
      </w:r>
      <w:proofErr w:type="spellEnd"/>
      <w:r w:rsidR="0050546A" w:rsidRPr="005516CD">
        <w:rPr>
          <w:rFonts w:asciiTheme="majorHAnsi" w:hAnsiTheme="majorHAnsi" w:cstheme="majorHAnsi"/>
          <w:color w:val="000000"/>
          <w:sz w:val="20"/>
          <w:szCs w:val="20"/>
        </w:rPr>
        <w:t xml:space="preserve"> (1.29 ha) </w:t>
      </w:r>
      <w:r w:rsidR="00230F3A" w:rsidRPr="005516CD">
        <w:rPr>
          <w:rFonts w:asciiTheme="majorHAnsi" w:hAnsiTheme="majorHAnsi" w:cstheme="majorHAnsi"/>
          <w:color w:val="000000"/>
          <w:sz w:val="20"/>
          <w:szCs w:val="20"/>
        </w:rPr>
        <w:t xml:space="preserve">rose from </w:t>
      </w:r>
      <w:r w:rsidR="0050546A" w:rsidRPr="005516CD">
        <w:rPr>
          <w:rFonts w:asciiTheme="majorHAnsi" w:hAnsiTheme="majorHAnsi" w:cstheme="majorHAnsi"/>
          <w:color w:val="000000"/>
          <w:sz w:val="20"/>
          <w:szCs w:val="20"/>
        </w:rPr>
        <w:t xml:space="preserve">for 39% </w:t>
      </w:r>
      <w:r w:rsidR="00230F3A" w:rsidRPr="005516CD">
        <w:rPr>
          <w:rFonts w:asciiTheme="majorHAnsi" w:hAnsiTheme="majorHAnsi" w:cstheme="majorHAnsi"/>
          <w:color w:val="000000"/>
          <w:sz w:val="20"/>
          <w:szCs w:val="20"/>
        </w:rPr>
        <w:t xml:space="preserve">(11% of farmed land) in 1980 to 69% (37% of farmed land) in 2010, while the proportion of holdings larger than 5 </w:t>
      </w:r>
      <w:proofErr w:type="spellStart"/>
      <w:r w:rsidR="00230F3A" w:rsidRPr="005516CD">
        <w:rPr>
          <w:rFonts w:asciiTheme="majorHAnsi" w:hAnsiTheme="majorHAnsi" w:cstheme="majorHAnsi"/>
          <w:color w:val="000000"/>
          <w:sz w:val="20"/>
          <w:szCs w:val="20"/>
        </w:rPr>
        <w:t>carreaux</w:t>
      </w:r>
      <w:proofErr w:type="spellEnd"/>
      <w:r w:rsidR="00230F3A" w:rsidRPr="005516CD">
        <w:rPr>
          <w:rFonts w:asciiTheme="majorHAnsi" w:hAnsiTheme="majorHAnsi" w:cstheme="majorHAnsi"/>
          <w:color w:val="000000"/>
          <w:sz w:val="20"/>
          <w:szCs w:val="20"/>
        </w:rPr>
        <w:t xml:space="preserve"> (6.45 ha) fell from 2% in 1980 (11% of farmed area) to 0.5% in 2010 (5% of farmed area).</w:t>
      </w:r>
    </w:p>
    <w:p w14:paraId="0697E737" w14:textId="77777777" w:rsidR="00230F3A" w:rsidRPr="005516CD" w:rsidRDefault="00230F3A" w:rsidP="006D3404">
      <w:pPr>
        <w:pStyle w:val="Heading7"/>
        <w:spacing w:before="0" w:after="0"/>
        <w:ind w:left="0"/>
        <w:rPr>
          <w:rFonts w:asciiTheme="majorHAnsi" w:hAnsiTheme="majorHAnsi" w:cstheme="majorHAnsi"/>
          <w:i/>
        </w:rPr>
      </w:pPr>
      <w:r w:rsidRPr="005516CD">
        <w:rPr>
          <w:rFonts w:asciiTheme="majorHAnsi" w:hAnsiTheme="majorHAnsi" w:cstheme="majorHAnsi"/>
          <w:i/>
        </w:rPr>
        <w:t>Biodiversity</w:t>
      </w:r>
    </w:p>
    <w:p w14:paraId="0C8DD2F2" w14:textId="77777777" w:rsidR="00622E80" w:rsidRPr="005516CD" w:rsidRDefault="00622E8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There </w:t>
      </w:r>
      <w:r w:rsidRPr="005516CD">
        <w:rPr>
          <w:rFonts w:asciiTheme="majorHAnsi" w:hAnsiTheme="majorHAnsi" w:cstheme="majorHAnsi"/>
          <w:color w:val="000000"/>
          <w:sz w:val="20"/>
          <w:szCs w:val="20"/>
        </w:rPr>
        <w:t>are</w:t>
      </w:r>
      <w:r w:rsidRPr="005516CD">
        <w:rPr>
          <w:rFonts w:asciiTheme="majorHAnsi" w:hAnsiTheme="majorHAnsi" w:cstheme="majorHAnsi"/>
          <w:sz w:val="20"/>
          <w:szCs w:val="20"/>
        </w:rPr>
        <w:t xml:space="preserve"> 17 Key Biodiversity Areas (KBAs) in Haiti with five “Wholly Irreplaceable Sites” containing the only known populations of globally threatened species, namely Massif de la </w:t>
      </w:r>
      <w:proofErr w:type="spellStart"/>
      <w:r w:rsidRPr="005516CD">
        <w:rPr>
          <w:rFonts w:asciiTheme="majorHAnsi" w:hAnsiTheme="majorHAnsi" w:cstheme="majorHAnsi"/>
          <w:sz w:val="20"/>
          <w:szCs w:val="20"/>
        </w:rPr>
        <w:t>Hotte</w:t>
      </w:r>
      <w:proofErr w:type="spellEnd"/>
      <w:r w:rsidRPr="005516CD">
        <w:rPr>
          <w:rFonts w:asciiTheme="majorHAnsi" w:hAnsiTheme="majorHAnsi" w:cstheme="majorHAnsi"/>
          <w:sz w:val="20"/>
          <w:szCs w:val="20"/>
        </w:rPr>
        <w:t xml:space="preserve">, Massif de la </w:t>
      </w:r>
      <w:proofErr w:type="spellStart"/>
      <w:r w:rsidRPr="005516CD">
        <w:rPr>
          <w:rFonts w:asciiTheme="majorHAnsi" w:hAnsiTheme="majorHAnsi" w:cstheme="majorHAnsi"/>
          <w:sz w:val="20"/>
          <w:szCs w:val="20"/>
        </w:rPr>
        <w:t>Selle</w:t>
      </w:r>
      <w:proofErr w:type="spellEnd"/>
      <w:r w:rsidRPr="005516CD">
        <w:rPr>
          <w:rFonts w:asciiTheme="majorHAnsi" w:hAnsiTheme="majorHAnsi" w:cstheme="majorHAnsi"/>
          <w:sz w:val="20"/>
          <w:szCs w:val="20"/>
        </w:rPr>
        <w:t>, Dame-Marie (Grande-</w:t>
      </w:r>
      <w:proofErr w:type="spellStart"/>
      <w:r w:rsidRPr="005516CD">
        <w:rPr>
          <w:rFonts w:asciiTheme="majorHAnsi" w:hAnsiTheme="majorHAnsi" w:cstheme="majorHAnsi"/>
          <w:sz w:val="20"/>
          <w:szCs w:val="20"/>
        </w:rPr>
        <w:t>Anse</w:t>
      </w:r>
      <w:proofErr w:type="spellEnd"/>
      <w:r w:rsidRPr="005516CD">
        <w:rPr>
          <w:rFonts w:asciiTheme="majorHAnsi" w:hAnsiTheme="majorHAnsi" w:cstheme="majorHAnsi"/>
          <w:sz w:val="20"/>
          <w:szCs w:val="20"/>
        </w:rPr>
        <w:t xml:space="preserve"> Department), Plaisance (Northern region), and </w:t>
      </w:r>
      <w:proofErr w:type="spellStart"/>
      <w:r w:rsidRPr="005516CD">
        <w:rPr>
          <w:rFonts w:asciiTheme="majorHAnsi" w:hAnsiTheme="majorHAnsi" w:cstheme="majorHAnsi"/>
          <w:sz w:val="20"/>
          <w:szCs w:val="20"/>
        </w:rPr>
        <w:t>Presqu’île</w:t>
      </w:r>
      <w:proofErr w:type="spellEnd"/>
      <w:r w:rsidRPr="005516CD">
        <w:rPr>
          <w:rFonts w:asciiTheme="majorHAnsi" w:hAnsiTheme="majorHAnsi" w:cstheme="majorHAnsi"/>
          <w:sz w:val="20"/>
          <w:szCs w:val="20"/>
        </w:rPr>
        <w:t xml:space="preserve"> du Nord-Ouest I and II</w:t>
      </w:r>
      <w:r w:rsidRPr="005516CD">
        <w:rPr>
          <w:rStyle w:val="FootnoteReference"/>
          <w:rFonts w:asciiTheme="majorHAnsi" w:hAnsiTheme="majorHAnsi" w:cstheme="majorHAnsi"/>
          <w:sz w:val="20"/>
          <w:szCs w:val="20"/>
        </w:rPr>
        <w:footnoteReference w:id="3"/>
      </w:r>
      <w:r w:rsidRPr="005516CD">
        <w:rPr>
          <w:rFonts w:asciiTheme="majorHAnsi" w:hAnsiTheme="majorHAnsi" w:cstheme="majorHAnsi"/>
          <w:sz w:val="20"/>
          <w:szCs w:val="20"/>
        </w:rPr>
        <w:t>.</w:t>
      </w:r>
    </w:p>
    <w:p w14:paraId="37E2369A" w14:textId="77777777" w:rsidR="00622E80" w:rsidRPr="005516CD" w:rsidRDefault="00622E8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Haiti’s </w:t>
      </w:r>
      <w:r w:rsidRPr="005516CD">
        <w:rPr>
          <w:rFonts w:asciiTheme="majorHAnsi" w:hAnsiTheme="majorHAnsi" w:cstheme="majorHAnsi"/>
          <w:color w:val="000000"/>
          <w:sz w:val="20"/>
          <w:szCs w:val="20"/>
        </w:rPr>
        <w:t>topography</w:t>
      </w:r>
      <w:r w:rsidRPr="005516CD">
        <w:rPr>
          <w:rFonts w:asciiTheme="majorHAnsi" w:hAnsiTheme="majorHAnsi" w:cstheme="majorHAnsi"/>
          <w:sz w:val="20"/>
          <w:szCs w:val="20"/>
        </w:rPr>
        <w:t xml:space="preserve"> produces significant regional and altitudinal differences in temperature and rainfall. The resultant vegetation varies from subtropical very dry forest formations where cacti and scrub predominate (Northwest and Northeast regions), to tropical (Montane wet forest) at the higher altitudes where pines (</w:t>
      </w:r>
      <w:r w:rsidRPr="005516CD">
        <w:rPr>
          <w:rFonts w:asciiTheme="majorHAnsi" w:hAnsiTheme="majorHAnsi" w:cstheme="majorHAnsi"/>
          <w:i/>
          <w:sz w:val="20"/>
          <w:szCs w:val="20"/>
        </w:rPr>
        <w:t xml:space="preserve">Pinus </w:t>
      </w:r>
      <w:proofErr w:type="spellStart"/>
      <w:r w:rsidRPr="005516CD">
        <w:rPr>
          <w:rFonts w:asciiTheme="majorHAnsi" w:hAnsiTheme="majorHAnsi" w:cstheme="majorHAnsi"/>
          <w:i/>
          <w:sz w:val="20"/>
          <w:szCs w:val="20"/>
        </w:rPr>
        <w:t>occidentalis</w:t>
      </w:r>
      <w:proofErr w:type="spellEnd"/>
      <w:r w:rsidRPr="005516CD">
        <w:rPr>
          <w:rFonts w:asciiTheme="majorHAnsi" w:hAnsiTheme="majorHAnsi" w:cstheme="majorHAnsi"/>
          <w:sz w:val="20"/>
          <w:szCs w:val="20"/>
        </w:rPr>
        <w:t xml:space="preserve">, which is endemic to Hispaniola) and temperate vegetation thrive. Wetlands, lakes, lagoons, estuaries and a varied coastline provide additional diversity. </w:t>
      </w:r>
    </w:p>
    <w:p w14:paraId="7C557D9F" w14:textId="77777777" w:rsidR="00622E80" w:rsidRPr="005516CD" w:rsidRDefault="00622E8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There are 25 native mammal species</w:t>
      </w:r>
      <w:r w:rsidR="00E00865" w:rsidRPr="005516CD">
        <w:rPr>
          <w:rFonts w:asciiTheme="majorHAnsi" w:hAnsiTheme="majorHAnsi" w:cstheme="majorHAnsi"/>
          <w:sz w:val="20"/>
          <w:szCs w:val="20"/>
        </w:rPr>
        <w:t xml:space="preserve">, including </w:t>
      </w:r>
      <w:r w:rsidRPr="005516CD">
        <w:rPr>
          <w:rFonts w:asciiTheme="majorHAnsi" w:hAnsiTheme="majorHAnsi" w:cstheme="majorHAnsi"/>
          <w:sz w:val="20"/>
          <w:szCs w:val="20"/>
        </w:rPr>
        <w:t xml:space="preserve">fifteen species of </w:t>
      </w:r>
      <w:r w:rsidR="00E00865" w:rsidRPr="005516CD">
        <w:rPr>
          <w:rFonts w:asciiTheme="majorHAnsi" w:hAnsiTheme="majorHAnsi" w:cstheme="majorHAnsi"/>
          <w:sz w:val="20"/>
          <w:szCs w:val="20"/>
        </w:rPr>
        <w:t xml:space="preserve">bats, of </w:t>
      </w:r>
      <w:r w:rsidRPr="005516CD">
        <w:rPr>
          <w:rFonts w:asciiTheme="majorHAnsi" w:hAnsiTheme="majorHAnsi" w:cstheme="majorHAnsi"/>
          <w:sz w:val="20"/>
          <w:szCs w:val="20"/>
        </w:rPr>
        <w:t>which seven taxa</w:t>
      </w:r>
      <w:r w:rsidR="00E00865" w:rsidRPr="005516CD">
        <w:rPr>
          <w:rFonts w:asciiTheme="majorHAnsi" w:hAnsiTheme="majorHAnsi" w:cstheme="majorHAnsi"/>
          <w:sz w:val="20"/>
          <w:szCs w:val="20"/>
        </w:rPr>
        <w:t xml:space="preserve"> (</w:t>
      </w:r>
      <w:r w:rsidRPr="005516CD">
        <w:rPr>
          <w:rFonts w:asciiTheme="majorHAnsi" w:hAnsiTheme="majorHAnsi" w:cstheme="majorHAnsi"/>
          <w:sz w:val="20"/>
          <w:szCs w:val="20"/>
        </w:rPr>
        <w:t>including species and sub-species</w:t>
      </w:r>
      <w:r w:rsidR="00E00865" w:rsidRPr="005516CD">
        <w:rPr>
          <w:rFonts w:asciiTheme="majorHAnsi" w:hAnsiTheme="majorHAnsi" w:cstheme="majorHAnsi"/>
          <w:sz w:val="20"/>
          <w:szCs w:val="20"/>
        </w:rPr>
        <w:t>)</w:t>
      </w:r>
      <w:r w:rsidRPr="005516CD">
        <w:rPr>
          <w:rFonts w:asciiTheme="majorHAnsi" w:hAnsiTheme="majorHAnsi" w:cstheme="majorHAnsi"/>
          <w:sz w:val="20"/>
          <w:szCs w:val="20"/>
        </w:rPr>
        <w:t xml:space="preserve"> are considered endemic. </w:t>
      </w:r>
    </w:p>
    <w:p w14:paraId="76C12822" w14:textId="77777777" w:rsidR="00622E80" w:rsidRPr="005516CD" w:rsidRDefault="00622E8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county supports over 245 species of birds, of which more than 73 are resident </w:t>
      </w:r>
      <w:proofErr w:type="spellStart"/>
      <w:r w:rsidRPr="005516CD">
        <w:rPr>
          <w:rFonts w:asciiTheme="majorHAnsi" w:hAnsiTheme="majorHAnsi" w:cstheme="majorHAnsi"/>
          <w:sz w:val="20"/>
          <w:szCs w:val="20"/>
        </w:rPr>
        <w:t>landbirds</w:t>
      </w:r>
      <w:proofErr w:type="spellEnd"/>
      <w:r w:rsidRPr="005516CD">
        <w:rPr>
          <w:rFonts w:asciiTheme="majorHAnsi" w:hAnsiTheme="majorHAnsi" w:cstheme="majorHAnsi"/>
          <w:sz w:val="20"/>
          <w:szCs w:val="20"/>
        </w:rPr>
        <w:t xml:space="preserve">. The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w:t>
      </w:r>
      <w:r w:rsidRPr="005516CD">
        <w:rPr>
          <w:rFonts w:asciiTheme="majorHAnsi" w:hAnsiTheme="majorHAnsi" w:cstheme="majorHAnsi"/>
          <w:color w:val="000000"/>
          <w:sz w:val="20"/>
          <w:szCs w:val="20"/>
        </w:rPr>
        <w:t>avifauna</w:t>
      </w:r>
      <w:r w:rsidRPr="005516CD">
        <w:rPr>
          <w:rFonts w:asciiTheme="majorHAnsi" w:hAnsiTheme="majorHAnsi" w:cstheme="majorHAnsi"/>
          <w:sz w:val="20"/>
          <w:szCs w:val="20"/>
        </w:rPr>
        <w:t xml:space="preserve"> exhibits exceptional levels of endemism: the island is an Endemic Bird Area (EBA), and 36 range restricted species are known from Haiti, one of which, the grey-crowned palm tanager (</w:t>
      </w:r>
      <w:proofErr w:type="spellStart"/>
      <w:r w:rsidRPr="005516CD">
        <w:rPr>
          <w:rFonts w:asciiTheme="majorHAnsi" w:hAnsiTheme="majorHAnsi" w:cstheme="majorHAnsi"/>
          <w:i/>
          <w:sz w:val="20"/>
          <w:szCs w:val="20"/>
        </w:rPr>
        <w:t>Phaenicophilus</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poliocephalus</w:t>
      </w:r>
      <w:proofErr w:type="spellEnd"/>
      <w:r w:rsidRPr="005516CD">
        <w:rPr>
          <w:rFonts w:asciiTheme="majorHAnsi" w:hAnsiTheme="majorHAnsi" w:cstheme="majorHAnsi"/>
          <w:sz w:val="20"/>
          <w:szCs w:val="20"/>
        </w:rPr>
        <w:t>) is endemic to the country. The majority of the range restricted species are confined to, or occur in habitats above 1,000 m, emphasizing the importance of mixed montane broadleaf-pine forest.</w:t>
      </w:r>
    </w:p>
    <w:p w14:paraId="6B2D856D" w14:textId="77777777" w:rsidR="00622E80" w:rsidRPr="005516CD" w:rsidRDefault="00E0086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Overall the island of </w:t>
      </w:r>
      <w:r w:rsidR="00622E80" w:rsidRPr="005516CD">
        <w:rPr>
          <w:rFonts w:asciiTheme="majorHAnsi" w:hAnsiTheme="majorHAnsi" w:cstheme="majorHAnsi"/>
          <w:sz w:val="20"/>
          <w:szCs w:val="20"/>
        </w:rPr>
        <w:t>Hispaniola hosts 217 species of reptiles and amphibians (Thomas 2000)</w:t>
      </w:r>
      <w:r w:rsidRPr="005516CD">
        <w:rPr>
          <w:rFonts w:asciiTheme="majorHAnsi" w:hAnsiTheme="majorHAnsi" w:cstheme="majorHAnsi"/>
          <w:sz w:val="20"/>
          <w:szCs w:val="20"/>
        </w:rPr>
        <w:t>, of which a</w:t>
      </w:r>
      <w:r w:rsidR="00622E80" w:rsidRPr="005516CD">
        <w:rPr>
          <w:rFonts w:asciiTheme="majorHAnsi" w:hAnsiTheme="majorHAnsi" w:cstheme="majorHAnsi"/>
          <w:sz w:val="20"/>
          <w:szCs w:val="20"/>
        </w:rPr>
        <w:t xml:space="preserve">pproximately 70% </w:t>
      </w:r>
      <w:r w:rsidRPr="005516CD">
        <w:rPr>
          <w:rFonts w:asciiTheme="majorHAnsi" w:hAnsiTheme="majorHAnsi" w:cstheme="majorHAnsi"/>
          <w:sz w:val="20"/>
          <w:szCs w:val="20"/>
        </w:rPr>
        <w:t xml:space="preserve">have </w:t>
      </w:r>
      <w:r w:rsidR="00622E80" w:rsidRPr="005516CD">
        <w:rPr>
          <w:rFonts w:asciiTheme="majorHAnsi" w:hAnsiTheme="majorHAnsi" w:cstheme="majorHAnsi"/>
          <w:sz w:val="20"/>
          <w:szCs w:val="20"/>
        </w:rPr>
        <w:t>been recorded in Haiti. Ninety-eight percent are endemic to Hispaniola with about a third of the species occurring only in Haiti. 46 of the 56 species of amphibians in Haiti are at risk, some at the verge of extinction.</w:t>
      </w:r>
    </w:p>
    <w:p w14:paraId="4C64A826" w14:textId="77777777" w:rsidR="00622E80" w:rsidRPr="005516CD" w:rsidRDefault="00622E80"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lang w:val="en-US"/>
        </w:rPr>
      </w:pPr>
      <w:r w:rsidRPr="005516CD">
        <w:rPr>
          <w:rFonts w:asciiTheme="majorHAnsi" w:hAnsiTheme="majorHAnsi" w:cstheme="majorHAnsi"/>
          <w:bCs/>
          <w:iCs/>
          <w:sz w:val="20"/>
          <w:szCs w:val="20"/>
        </w:rPr>
        <w:t xml:space="preserve">Officially, the Government has identified 35 protected areas covering about 6% of the country. However, the percentage of effective PAs, some of which are actually historical sites, is evaluated at no more than 0.5% of the surface of the country. The main PAs include national parks, a forest reserve, historic parks, hot springs and </w:t>
      </w:r>
      <w:r w:rsidRPr="005516CD">
        <w:rPr>
          <w:rFonts w:asciiTheme="majorHAnsi" w:eastAsia="Calibri" w:hAnsiTheme="majorHAnsi" w:cstheme="majorHAnsi"/>
          <w:sz w:val="20"/>
          <w:szCs w:val="20"/>
        </w:rPr>
        <w:t>inland</w:t>
      </w:r>
      <w:r w:rsidRPr="005516CD">
        <w:rPr>
          <w:rFonts w:asciiTheme="majorHAnsi" w:hAnsiTheme="majorHAnsi" w:cstheme="majorHAnsi"/>
          <w:bCs/>
          <w:iCs/>
          <w:sz w:val="20"/>
          <w:szCs w:val="20"/>
        </w:rPr>
        <w:t xml:space="preserve"> waters</w:t>
      </w:r>
      <w:r w:rsidRPr="005516CD">
        <w:rPr>
          <w:rStyle w:val="FootnoteReference"/>
          <w:rFonts w:asciiTheme="majorHAnsi" w:hAnsiTheme="majorHAnsi" w:cstheme="majorHAnsi"/>
          <w:bCs/>
          <w:iCs/>
          <w:sz w:val="20"/>
          <w:szCs w:val="20"/>
        </w:rPr>
        <w:footnoteReference w:id="4"/>
      </w:r>
      <w:r w:rsidRPr="005516CD">
        <w:rPr>
          <w:rFonts w:asciiTheme="majorHAnsi" w:hAnsiTheme="majorHAnsi" w:cstheme="majorHAnsi"/>
          <w:bCs/>
          <w:iCs/>
          <w:sz w:val="20"/>
          <w:szCs w:val="20"/>
        </w:rPr>
        <w:t xml:space="preserve">. Of the 35 legally recognized PAs, only </w:t>
      </w:r>
      <w:proofErr w:type="spellStart"/>
      <w:r w:rsidRPr="005516CD">
        <w:rPr>
          <w:rFonts w:asciiTheme="majorHAnsi" w:hAnsiTheme="majorHAnsi" w:cstheme="majorHAnsi"/>
          <w:bCs/>
          <w:iCs/>
          <w:sz w:val="20"/>
          <w:szCs w:val="20"/>
        </w:rPr>
        <w:t>Macaya</w:t>
      </w:r>
      <w:proofErr w:type="spellEnd"/>
      <w:r w:rsidRPr="005516CD">
        <w:rPr>
          <w:rFonts w:asciiTheme="majorHAnsi" w:hAnsiTheme="majorHAnsi" w:cstheme="majorHAnsi"/>
          <w:bCs/>
          <w:iCs/>
          <w:sz w:val="20"/>
          <w:szCs w:val="20"/>
        </w:rPr>
        <w:t xml:space="preserve">, La </w:t>
      </w:r>
      <w:proofErr w:type="spellStart"/>
      <w:r w:rsidRPr="005516CD">
        <w:rPr>
          <w:rFonts w:asciiTheme="majorHAnsi" w:hAnsiTheme="majorHAnsi" w:cstheme="majorHAnsi"/>
          <w:bCs/>
          <w:iCs/>
          <w:sz w:val="20"/>
          <w:szCs w:val="20"/>
        </w:rPr>
        <w:t>Visite</w:t>
      </w:r>
      <w:proofErr w:type="spellEnd"/>
      <w:r w:rsidRPr="005516CD">
        <w:rPr>
          <w:rFonts w:asciiTheme="majorHAnsi" w:hAnsiTheme="majorHAnsi" w:cstheme="majorHAnsi"/>
          <w:bCs/>
          <w:iCs/>
          <w:sz w:val="20"/>
          <w:szCs w:val="20"/>
        </w:rPr>
        <w:t xml:space="preserve">, </w:t>
      </w:r>
      <w:proofErr w:type="spellStart"/>
      <w:r w:rsidRPr="005516CD">
        <w:rPr>
          <w:rFonts w:asciiTheme="majorHAnsi" w:hAnsiTheme="majorHAnsi" w:cstheme="majorHAnsi"/>
          <w:bCs/>
          <w:iCs/>
          <w:sz w:val="20"/>
          <w:szCs w:val="20"/>
        </w:rPr>
        <w:t>Forêt</w:t>
      </w:r>
      <w:proofErr w:type="spellEnd"/>
      <w:r w:rsidRPr="005516CD">
        <w:rPr>
          <w:rFonts w:asciiTheme="majorHAnsi" w:hAnsiTheme="majorHAnsi" w:cstheme="majorHAnsi"/>
          <w:bCs/>
          <w:iCs/>
          <w:sz w:val="20"/>
          <w:szCs w:val="20"/>
        </w:rPr>
        <w:t xml:space="preserve"> des Pins and Sans Souci have some form of management.</w:t>
      </w:r>
    </w:p>
    <w:p w14:paraId="4C9395E4" w14:textId="77777777" w:rsidR="004C001B" w:rsidRPr="005516CD" w:rsidRDefault="004C001B" w:rsidP="006D3404">
      <w:pPr>
        <w:pStyle w:val="Heading6"/>
        <w:keepNext/>
        <w:spacing w:before="120" w:after="0"/>
        <w:rPr>
          <w:rFonts w:asciiTheme="majorHAnsi" w:eastAsia="Calibri" w:hAnsiTheme="majorHAnsi" w:cstheme="majorHAnsi"/>
          <w:b/>
          <w:sz w:val="20"/>
          <w:lang w:val="en-US"/>
        </w:rPr>
      </w:pPr>
      <w:r w:rsidRPr="005516CD">
        <w:rPr>
          <w:rFonts w:asciiTheme="majorHAnsi" w:eastAsia="Calibri" w:hAnsiTheme="majorHAnsi" w:cstheme="majorHAnsi"/>
          <w:b/>
          <w:sz w:val="20"/>
          <w:lang w:val="en-US"/>
        </w:rPr>
        <w:t>Project target area</w:t>
      </w:r>
    </w:p>
    <w:p w14:paraId="54EA2EBC" w14:textId="267F465B" w:rsidR="004C001B" w:rsidRPr="005516CD" w:rsidRDefault="004C001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bCs/>
          <w:iCs/>
          <w:sz w:val="20"/>
          <w:szCs w:val="20"/>
        </w:rPr>
      </w:pPr>
      <w:r w:rsidRPr="005516CD">
        <w:rPr>
          <w:rFonts w:asciiTheme="majorHAnsi" w:hAnsiTheme="majorHAnsi" w:cstheme="majorHAnsi"/>
          <w:bCs/>
          <w:iCs/>
          <w:sz w:val="20"/>
          <w:szCs w:val="20"/>
        </w:rPr>
        <w:t>The project will specifically work in 24 communes of the North, North-East and Artibonite Departments in Haiti</w:t>
      </w:r>
      <w:r w:rsidR="00F97ACE" w:rsidRPr="005516CD">
        <w:rPr>
          <w:rFonts w:asciiTheme="majorHAnsi" w:hAnsiTheme="majorHAnsi" w:cstheme="majorHAnsi"/>
          <w:bCs/>
          <w:iCs/>
          <w:sz w:val="20"/>
          <w:szCs w:val="20"/>
        </w:rPr>
        <w:t xml:space="preserve"> (</w:t>
      </w:r>
      <w:proofErr w:type="spellStart"/>
      <w:r w:rsidR="00F97ACE" w:rsidRPr="005516CD">
        <w:rPr>
          <w:rFonts w:asciiTheme="majorHAnsi" w:hAnsiTheme="majorHAnsi" w:cstheme="majorHAnsi"/>
          <w:bCs/>
          <w:iCs/>
          <w:sz w:val="20"/>
          <w:szCs w:val="20"/>
        </w:rPr>
        <w:fldChar w:fldCharType="begin"/>
      </w:r>
      <w:r w:rsidR="00F97ACE" w:rsidRPr="005516CD">
        <w:rPr>
          <w:rFonts w:asciiTheme="majorHAnsi" w:hAnsiTheme="majorHAnsi" w:cstheme="majorHAnsi"/>
          <w:bCs/>
          <w:iCs/>
          <w:sz w:val="20"/>
          <w:szCs w:val="20"/>
        </w:rPr>
        <w:instrText xml:space="preserve"> REF _Ref530043010 \r \h </w:instrText>
      </w:r>
      <w:r w:rsidR="005516CD">
        <w:rPr>
          <w:rFonts w:asciiTheme="majorHAnsi" w:hAnsiTheme="majorHAnsi" w:cstheme="majorHAnsi"/>
          <w:bCs/>
          <w:iCs/>
          <w:sz w:val="20"/>
          <w:szCs w:val="20"/>
        </w:rPr>
        <w:instrText xml:space="preserve"> \* MERGEFORMAT </w:instrText>
      </w:r>
      <w:r w:rsidR="00F97ACE" w:rsidRPr="005516CD">
        <w:rPr>
          <w:rFonts w:asciiTheme="majorHAnsi" w:hAnsiTheme="majorHAnsi" w:cstheme="majorHAnsi"/>
          <w:bCs/>
          <w:iCs/>
          <w:sz w:val="20"/>
          <w:szCs w:val="20"/>
        </w:rPr>
      </w:r>
      <w:r w:rsidR="00F97ACE" w:rsidRPr="005516CD">
        <w:rPr>
          <w:rFonts w:asciiTheme="majorHAnsi" w:hAnsiTheme="majorHAnsi" w:cstheme="majorHAnsi"/>
          <w:bCs/>
          <w:iCs/>
          <w:sz w:val="20"/>
          <w:szCs w:val="20"/>
        </w:rPr>
        <w:fldChar w:fldCharType="separate"/>
      </w:r>
      <w:r w:rsidR="00DD5948">
        <w:rPr>
          <w:rFonts w:asciiTheme="majorHAnsi" w:hAnsiTheme="majorHAnsi" w:cstheme="majorHAnsi"/>
          <w:bCs/>
          <w:iCs/>
          <w:sz w:val="20"/>
          <w:szCs w:val="20"/>
        </w:rPr>
        <w:t>I.I.</w:t>
      </w:r>
      <w:proofErr w:type="gramStart"/>
      <w:r w:rsidR="00DD5948">
        <w:rPr>
          <w:rFonts w:asciiTheme="majorHAnsi" w:hAnsiTheme="majorHAnsi" w:cstheme="majorHAnsi"/>
          <w:bCs/>
          <w:iCs/>
          <w:sz w:val="20"/>
          <w:szCs w:val="20"/>
        </w:rPr>
        <w:t>i.Table</w:t>
      </w:r>
      <w:proofErr w:type="spellEnd"/>
      <w:proofErr w:type="gramEnd"/>
      <w:r w:rsidR="00DD5948">
        <w:rPr>
          <w:rFonts w:asciiTheme="majorHAnsi" w:hAnsiTheme="majorHAnsi" w:cstheme="majorHAnsi"/>
          <w:bCs/>
          <w:iCs/>
          <w:sz w:val="20"/>
          <w:szCs w:val="20"/>
        </w:rPr>
        <w:t xml:space="preserve"> 1</w:t>
      </w:r>
      <w:r w:rsidR="00F97ACE" w:rsidRPr="005516CD">
        <w:rPr>
          <w:rFonts w:asciiTheme="majorHAnsi" w:hAnsiTheme="majorHAnsi" w:cstheme="majorHAnsi"/>
          <w:bCs/>
          <w:iCs/>
          <w:sz w:val="20"/>
          <w:szCs w:val="20"/>
        </w:rPr>
        <w:fldChar w:fldCharType="end"/>
      </w:r>
      <w:r w:rsidR="00F97ACE" w:rsidRPr="005516CD">
        <w:rPr>
          <w:rFonts w:asciiTheme="majorHAnsi" w:hAnsiTheme="majorHAnsi" w:cstheme="majorHAnsi"/>
          <w:bCs/>
          <w:iCs/>
          <w:sz w:val="20"/>
          <w:szCs w:val="20"/>
        </w:rPr>
        <w:t>)</w:t>
      </w:r>
      <w:r w:rsidRPr="005516CD">
        <w:rPr>
          <w:rFonts w:asciiTheme="majorHAnsi" w:hAnsiTheme="majorHAnsi" w:cstheme="majorHAnsi"/>
          <w:bCs/>
          <w:iCs/>
          <w:sz w:val="20"/>
          <w:szCs w:val="20"/>
        </w:rPr>
        <w:t>.</w:t>
      </w:r>
    </w:p>
    <w:p w14:paraId="370FB325" w14:textId="77777777" w:rsidR="00F97ACE" w:rsidRPr="005516CD" w:rsidRDefault="00F97ACE" w:rsidP="006B27F4">
      <w:pPr>
        <w:pStyle w:val="ListParagraph"/>
        <w:keepNext/>
        <w:numPr>
          <w:ilvl w:val="3"/>
          <w:numId w:val="90"/>
        </w:numPr>
        <w:spacing w:after="60"/>
        <w:ind w:left="851" w:right="96" w:hanging="851"/>
        <w:contextualSpacing/>
        <w:jc w:val="both"/>
        <w:rPr>
          <w:rFonts w:asciiTheme="majorHAnsi" w:hAnsiTheme="majorHAnsi" w:cstheme="majorHAnsi"/>
          <w:b/>
          <w:sz w:val="20"/>
          <w:szCs w:val="20"/>
        </w:rPr>
      </w:pPr>
      <w:bookmarkStart w:id="6" w:name="_Ref530043010"/>
      <w:r w:rsidRPr="005516CD">
        <w:rPr>
          <w:rFonts w:asciiTheme="majorHAnsi" w:hAnsiTheme="majorHAnsi" w:cstheme="majorHAnsi"/>
          <w:b/>
          <w:sz w:val="20"/>
          <w:szCs w:val="20"/>
        </w:rPr>
        <w:t>Target communes</w:t>
      </w:r>
      <w:bookmarkEnd w:id="6"/>
    </w:p>
    <w:tbl>
      <w:tblPr>
        <w:tblStyle w:val="TableGrid"/>
        <w:tblW w:w="0" w:type="auto"/>
        <w:tblLook w:val="04A0" w:firstRow="1" w:lastRow="0" w:firstColumn="1" w:lastColumn="0" w:noHBand="0" w:noVBand="1"/>
      </w:tblPr>
      <w:tblGrid>
        <w:gridCol w:w="2689"/>
        <w:gridCol w:w="3317"/>
        <w:gridCol w:w="3004"/>
      </w:tblGrid>
      <w:tr w:rsidR="00B6677D" w:rsidRPr="005516CD" w14:paraId="2B5CE7DD" w14:textId="77777777" w:rsidTr="00F97ACE">
        <w:trPr>
          <w:tblHeader/>
        </w:trPr>
        <w:tc>
          <w:tcPr>
            <w:tcW w:w="2689" w:type="dxa"/>
            <w:shd w:val="clear" w:color="auto" w:fill="D9D9D9" w:themeFill="background1" w:themeFillShade="D9"/>
          </w:tcPr>
          <w:p w14:paraId="70586BE7" w14:textId="77777777" w:rsidR="00B6677D" w:rsidRPr="005516CD" w:rsidRDefault="00B6677D" w:rsidP="006D3404">
            <w:pPr>
              <w:keepNext/>
              <w:tabs>
                <w:tab w:val="left" w:pos="426"/>
              </w:tabs>
              <w:ind w:right="96"/>
              <w:jc w:val="center"/>
              <w:rPr>
                <w:rFonts w:asciiTheme="majorHAnsi" w:hAnsiTheme="majorHAnsi" w:cstheme="majorHAnsi"/>
                <w:b/>
                <w:bCs/>
                <w:iCs/>
                <w:sz w:val="20"/>
                <w:szCs w:val="20"/>
              </w:rPr>
            </w:pPr>
            <w:r w:rsidRPr="005516CD">
              <w:rPr>
                <w:rFonts w:asciiTheme="majorHAnsi" w:hAnsiTheme="majorHAnsi" w:cstheme="majorHAnsi"/>
                <w:b/>
                <w:bCs/>
                <w:iCs/>
                <w:sz w:val="20"/>
                <w:szCs w:val="20"/>
              </w:rPr>
              <w:t>Department</w:t>
            </w:r>
          </w:p>
        </w:tc>
        <w:tc>
          <w:tcPr>
            <w:tcW w:w="3317" w:type="dxa"/>
            <w:shd w:val="clear" w:color="auto" w:fill="D9D9D9" w:themeFill="background1" w:themeFillShade="D9"/>
          </w:tcPr>
          <w:p w14:paraId="0B30787A" w14:textId="77777777" w:rsidR="00B6677D" w:rsidRPr="005516CD" w:rsidRDefault="00B6677D" w:rsidP="00F97ACE">
            <w:pPr>
              <w:tabs>
                <w:tab w:val="left" w:pos="426"/>
              </w:tabs>
              <w:ind w:right="96"/>
              <w:jc w:val="center"/>
              <w:rPr>
                <w:rFonts w:asciiTheme="majorHAnsi" w:hAnsiTheme="majorHAnsi" w:cstheme="majorHAnsi"/>
                <w:b/>
                <w:bCs/>
                <w:iCs/>
                <w:sz w:val="20"/>
                <w:szCs w:val="20"/>
              </w:rPr>
            </w:pPr>
            <w:r w:rsidRPr="005516CD">
              <w:rPr>
                <w:rFonts w:asciiTheme="majorHAnsi" w:hAnsiTheme="majorHAnsi" w:cstheme="majorHAnsi"/>
                <w:b/>
                <w:bCs/>
                <w:iCs/>
                <w:sz w:val="20"/>
                <w:szCs w:val="20"/>
              </w:rPr>
              <w:t>Commune</w:t>
            </w:r>
          </w:p>
        </w:tc>
        <w:tc>
          <w:tcPr>
            <w:tcW w:w="3004" w:type="dxa"/>
            <w:shd w:val="clear" w:color="auto" w:fill="D9D9D9" w:themeFill="background1" w:themeFillShade="D9"/>
          </w:tcPr>
          <w:p w14:paraId="5D8AA806" w14:textId="77777777" w:rsidR="00B6677D" w:rsidRPr="005516CD" w:rsidRDefault="00B6677D" w:rsidP="00F97ACE">
            <w:pPr>
              <w:tabs>
                <w:tab w:val="left" w:pos="426"/>
              </w:tabs>
              <w:ind w:right="96"/>
              <w:jc w:val="center"/>
              <w:rPr>
                <w:rFonts w:asciiTheme="majorHAnsi" w:hAnsiTheme="majorHAnsi" w:cstheme="majorHAnsi"/>
                <w:b/>
                <w:bCs/>
                <w:iCs/>
                <w:sz w:val="20"/>
                <w:szCs w:val="20"/>
              </w:rPr>
            </w:pPr>
            <w:r w:rsidRPr="005516CD">
              <w:rPr>
                <w:rFonts w:asciiTheme="majorHAnsi" w:hAnsiTheme="majorHAnsi" w:cstheme="majorHAnsi"/>
                <w:b/>
                <w:bCs/>
                <w:iCs/>
                <w:sz w:val="20"/>
                <w:szCs w:val="20"/>
              </w:rPr>
              <w:t>Area</w:t>
            </w:r>
          </w:p>
        </w:tc>
      </w:tr>
      <w:tr w:rsidR="00F97ACE" w:rsidRPr="005516CD" w14:paraId="57B3299A" w14:textId="77777777" w:rsidTr="00F97ACE">
        <w:tc>
          <w:tcPr>
            <w:tcW w:w="2689" w:type="dxa"/>
            <w:vMerge w:val="restart"/>
          </w:tcPr>
          <w:p w14:paraId="2637E287" w14:textId="77777777" w:rsidR="00F97ACE" w:rsidRPr="005516CD" w:rsidRDefault="00F97ACE" w:rsidP="006D3404">
            <w:pPr>
              <w:keepNext/>
              <w:tabs>
                <w:tab w:val="left" w:pos="426"/>
              </w:tabs>
              <w:ind w:right="96"/>
              <w:jc w:val="both"/>
              <w:rPr>
                <w:rFonts w:asciiTheme="majorHAnsi" w:hAnsiTheme="majorHAnsi" w:cstheme="majorHAnsi"/>
                <w:bCs/>
                <w:iCs/>
                <w:sz w:val="20"/>
                <w:szCs w:val="20"/>
              </w:rPr>
            </w:pPr>
            <w:r w:rsidRPr="005516CD">
              <w:rPr>
                <w:rFonts w:asciiTheme="majorHAnsi" w:hAnsiTheme="majorHAnsi" w:cstheme="majorHAnsi"/>
                <w:bCs/>
                <w:iCs/>
                <w:sz w:val="20"/>
                <w:szCs w:val="20"/>
              </w:rPr>
              <w:t>North-East (Nord-Est)</w:t>
            </w:r>
          </w:p>
        </w:tc>
        <w:tc>
          <w:tcPr>
            <w:tcW w:w="3317" w:type="dxa"/>
          </w:tcPr>
          <w:p w14:paraId="48FA1555" w14:textId="77777777" w:rsidR="00F97ACE" w:rsidRPr="005516CD" w:rsidRDefault="00F97ACE" w:rsidP="00F97ACE">
            <w:pPr>
              <w:tabs>
                <w:tab w:val="left" w:pos="426"/>
              </w:tabs>
              <w:ind w:right="96"/>
              <w:jc w:val="both"/>
              <w:rPr>
                <w:rFonts w:asciiTheme="majorHAnsi" w:hAnsiTheme="majorHAnsi" w:cstheme="majorHAnsi"/>
                <w:bCs/>
                <w:iCs/>
                <w:sz w:val="20"/>
                <w:szCs w:val="20"/>
              </w:rPr>
            </w:pPr>
            <w:r w:rsidRPr="005516CD">
              <w:rPr>
                <w:rFonts w:asciiTheme="majorHAnsi" w:hAnsiTheme="majorHAnsi" w:cstheme="majorHAnsi"/>
                <w:sz w:val="20"/>
                <w:szCs w:val="20"/>
              </w:rPr>
              <w:t>Carice</w:t>
            </w:r>
          </w:p>
        </w:tc>
        <w:tc>
          <w:tcPr>
            <w:tcW w:w="3004" w:type="dxa"/>
          </w:tcPr>
          <w:p w14:paraId="3D1131E0" w14:textId="77777777" w:rsidR="00F97ACE" w:rsidRPr="005516CD" w:rsidRDefault="00F97ACE" w:rsidP="00F97ACE">
            <w:pPr>
              <w:tabs>
                <w:tab w:val="left" w:pos="426"/>
              </w:tabs>
              <w:ind w:right="975"/>
              <w:jc w:val="right"/>
              <w:rPr>
                <w:rFonts w:asciiTheme="majorHAnsi" w:hAnsiTheme="majorHAnsi" w:cstheme="majorHAnsi"/>
                <w:bCs/>
                <w:iCs/>
                <w:sz w:val="20"/>
                <w:szCs w:val="20"/>
              </w:rPr>
            </w:pPr>
            <w:r w:rsidRPr="005516CD">
              <w:rPr>
                <w:rFonts w:asciiTheme="majorHAnsi" w:hAnsiTheme="majorHAnsi" w:cstheme="majorHAnsi"/>
                <w:sz w:val="20"/>
                <w:szCs w:val="20"/>
                <w:shd w:val="clear" w:color="auto" w:fill="FFFFFF"/>
              </w:rPr>
              <w:t>11,500</w:t>
            </w:r>
          </w:p>
        </w:tc>
      </w:tr>
      <w:tr w:rsidR="00F97ACE" w:rsidRPr="005516CD" w14:paraId="131F47A6" w14:textId="77777777" w:rsidTr="00F97ACE">
        <w:tc>
          <w:tcPr>
            <w:tcW w:w="2689" w:type="dxa"/>
            <w:vMerge/>
          </w:tcPr>
          <w:p w14:paraId="0F4FE0E0"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0672A262" w14:textId="77777777" w:rsidR="00F97ACE" w:rsidRPr="005516CD" w:rsidRDefault="00F97ACE" w:rsidP="00F97ACE">
            <w:pPr>
              <w:tabs>
                <w:tab w:val="left" w:pos="426"/>
              </w:tabs>
              <w:ind w:right="96"/>
              <w:jc w:val="both"/>
              <w:rPr>
                <w:rFonts w:asciiTheme="majorHAnsi" w:hAnsiTheme="majorHAnsi" w:cstheme="majorHAnsi"/>
                <w:bCs/>
                <w:iCs/>
                <w:sz w:val="20"/>
                <w:szCs w:val="20"/>
              </w:rPr>
            </w:pPr>
            <w:r w:rsidRPr="005516CD">
              <w:rPr>
                <w:rFonts w:asciiTheme="majorHAnsi" w:hAnsiTheme="majorHAnsi" w:cstheme="majorHAnsi"/>
                <w:sz w:val="20"/>
                <w:szCs w:val="20"/>
              </w:rPr>
              <w:t>Mont-</w:t>
            </w:r>
            <w:proofErr w:type="spellStart"/>
            <w:r w:rsidRPr="005516CD">
              <w:rPr>
                <w:rFonts w:asciiTheme="majorHAnsi" w:hAnsiTheme="majorHAnsi" w:cstheme="majorHAnsi"/>
                <w:sz w:val="20"/>
                <w:szCs w:val="20"/>
              </w:rPr>
              <w:t>Organisé</w:t>
            </w:r>
            <w:proofErr w:type="spellEnd"/>
          </w:p>
        </w:tc>
        <w:tc>
          <w:tcPr>
            <w:tcW w:w="3004" w:type="dxa"/>
          </w:tcPr>
          <w:p w14:paraId="76CC3522" w14:textId="77777777" w:rsidR="00F97ACE" w:rsidRPr="005516CD" w:rsidRDefault="00F97ACE" w:rsidP="00F97ACE">
            <w:pPr>
              <w:tabs>
                <w:tab w:val="left" w:pos="426"/>
              </w:tabs>
              <w:ind w:right="975"/>
              <w:jc w:val="right"/>
              <w:rPr>
                <w:rFonts w:asciiTheme="majorHAnsi" w:hAnsiTheme="majorHAnsi" w:cstheme="majorHAnsi"/>
                <w:bCs/>
                <w:iCs/>
                <w:sz w:val="20"/>
                <w:szCs w:val="20"/>
              </w:rPr>
            </w:pPr>
            <w:r w:rsidRPr="005516CD">
              <w:rPr>
                <w:rFonts w:asciiTheme="majorHAnsi" w:hAnsiTheme="majorHAnsi" w:cstheme="majorHAnsi"/>
                <w:sz w:val="20"/>
                <w:szCs w:val="20"/>
                <w:shd w:val="clear" w:color="auto" w:fill="FFFFFF"/>
              </w:rPr>
              <w:t>9,449</w:t>
            </w:r>
          </w:p>
        </w:tc>
      </w:tr>
      <w:tr w:rsidR="00F97ACE" w:rsidRPr="005516CD" w14:paraId="728B7C6F" w14:textId="77777777" w:rsidTr="00F97ACE">
        <w:tc>
          <w:tcPr>
            <w:tcW w:w="2689" w:type="dxa"/>
            <w:vMerge/>
          </w:tcPr>
          <w:p w14:paraId="320C6D2B"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21C4D780" w14:textId="77777777" w:rsidR="00F97ACE" w:rsidRPr="005516CD" w:rsidRDefault="00F97ACE" w:rsidP="00F97ACE">
            <w:pPr>
              <w:tabs>
                <w:tab w:val="left" w:pos="426"/>
              </w:tabs>
              <w:ind w:right="96"/>
              <w:jc w:val="both"/>
              <w:rPr>
                <w:rFonts w:asciiTheme="majorHAnsi" w:hAnsiTheme="majorHAnsi" w:cstheme="majorHAnsi"/>
                <w:bCs/>
                <w:iCs/>
                <w:sz w:val="20"/>
                <w:szCs w:val="20"/>
              </w:rPr>
            </w:pPr>
            <w:proofErr w:type="spellStart"/>
            <w:r w:rsidRPr="005516CD">
              <w:rPr>
                <w:rFonts w:asciiTheme="majorHAnsi" w:hAnsiTheme="majorHAnsi" w:cstheme="majorHAnsi"/>
                <w:sz w:val="20"/>
                <w:szCs w:val="20"/>
              </w:rPr>
              <w:t>Vallières</w:t>
            </w:r>
            <w:proofErr w:type="spellEnd"/>
          </w:p>
        </w:tc>
        <w:tc>
          <w:tcPr>
            <w:tcW w:w="3004" w:type="dxa"/>
          </w:tcPr>
          <w:p w14:paraId="178C0AEA" w14:textId="77777777" w:rsidR="00F97ACE" w:rsidRPr="005516CD" w:rsidRDefault="00F97ACE" w:rsidP="00F97ACE">
            <w:pPr>
              <w:tabs>
                <w:tab w:val="left" w:pos="426"/>
              </w:tabs>
              <w:ind w:right="975"/>
              <w:jc w:val="right"/>
              <w:rPr>
                <w:rFonts w:asciiTheme="majorHAnsi" w:hAnsiTheme="majorHAnsi" w:cstheme="majorHAnsi"/>
                <w:bCs/>
                <w:iCs/>
                <w:sz w:val="20"/>
                <w:szCs w:val="20"/>
              </w:rPr>
            </w:pPr>
            <w:r w:rsidRPr="005516CD">
              <w:rPr>
                <w:rFonts w:asciiTheme="majorHAnsi" w:hAnsiTheme="majorHAnsi" w:cstheme="majorHAnsi"/>
                <w:sz w:val="20"/>
                <w:szCs w:val="20"/>
                <w:shd w:val="clear" w:color="auto" w:fill="F9F9F9"/>
              </w:rPr>
              <w:t>15,846</w:t>
            </w:r>
          </w:p>
        </w:tc>
      </w:tr>
      <w:tr w:rsidR="00F97ACE" w:rsidRPr="005516CD" w14:paraId="6C3EA6CF" w14:textId="77777777" w:rsidTr="00F97ACE">
        <w:tc>
          <w:tcPr>
            <w:tcW w:w="2689" w:type="dxa"/>
            <w:vMerge/>
          </w:tcPr>
          <w:p w14:paraId="6C31AED3"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490CC246" w14:textId="77777777" w:rsidR="00F97ACE" w:rsidRPr="005516CD" w:rsidRDefault="00F97ACE" w:rsidP="00F97ACE">
            <w:pPr>
              <w:tabs>
                <w:tab w:val="left" w:pos="426"/>
              </w:tabs>
              <w:ind w:right="96"/>
              <w:jc w:val="both"/>
              <w:rPr>
                <w:rFonts w:asciiTheme="majorHAnsi" w:hAnsiTheme="majorHAnsi" w:cstheme="majorHAnsi"/>
                <w:bCs/>
                <w:iCs/>
                <w:sz w:val="20"/>
                <w:szCs w:val="20"/>
              </w:rPr>
            </w:pPr>
            <w:r w:rsidRPr="005516CD">
              <w:rPr>
                <w:rFonts w:asciiTheme="majorHAnsi" w:hAnsiTheme="majorHAnsi" w:cstheme="majorHAnsi"/>
                <w:sz w:val="20"/>
                <w:szCs w:val="20"/>
              </w:rPr>
              <w:t xml:space="preserve">Sainte Suzanne </w:t>
            </w:r>
          </w:p>
        </w:tc>
        <w:tc>
          <w:tcPr>
            <w:tcW w:w="3004" w:type="dxa"/>
          </w:tcPr>
          <w:p w14:paraId="0985C762" w14:textId="77777777" w:rsidR="00F97ACE" w:rsidRPr="005516CD" w:rsidRDefault="00F97ACE" w:rsidP="00F97ACE">
            <w:pPr>
              <w:tabs>
                <w:tab w:val="left" w:pos="426"/>
              </w:tabs>
              <w:ind w:right="975"/>
              <w:jc w:val="right"/>
              <w:rPr>
                <w:rFonts w:asciiTheme="majorHAnsi" w:hAnsiTheme="majorHAnsi" w:cstheme="majorHAnsi"/>
                <w:bCs/>
                <w:iCs/>
                <w:sz w:val="20"/>
                <w:szCs w:val="20"/>
              </w:rPr>
            </w:pPr>
            <w:r w:rsidRPr="005516CD">
              <w:rPr>
                <w:rFonts w:asciiTheme="majorHAnsi" w:hAnsiTheme="majorHAnsi" w:cstheme="majorHAnsi"/>
                <w:sz w:val="20"/>
                <w:szCs w:val="20"/>
                <w:shd w:val="clear" w:color="auto" w:fill="FFFFFF"/>
              </w:rPr>
              <w:t>12,791</w:t>
            </w:r>
          </w:p>
        </w:tc>
      </w:tr>
      <w:tr w:rsidR="00F97ACE" w:rsidRPr="005516CD" w14:paraId="4F5F4820" w14:textId="77777777" w:rsidTr="00F97ACE">
        <w:tc>
          <w:tcPr>
            <w:tcW w:w="2689" w:type="dxa"/>
            <w:vMerge/>
          </w:tcPr>
          <w:p w14:paraId="3A92337C"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15CDDF43" w14:textId="77777777" w:rsidR="00F97ACE" w:rsidRPr="005516CD" w:rsidRDefault="00F97ACE" w:rsidP="00F97ACE">
            <w:pPr>
              <w:tabs>
                <w:tab w:val="left" w:pos="426"/>
              </w:tabs>
              <w:ind w:right="96"/>
              <w:jc w:val="both"/>
              <w:rPr>
                <w:rFonts w:asciiTheme="majorHAnsi" w:hAnsiTheme="majorHAnsi" w:cstheme="majorHAnsi"/>
                <w:sz w:val="20"/>
                <w:szCs w:val="20"/>
              </w:rPr>
            </w:pPr>
            <w:proofErr w:type="spellStart"/>
            <w:r w:rsidRPr="005516CD">
              <w:rPr>
                <w:rFonts w:asciiTheme="majorHAnsi" w:hAnsiTheme="majorHAnsi" w:cstheme="majorHAnsi"/>
                <w:sz w:val="20"/>
                <w:szCs w:val="20"/>
              </w:rPr>
              <w:t>Mombin</w:t>
            </w:r>
            <w:proofErr w:type="spellEnd"/>
            <w:r w:rsidRPr="005516CD">
              <w:rPr>
                <w:rFonts w:asciiTheme="majorHAnsi" w:hAnsiTheme="majorHAnsi" w:cstheme="majorHAnsi"/>
                <w:sz w:val="20"/>
                <w:szCs w:val="20"/>
              </w:rPr>
              <w:t>-Crochu</w:t>
            </w:r>
          </w:p>
        </w:tc>
        <w:tc>
          <w:tcPr>
            <w:tcW w:w="3004" w:type="dxa"/>
          </w:tcPr>
          <w:p w14:paraId="15FABE32" w14:textId="77777777" w:rsidR="00F97ACE" w:rsidRPr="005516CD" w:rsidRDefault="00F97ACE" w:rsidP="00F97ACE">
            <w:pPr>
              <w:tabs>
                <w:tab w:val="left" w:pos="426"/>
              </w:tabs>
              <w:ind w:right="975"/>
              <w:jc w:val="right"/>
              <w:rPr>
                <w:rFonts w:asciiTheme="majorHAnsi" w:hAnsiTheme="majorHAnsi" w:cstheme="majorHAnsi"/>
                <w:sz w:val="20"/>
                <w:szCs w:val="20"/>
                <w:shd w:val="clear" w:color="auto" w:fill="FFFFFF"/>
              </w:rPr>
            </w:pPr>
            <w:r w:rsidRPr="005516CD">
              <w:rPr>
                <w:rFonts w:asciiTheme="majorHAnsi" w:hAnsiTheme="majorHAnsi" w:cstheme="majorHAnsi"/>
                <w:sz w:val="20"/>
                <w:szCs w:val="20"/>
                <w:shd w:val="clear" w:color="auto" w:fill="F9F9F9"/>
              </w:rPr>
              <w:t>19,151</w:t>
            </w:r>
          </w:p>
        </w:tc>
      </w:tr>
      <w:tr w:rsidR="00F97ACE" w:rsidRPr="005516CD" w14:paraId="152CCCC5" w14:textId="77777777" w:rsidTr="00F97ACE">
        <w:tc>
          <w:tcPr>
            <w:tcW w:w="2689" w:type="dxa"/>
            <w:vMerge w:val="restart"/>
          </w:tcPr>
          <w:p w14:paraId="155EC3CD" w14:textId="77777777" w:rsidR="00F97ACE" w:rsidRPr="005516CD" w:rsidRDefault="00F97ACE" w:rsidP="00F97ACE">
            <w:pPr>
              <w:tabs>
                <w:tab w:val="left" w:pos="426"/>
              </w:tabs>
              <w:ind w:right="96"/>
              <w:jc w:val="both"/>
              <w:rPr>
                <w:rFonts w:asciiTheme="majorHAnsi" w:hAnsiTheme="majorHAnsi" w:cstheme="majorHAnsi"/>
                <w:bCs/>
                <w:iCs/>
                <w:sz w:val="20"/>
                <w:szCs w:val="20"/>
              </w:rPr>
            </w:pPr>
            <w:r w:rsidRPr="005516CD">
              <w:rPr>
                <w:rFonts w:asciiTheme="majorHAnsi" w:hAnsiTheme="majorHAnsi" w:cstheme="majorHAnsi"/>
                <w:bCs/>
                <w:iCs/>
                <w:sz w:val="20"/>
                <w:szCs w:val="20"/>
              </w:rPr>
              <w:t>North (Nord)</w:t>
            </w:r>
          </w:p>
        </w:tc>
        <w:tc>
          <w:tcPr>
            <w:tcW w:w="3317" w:type="dxa"/>
          </w:tcPr>
          <w:p w14:paraId="6F8A5095" w14:textId="77777777" w:rsidR="00F97ACE" w:rsidRPr="005516CD" w:rsidRDefault="00F97ACE" w:rsidP="00F97ACE">
            <w:pPr>
              <w:tabs>
                <w:tab w:val="left" w:pos="426"/>
              </w:tabs>
              <w:ind w:right="96"/>
              <w:jc w:val="both"/>
              <w:rPr>
                <w:rFonts w:asciiTheme="majorHAnsi" w:hAnsiTheme="majorHAnsi" w:cstheme="majorHAnsi"/>
                <w:sz w:val="20"/>
                <w:szCs w:val="20"/>
                <w:lang w:val="fr-FR"/>
              </w:rPr>
            </w:pPr>
            <w:proofErr w:type="spellStart"/>
            <w:r w:rsidRPr="005516CD">
              <w:rPr>
                <w:rFonts w:asciiTheme="majorHAnsi" w:hAnsiTheme="majorHAnsi" w:cstheme="majorHAnsi"/>
                <w:sz w:val="20"/>
                <w:szCs w:val="20"/>
                <w:lang w:val="fr-FR"/>
              </w:rPr>
              <w:t>Bahon</w:t>
            </w:r>
            <w:proofErr w:type="spellEnd"/>
          </w:p>
        </w:tc>
        <w:tc>
          <w:tcPr>
            <w:tcW w:w="3004" w:type="dxa"/>
          </w:tcPr>
          <w:p w14:paraId="28425E6A" w14:textId="77777777" w:rsidR="00F97ACE" w:rsidRPr="005516CD" w:rsidRDefault="00F97ACE" w:rsidP="00F97ACE">
            <w:pPr>
              <w:tabs>
                <w:tab w:val="left" w:pos="426"/>
              </w:tabs>
              <w:ind w:right="975"/>
              <w:jc w:val="right"/>
              <w:rPr>
                <w:rFonts w:asciiTheme="majorHAnsi" w:hAnsiTheme="majorHAnsi" w:cstheme="majorHAnsi"/>
                <w:sz w:val="20"/>
                <w:szCs w:val="20"/>
                <w:shd w:val="clear" w:color="auto" w:fill="F9F9F9"/>
              </w:rPr>
            </w:pPr>
            <w:r w:rsidRPr="005516CD">
              <w:rPr>
                <w:rFonts w:asciiTheme="majorHAnsi" w:hAnsiTheme="majorHAnsi" w:cstheme="majorHAnsi"/>
                <w:sz w:val="20"/>
                <w:szCs w:val="20"/>
                <w:shd w:val="clear" w:color="auto" w:fill="FFFFFF"/>
              </w:rPr>
              <w:t>14,750</w:t>
            </w:r>
          </w:p>
        </w:tc>
      </w:tr>
      <w:tr w:rsidR="00F97ACE" w:rsidRPr="005516CD" w14:paraId="53BB7DF5" w14:textId="77777777" w:rsidTr="00F97ACE">
        <w:tc>
          <w:tcPr>
            <w:tcW w:w="2689" w:type="dxa"/>
            <w:vMerge/>
          </w:tcPr>
          <w:p w14:paraId="72B8673F"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275DD93E" w14:textId="77777777" w:rsidR="00F97ACE" w:rsidRPr="005516CD" w:rsidRDefault="00F97ACE" w:rsidP="00F97ACE">
            <w:pPr>
              <w:tabs>
                <w:tab w:val="left" w:pos="426"/>
              </w:tabs>
              <w:ind w:right="96"/>
              <w:jc w:val="both"/>
              <w:rPr>
                <w:rFonts w:asciiTheme="majorHAnsi" w:hAnsiTheme="majorHAnsi" w:cstheme="majorHAnsi"/>
                <w:sz w:val="20"/>
                <w:szCs w:val="20"/>
                <w:lang w:val="fr-FR"/>
              </w:rPr>
            </w:pPr>
            <w:r w:rsidRPr="005516CD">
              <w:rPr>
                <w:rFonts w:asciiTheme="majorHAnsi" w:hAnsiTheme="majorHAnsi" w:cstheme="majorHAnsi"/>
                <w:sz w:val="20"/>
                <w:szCs w:val="20"/>
                <w:lang w:val="fr-FR"/>
              </w:rPr>
              <w:t>Port-Margot</w:t>
            </w:r>
          </w:p>
        </w:tc>
        <w:tc>
          <w:tcPr>
            <w:tcW w:w="3004" w:type="dxa"/>
          </w:tcPr>
          <w:p w14:paraId="5663F504" w14:textId="77777777" w:rsidR="00F97ACE" w:rsidRPr="005516CD" w:rsidRDefault="00A13030" w:rsidP="00F97ACE">
            <w:pPr>
              <w:tabs>
                <w:tab w:val="left" w:pos="426"/>
              </w:tabs>
              <w:ind w:right="975"/>
              <w:jc w:val="right"/>
              <w:rPr>
                <w:rFonts w:asciiTheme="majorHAnsi" w:hAnsiTheme="majorHAnsi" w:cstheme="majorHAnsi"/>
                <w:sz w:val="20"/>
                <w:szCs w:val="20"/>
                <w:shd w:val="clear" w:color="auto" w:fill="FFFFFF"/>
              </w:rPr>
            </w:pPr>
            <w:r w:rsidRPr="005516CD">
              <w:rPr>
                <w:rFonts w:asciiTheme="majorHAnsi" w:hAnsiTheme="majorHAnsi" w:cstheme="majorHAnsi"/>
                <w:sz w:val="20"/>
                <w:szCs w:val="20"/>
                <w:shd w:val="clear" w:color="auto" w:fill="FFFFFF"/>
              </w:rPr>
              <w:t>14,750</w:t>
            </w:r>
          </w:p>
        </w:tc>
      </w:tr>
      <w:tr w:rsidR="00F97ACE" w:rsidRPr="005516CD" w14:paraId="7614F387" w14:textId="77777777" w:rsidTr="00F97ACE">
        <w:tc>
          <w:tcPr>
            <w:tcW w:w="2689" w:type="dxa"/>
            <w:vMerge/>
          </w:tcPr>
          <w:p w14:paraId="5ADC023C"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454E96A8" w14:textId="77777777" w:rsidR="00F97ACE" w:rsidRPr="005516CD" w:rsidRDefault="00F97ACE" w:rsidP="00F97ACE">
            <w:pPr>
              <w:tabs>
                <w:tab w:val="left" w:pos="426"/>
              </w:tabs>
              <w:ind w:right="96"/>
              <w:jc w:val="both"/>
              <w:rPr>
                <w:rFonts w:asciiTheme="majorHAnsi" w:hAnsiTheme="majorHAnsi" w:cstheme="majorHAnsi"/>
                <w:sz w:val="20"/>
                <w:szCs w:val="20"/>
                <w:lang w:val="fr-FR"/>
              </w:rPr>
            </w:pPr>
            <w:r w:rsidRPr="005516CD">
              <w:rPr>
                <w:rFonts w:asciiTheme="majorHAnsi" w:hAnsiTheme="majorHAnsi" w:cstheme="majorHAnsi"/>
                <w:sz w:val="20"/>
                <w:szCs w:val="20"/>
              </w:rPr>
              <w:t>Pilate</w:t>
            </w:r>
          </w:p>
        </w:tc>
        <w:tc>
          <w:tcPr>
            <w:tcW w:w="3004" w:type="dxa"/>
          </w:tcPr>
          <w:p w14:paraId="72F68338" w14:textId="77777777" w:rsidR="00F97ACE" w:rsidRPr="005516CD" w:rsidRDefault="00F97ACE" w:rsidP="00F97ACE">
            <w:pPr>
              <w:tabs>
                <w:tab w:val="left" w:pos="426"/>
              </w:tabs>
              <w:ind w:right="975"/>
              <w:jc w:val="right"/>
              <w:rPr>
                <w:rFonts w:asciiTheme="majorHAnsi" w:hAnsiTheme="majorHAnsi" w:cstheme="majorHAnsi"/>
                <w:sz w:val="20"/>
                <w:szCs w:val="20"/>
                <w:shd w:val="clear" w:color="auto" w:fill="FFFFFF"/>
              </w:rPr>
            </w:pPr>
            <w:r w:rsidRPr="005516CD">
              <w:rPr>
                <w:rFonts w:asciiTheme="majorHAnsi" w:hAnsiTheme="majorHAnsi" w:cstheme="majorHAnsi"/>
                <w:sz w:val="20"/>
                <w:szCs w:val="20"/>
                <w:shd w:val="clear" w:color="auto" w:fill="F9F9F9"/>
              </w:rPr>
              <w:t>12,080</w:t>
            </w:r>
          </w:p>
        </w:tc>
      </w:tr>
      <w:tr w:rsidR="00F97ACE" w:rsidRPr="005516CD" w14:paraId="79376566" w14:textId="77777777" w:rsidTr="00F97ACE">
        <w:tc>
          <w:tcPr>
            <w:tcW w:w="2689" w:type="dxa"/>
            <w:vMerge/>
          </w:tcPr>
          <w:p w14:paraId="1CCF695F"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5C0A2791" w14:textId="77777777" w:rsidR="00F97ACE" w:rsidRPr="005516CD" w:rsidRDefault="00F97ACE" w:rsidP="00F97ACE">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Plaisance</w:t>
            </w:r>
          </w:p>
        </w:tc>
        <w:tc>
          <w:tcPr>
            <w:tcW w:w="3004" w:type="dxa"/>
          </w:tcPr>
          <w:p w14:paraId="0C9CDF83" w14:textId="77777777" w:rsidR="00F97ACE" w:rsidRPr="005516CD" w:rsidRDefault="00F97ACE" w:rsidP="00F97ACE">
            <w:pPr>
              <w:tabs>
                <w:tab w:val="left" w:pos="426"/>
              </w:tabs>
              <w:ind w:right="975"/>
              <w:jc w:val="right"/>
              <w:rPr>
                <w:rFonts w:asciiTheme="majorHAnsi" w:hAnsiTheme="majorHAnsi" w:cstheme="majorHAnsi"/>
                <w:sz w:val="20"/>
                <w:szCs w:val="20"/>
                <w:shd w:val="clear" w:color="auto" w:fill="F9F9F9"/>
              </w:rPr>
            </w:pPr>
            <w:r w:rsidRPr="005516CD">
              <w:rPr>
                <w:rFonts w:asciiTheme="majorHAnsi" w:hAnsiTheme="majorHAnsi" w:cstheme="majorHAnsi"/>
                <w:sz w:val="20"/>
                <w:szCs w:val="20"/>
                <w:shd w:val="clear" w:color="auto" w:fill="F9F9F9"/>
              </w:rPr>
              <w:t>12,152</w:t>
            </w:r>
          </w:p>
        </w:tc>
      </w:tr>
      <w:tr w:rsidR="00F97ACE" w:rsidRPr="005516CD" w14:paraId="1967CB43" w14:textId="77777777" w:rsidTr="00F97ACE">
        <w:tc>
          <w:tcPr>
            <w:tcW w:w="2689" w:type="dxa"/>
            <w:vMerge/>
          </w:tcPr>
          <w:p w14:paraId="5D39FED3"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14F1DFC3" w14:textId="77777777" w:rsidR="00F97ACE" w:rsidRPr="005516CD" w:rsidRDefault="00F97ACE" w:rsidP="00F97ACE">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Grande-Rivière</w:t>
            </w:r>
          </w:p>
        </w:tc>
        <w:tc>
          <w:tcPr>
            <w:tcW w:w="3004" w:type="dxa"/>
          </w:tcPr>
          <w:p w14:paraId="1E220007" w14:textId="77777777" w:rsidR="00F97ACE" w:rsidRPr="005516CD" w:rsidRDefault="00F97ACE" w:rsidP="00F97ACE">
            <w:pPr>
              <w:tabs>
                <w:tab w:val="left" w:pos="426"/>
              </w:tabs>
              <w:ind w:right="975"/>
              <w:jc w:val="right"/>
              <w:rPr>
                <w:rFonts w:asciiTheme="majorHAnsi" w:hAnsiTheme="majorHAnsi" w:cstheme="majorHAnsi"/>
                <w:sz w:val="20"/>
                <w:szCs w:val="20"/>
                <w:shd w:val="clear" w:color="auto" w:fill="F9F9F9"/>
              </w:rPr>
            </w:pPr>
            <w:r w:rsidRPr="005516CD">
              <w:rPr>
                <w:rFonts w:asciiTheme="majorHAnsi" w:eastAsia="Times New Roman" w:hAnsiTheme="majorHAnsi" w:cstheme="majorHAnsi"/>
                <w:sz w:val="20"/>
                <w:szCs w:val="20"/>
                <w:lang w:eastAsia="fr-FR"/>
              </w:rPr>
              <w:t>12,815</w:t>
            </w:r>
          </w:p>
        </w:tc>
      </w:tr>
      <w:tr w:rsidR="00F97ACE" w:rsidRPr="005516CD" w14:paraId="79A84720" w14:textId="77777777" w:rsidTr="00F97ACE">
        <w:tc>
          <w:tcPr>
            <w:tcW w:w="2689" w:type="dxa"/>
            <w:vMerge/>
          </w:tcPr>
          <w:p w14:paraId="3DED7E17"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5B0B0D66" w14:textId="77777777" w:rsidR="00F97ACE" w:rsidRPr="005516CD" w:rsidRDefault="00F97ACE" w:rsidP="00F97ACE">
            <w:pPr>
              <w:tabs>
                <w:tab w:val="left" w:pos="426"/>
              </w:tabs>
              <w:ind w:right="96"/>
              <w:jc w:val="both"/>
              <w:rPr>
                <w:rFonts w:asciiTheme="majorHAnsi" w:hAnsiTheme="majorHAnsi" w:cstheme="majorHAnsi"/>
                <w:sz w:val="20"/>
                <w:szCs w:val="20"/>
              </w:rPr>
            </w:pPr>
            <w:proofErr w:type="spellStart"/>
            <w:r w:rsidRPr="005516CD">
              <w:rPr>
                <w:rFonts w:asciiTheme="majorHAnsi" w:hAnsiTheme="majorHAnsi" w:cstheme="majorHAnsi"/>
                <w:sz w:val="20"/>
                <w:szCs w:val="20"/>
              </w:rPr>
              <w:t>Dondon</w:t>
            </w:r>
            <w:proofErr w:type="spellEnd"/>
          </w:p>
        </w:tc>
        <w:tc>
          <w:tcPr>
            <w:tcW w:w="3004" w:type="dxa"/>
          </w:tcPr>
          <w:p w14:paraId="520DE21D" w14:textId="77777777" w:rsidR="00F97ACE" w:rsidRPr="005516CD" w:rsidRDefault="00F97ACE" w:rsidP="00F97ACE">
            <w:pPr>
              <w:tabs>
                <w:tab w:val="left" w:pos="426"/>
              </w:tabs>
              <w:ind w:right="975"/>
              <w:jc w:val="right"/>
              <w:rPr>
                <w:rFonts w:asciiTheme="majorHAnsi" w:eastAsia="Times New Roman" w:hAnsiTheme="majorHAnsi" w:cstheme="majorHAnsi"/>
                <w:sz w:val="20"/>
                <w:szCs w:val="20"/>
                <w:lang w:eastAsia="fr-FR"/>
              </w:rPr>
            </w:pPr>
            <w:r w:rsidRPr="005516CD">
              <w:rPr>
                <w:rFonts w:asciiTheme="majorHAnsi" w:hAnsiTheme="majorHAnsi" w:cstheme="majorHAnsi"/>
                <w:sz w:val="20"/>
                <w:szCs w:val="20"/>
                <w:shd w:val="clear" w:color="auto" w:fill="F9F9F9"/>
              </w:rPr>
              <w:t>12,036 </w:t>
            </w:r>
          </w:p>
        </w:tc>
      </w:tr>
      <w:tr w:rsidR="00F97ACE" w:rsidRPr="005516CD" w14:paraId="157A653F" w14:textId="77777777" w:rsidTr="00F97ACE">
        <w:tc>
          <w:tcPr>
            <w:tcW w:w="2689" w:type="dxa"/>
            <w:vMerge/>
          </w:tcPr>
          <w:p w14:paraId="47BD9999"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4FBA6FE7" w14:textId="77777777" w:rsidR="00F97ACE" w:rsidRPr="005516CD" w:rsidRDefault="00F97ACE" w:rsidP="00F97ACE">
            <w:pPr>
              <w:tabs>
                <w:tab w:val="left" w:pos="426"/>
              </w:tabs>
              <w:ind w:right="96"/>
              <w:jc w:val="both"/>
              <w:rPr>
                <w:rFonts w:asciiTheme="majorHAnsi" w:hAnsiTheme="majorHAnsi" w:cstheme="majorHAnsi"/>
                <w:sz w:val="20"/>
                <w:szCs w:val="20"/>
              </w:rPr>
            </w:pPr>
            <w:proofErr w:type="spellStart"/>
            <w:r w:rsidRPr="005516CD">
              <w:rPr>
                <w:rFonts w:asciiTheme="majorHAnsi" w:hAnsiTheme="majorHAnsi" w:cstheme="majorHAnsi"/>
                <w:sz w:val="20"/>
                <w:szCs w:val="20"/>
              </w:rPr>
              <w:t>Milot</w:t>
            </w:r>
            <w:proofErr w:type="spellEnd"/>
          </w:p>
        </w:tc>
        <w:tc>
          <w:tcPr>
            <w:tcW w:w="3004" w:type="dxa"/>
          </w:tcPr>
          <w:p w14:paraId="3E63CB48" w14:textId="77777777" w:rsidR="00F97ACE" w:rsidRPr="005516CD" w:rsidRDefault="00F97ACE" w:rsidP="00F97ACE">
            <w:pPr>
              <w:tabs>
                <w:tab w:val="left" w:pos="426"/>
              </w:tabs>
              <w:ind w:right="975"/>
              <w:jc w:val="right"/>
              <w:rPr>
                <w:rFonts w:asciiTheme="majorHAnsi" w:hAnsiTheme="majorHAnsi" w:cstheme="majorHAnsi"/>
                <w:sz w:val="20"/>
                <w:szCs w:val="20"/>
                <w:shd w:val="clear" w:color="auto" w:fill="F9F9F9"/>
              </w:rPr>
            </w:pPr>
            <w:r w:rsidRPr="005516CD">
              <w:rPr>
                <w:rFonts w:asciiTheme="majorHAnsi" w:hAnsiTheme="majorHAnsi" w:cstheme="majorHAnsi"/>
                <w:sz w:val="20"/>
                <w:szCs w:val="20"/>
                <w:shd w:val="clear" w:color="auto" w:fill="FFFFFF"/>
              </w:rPr>
              <w:t>7,164</w:t>
            </w:r>
          </w:p>
        </w:tc>
      </w:tr>
      <w:tr w:rsidR="00F97ACE" w:rsidRPr="005516CD" w14:paraId="754CF6F3" w14:textId="77777777" w:rsidTr="00F97ACE">
        <w:tc>
          <w:tcPr>
            <w:tcW w:w="2689" w:type="dxa"/>
            <w:vMerge/>
          </w:tcPr>
          <w:p w14:paraId="138ADE6F"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5183F2CF" w14:textId="77777777" w:rsidR="00F97ACE" w:rsidRPr="005516CD" w:rsidRDefault="00F97ACE" w:rsidP="00F97ACE">
            <w:pPr>
              <w:tabs>
                <w:tab w:val="left" w:pos="426"/>
              </w:tabs>
              <w:ind w:right="96"/>
              <w:jc w:val="both"/>
              <w:rPr>
                <w:rFonts w:asciiTheme="majorHAnsi" w:hAnsiTheme="majorHAnsi" w:cstheme="majorHAnsi"/>
                <w:sz w:val="20"/>
                <w:szCs w:val="20"/>
              </w:rPr>
            </w:pPr>
            <w:proofErr w:type="spellStart"/>
            <w:r w:rsidRPr="005516CD">
              <w:rPr>
                <w:rFonts w:asciiTheme="majorHAnsi" w:hAnsiTheme="majorHAnsi" w:cstheme="majorHAnsi"/>
                <w:sz w:val="20"/>
                <w:szCs w:val="20"/>
              </w:rPr>
              <w:t>Plaine</w:t>
            </w:r>
            <w:proofErr w:type="spellEnd"/>
            <w:r w:rsidRPr="005516CD">
              <w:rPr>
                <w:rFonts w:asciiTheme="majorHAnsi" w:hAnsiTheme="majorHAnsi" w:cstheme="majorHAnsi"/>
                <w:sz w:val="20"/>
                <w:szCs w:val="20"/>
              </w:rPr>
              <w:t xml:space="preserve"> du Nord</w:t>
            </w:r>
          </w:p>
        </w:tc>
        <w:tc>
          <w:tcPr>
            <w:tcW w:w="3004" w:type="dxa"/>
          </w:tcPr>
          <w:p w14:paraId="4E06C8AA" w14:textId="77777777" w:rsidR="00F97ACE" w:rsidRPr="005516CD" w:rsidRDefault="00F97ACE" w:rsidP="00F97ACE">
            <w:pPr>
              <w:tabs>
                <w:tab w:val="left" w:pos="426"/>
              </w:tabs>
              <w:ind w:right="975"/>
              <w:jc w:val="right"/>
              <w:rPr>
                <w:rFonts w:asciiTheme="majorHAnsi" w:hAnsiTheme="majorHAnsi" w:cstheme="majorHAnsi"/>
                <w:sz w:val="20"/>
                <w:szCs w:val="20"/>
                <w:shd w:val="clear" w:color="auto" w:fill="FFFFFF"/>
              </w:rPr>
            </w:pPr>
            <w:r w:rsidRPr="005516CD">
              <w:rPr>
                <w:rFonts w:asciiTheme="majorHAnsi" w:hAnsiTheme="majorHAnsi" w:cstheme="majorHAnsi"/>
                <w:sz w:val="20"/>
                <w:szCs w:val="20"/>
                <w:shd w:val="clear" w:color="auto" w:fill="F9F9F9"/>
              </w:rPr>
              <w:t>10,069</w:t>
            </w:r>
          </w:p>
        </w:tc>
      </w:tr>
      <w:tr w:rsidR="00F97ACE" w:rsidRPr="005516CD" w14:paraId="5A141CBB" w14:textId="77777777" w:rsidTr="00F97ACE">
        <w:tc>
          <w:tcPr>
            <w:tcW w:w="2689" w:type="dxa"/>
            <w:vMerge/>
          </w:tcPr>
          <w:p w14:paraId="24AAB646"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441F67C8" w14:textId="77777777" w:rsidR="00F97ACE" w:rsidRPr="005516CD" w:rsidRDefault="00F97ACE" w:rsidP="00F97ACE">
            <w:pPr>
              <w:tabs>
                <w:tab w:val="left" w:pos="426"/>
              </w:tabs>
              <w:ind w:right="96"/>
              <w:jc w:val="both"/>
              <w:rPr>
                <w:rFonts w:asciiTheme="majorHAnsi" w:hAnsiTheme="majorHAnsi" w:cstheme="majorHAnsi"/>
                <w:sz w:val="20"/>
                <w:szCs w:val="20"/>
              </w:rPr>
            </w:pPr>
            <w:proofErr w:type="spellStart"/>
            <w:r w:rsidRPr="005516CD">
              <w:rPr>
                <w:rFonts w:asciiTheme="majorHAnsi" w:hAnsiTheme="majorHAnsi" w:cstheme="majorHAnsi"/>
                <w:sz w:val="20"/>
                <w:szCs w:val="20"/>
              </w:rPr>
              <w:t>Limbé</w:t>
            </w:r>
            <w:proofErr w:type="spellEnd"/>
          </w:p>
        </w:tc>
        <w:tc>
          <w:tcPr>
            <w:tcW w:w="3004" w:type="dxa"/>
          </w:tcPr>
          <w:p w14:paraId="03DD4105" w14:textId="77777777" w:rsidR="00F97ACE" w:rsidRPr="005516CD" w:rsidRDefault="00F97ACE" w:rsidP="00F97ACE">
            <w:pPr>
              <w:tabs>
                <w:tab w:val="left" w:pos="426"/>
              </w:tabs>
              <w:ind w:right="975"/>
              <w:jc w:val="right"/>
              <w:rPr>
                <w:rFonts w:asciiTheme="majorHAnsi" w:hAnsiTheme="majorHAnsi" w:cstheme="majorHAnsi"/>
                <w:sz w:val="20"/>
                <w:szCs w:val="20"/>
                <w:shd w:val="clear" w:color="auto" w:fill="F9F9F9"/>
              </w:rPr>
            </w:pPr>
            <w:r w:rsidRPr="005516CD">
              <w:rPr>
                <w:rFonts w:asciiTheme="majorHAnsi" w:hAnsiTheme="majorHAnsi" w:cstheme="majorHAnsi"/>
                <w:sz w:val="20"/>
                <w:szCs w:val="20"/>
                <w:shd w:val="clear" w:color="auto" w:fill="F9F9F9"/>
              </w:rPr>
              <w:t>12,580</w:t>
            </w:r>
          </w:p>
        </w:tc>
      </w:tr>
      <w:tr w:rsidR="00F97ACE" w:rsidRPr="005516CD" w14:paraId="406F702F" w14:textId="77777777" w:rsidTr="00F97ACE">
        <w:tc>
          <w:tcPr>
            <w:tcW w:w="2689" w:type="dxa"/>
            <w:vMerge/>
          </w:tcPr>
          <w:p w14:paraId="509F0973" w14:textId="77777777" w:rsidR="00F97ACE" w:rsidRPr="005516CD" w:rsidRDefault="00F97ACE" w:rsidP="00F97ACE">
            <w:pPr>
              <w:tabs>
                <w:tab w:val="left" w:pos="426"/>
              </w:tabs>
              <w:ind w:right="96"/>
              <w:jc w:val="both"/>
              <w:rPr>
                <w:rFonts w:asciiTheme="majorHAnsi" w:hAnsiTheme="majorHAnsi" w:cstheme="majorHAnsi"/>
                <w:bCs/>
                <w:iCs/>
                <w:sz w:val="20"/>
                <w:szCs w:val="20"/>
              </w:rPr>
            </w:pPr>
          </w:p>
        </w:tc>
        <w:tc>
          <w:tcPr>
            <w:tcW w:w="3317" w:type="dxa"/>
          </w:tcPr>
          <w:p w14:paraId="003A609D" w14:textId="77777777" w:rsidR="00F97ACE" w:rsidRPr="005516CD" w:rsidRDefault="00F97ACE" w:rsidP="00F97ACE">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Borgne</w:t>
            </w:r>
          </w:p>
        </w:tc>
        <w:tc>
          <w:tcPr>
            <w:tcW w:w="3004" w:type="dxa"/>
          </w:tcPr>
          <w:p w14:paraId="5A9926B9" w14:textId="77777777" w:rsidR="00F97ACE" w:rsidRPr="005516CD" w:rsidRDefault="00F97ACE" w:rsidP="00F97ACE">
            <w:pPr>
              <w:tabs>
                <w:tab w:val="left" w:pos="426"/>
              </w:tabs>
              <w:ind w:right="975"/>
              <w:jc w:val="right"/>
              <w:rPr>
                <w:rFonts w:asciiTheme="majorHAnsi" w:hAnsiTheme="majorHAnsi" w:cstheme="majorHAnsi"/>
                <w:sz w:val="20"/>
                <w:szCs w:val="20"/>
                <w:shd w:val="clear" w:color="auto" w:fill="F9F9F9"/>
              </w:rPr>
            </w:pPr>
            <w:r w:rsidRPr="005516CD">
              <w:rPr>
                <w:rFonts w:asciiTheme="majorHAnsi" w:hAnsiTheme="majorHAnsi" w:cstheme="majorHAnsi"/>
                <w:sz w:val="20"/>
                <w:szCs w:val="20"/>
                <w:shd w:val="clear" w:color="auto" w:fill="F9F9F9"/>
              </w:rPr>
              <w:t>20,209 </w:t>
            </w:r>
          </w:p>
        </w:tc>
      </w:tr>
      <w:tr w:rsidR="00F97ACE" w:rsidRPr="005516CD" w14:paraId="06F474F7" w14:textId="77777777" w:rsidTr="00F97ACE">
        <w:tc>
          <w:tcPr>
            <w:tcW w:w="2689" w:type="dxa"/>
          </w:tcPr>
          <w:p w14:paraId="0E2F8F4C" w14:textId="77777777" w:rsidR="00F97ACE" w:rsidRPr="005516CD" w:rsidRDefault="00F97ACE" w:rsidP="00F97ACE">
            <w:pPr>
              <w:tabs>
                <w:tab w:val="left" w:pos="426"/>
              </w:tabs>
              <w:ind w:right="96"/>
              <w:jc w:val="both"/>
              <w:rPr>
                <w:rFonts w:asciiTheme="majorHAnsi" w:hAnsiTheme="majorHAnsi" w:cstheme="majorHAnsi"/>
                <w:bCs/>
                <w:iCs/>
                <w:sz w:val="20"/>
                <w:szCs w:val="20"/>
              </w:rPr>
            </w:pPr>
            <w:r w:rsidRPr="005516CD">
              <w:rPr>
                <w:rFonts w:asciiTheme="majorHAnsi" w:hAnsiTheme="majorHAnsi" w:cstheme="majorHAnsi"/>
                <w:bCs/>
                <w:iCs/>
                <w:sz w:val="20"/>
                <w:szCs w:val="20"/>
              </w:rPr>
              <w:t>Artibonite</w:t>
            </w:r>
          </w:p>
        </w:tc>
        <w:tc>
          <w:tcPr>
            <w:tcW w:w="3317" w:type="dxa"/>
          </w:tcPr>
          <w:p w14:paraId="51991061" w14:textId="77777777" w:rsidR="00F97ACE" w:rsidRPr="005516CD" w:rsidRDefault="00F97ACE" w:rsidP="00F97ACE">
            <w:pPr>
              <w:tabs>
                <w:tab w:val="left" w:pos="426"/>
              </w:tabs>
              <w:ind w:right="96"/>
              <w:jc w:val="both"/>
              <w:rPr>
                <w:rFonts w:asciiTheme="majorHAnsi" w:hAnsiTheme="majorHAnsi" w:cstheme="majorHAnsi"/>
                <w:sz w:val="20"/>
                <w:szCs w:val="20"/>
              </w:rPr>
            </w:pPr>
            <w:proofErr w:type="spellStart"/>
            <w:r w:rsidRPr="005516CD">
              <w:rPr>
                <w:rFonts w:asciiTheme="majorHAnsi" w:hAnsiTheme="majorHAnsi" w:cstheme="majorHAnsi"/>
                <w:sz w:val="20"/>
                <w:szCs w:val="20"/>
              </w:rPr>
              <w:t>Marmelade</w:t>
            </w:r>
            <w:proofErr w:type="spellEnd"/>
          </w:p>
        </w:tc>
        <w:tc>
          <w:tcPr>
            <w:tcW w:w="3004" w:type="dxa"/>
          </w:tcPr>
          <w:p w14:paraId="781634CC" w14:textId="77777777" w:rsidR="00F97ACE" w:rsidRPr="005516CD" w:rsidRDefault="00A13030" w:rsidP="00F97ACE">
            <w:pPr>
              <w:tabs>
                <w:tab w:val="left" w:pos="426"/>
              </w:tabs>
              <w:ind w:right="975"/>
              <w:jc w:val="right"/>
              <w:rPr>
                <w:rFonts w:asciiTheme="majorHAnsi" w:hAnsiTheme="majorHAnsi" w:cstheme="majorHAnsi"/>
                <w:sz w:val="20"/>
                <w:szCs w:val="20"/>
                <w:shd w:val="clear" w:color="auto" w:fill="F9F9F9"/>
              </w:rPr>
            </w:pPr>
            <w:r w:rsidRPr="005516CD">
              <w:rPr>
                <w:rFonts w:asciiTheme="majorHAnsi" w:hAnsiTheme="majorHAnsi" w:cstheme="majorHAnsi"/>
                <w:sz w:val="20"/>
                <w:szCs w:val="20"/>
                <w:shd w:val="clear" w:color="auto" w:fill="F9F9F9"/>
              </w:rPr>
              <w:t>10,894</w:t>
            </w:r>
          </w:p>
        </w:tc>
      </w:tr>
      <w:tr w:rsidR="00453703" w:rsidRPr="005516CD" w14:paraId="6C3AD167" w14:textId="77777777" w:rsidTr="004F03F5">
        <w:tc>
          <w:tcPr>
            <w:tcW w:w="6006" w:type="dxa"/>
            <w:gridSpan w:val="2"/>
          </w:tcPr>
          <w:p w14:paraId="6B37EF23" w14:textId="77777777" w:rsidR="00453703" w:rsidRPr="005516CD" w:rsidRDefault="00453703" w:rsidP="00453703">
            <w:pPr>
              <w:tabs>
                <w:tab w:val="left" w:pos="426"/>
              </w:tabs>
              <w:ind w:right="96"/>
              <w:jc w:val="right"/>
              <w:rPr>
                <w:rFonts w:asciiTheme="majorHAnsi" w:hAnsiTheme="majorHAnsi" w:cstheme="majorHAnsi"/>
                <w:b/>
                <w:sz w:val="20"/>
                <w:szCs w:val="20"/>
              </w:rPr>
            </w:pPr>
            <w:r w:rsidRPr="005516CD">
              <w:rPr>
                <w:rFonts w:asciiTheme="majorHAnsi" w:hAnsiTheme="majorHAnsi" w:cstheme="majorHAnsi"/>
                <w:b/>
                <w:sz w:val="20"/>
                <w:szCs w:val="20"/>
              </w:rPr>
              <w:t>Total</w:t>
            </w:r>
          </w:p>
        </w:tc>
        <w:tc>
          <w:tcPr>
            <w:tcW w:w="3004" w:type="dxa"/>
          </w:tcPr>
          <w:p w14:paraId="5BDDEF86" w14:textId="77777777" w:rsidR="00453703" w:rsidRPr="005516CD" w:rsidRDefault="00A13030" w:rsidP="00453703">
            <w:pPr>
              <w:tabs>
                <w:tab w:val="left" w:pos="426"/>
              </w:tabs>
              <w:ind w:right="975"/>
              <w:jc w:val="right"/>
              <w:rPr>
                <w:rFonts w:asciiTheme="majorHAnsi" w:hAnsiTheme="majorHAnsi" w:cstheme="majorHAnsi"/>
                <w:b/>
                <w:sz w:val="20"/>
                <w:szCs w:val="20"/>
                <w:shd w:val="clear" w:color="auto" w:fill="F9F9F9"/>
              </w:rPr>
            </w:pPr>
            <w:r w:rsidRPr="005516CD">
              <w:rPr>
                <w:rFonts w:asciiTheme="majorHAnsi" w:hAnsiTheme="majorHAnsi" w:cstheme="majorHAnsi"/>
                <w:b/>
                <w:sz w:val="20"/>
                <w:szCs w:val="20"/>
                <w:shd w:val="clear" w:color="auto" w:fill="F9F9F9"/>
              </w:rPr>
              <w:t>175,991</w:t>
            </w:r>
          </w:p>
        </w:tc>
      </w:tr>
    </w:tbl>
    <w:p w14:paraId="27804193" w14:textId="77777777" w:rsidR="00B6677D" w:rsidRPr="005516CD" w:rsidRDefault="00B6677D" w:rsidP="00B6677D">
      <w:pPr>
        <w:tabs>
          <w:tab w:val="left" w:pos="426"/>
        </w:tabs>
        <w:spacing w:after="120"/>
        <w:ind w:right="96"/>
        <w:jc w:val="both"/>
        <w:rPr>
          <w:rFonts w:asciiTheme="majorHAnsi" w:hAnsiTheme="majorHAnsi" w:cstheme="majorHAnsi"/>
          <w:bCs/>
          <w:iCs/>
          <w:sz w:val="20"/>
          <w:szCs w:val="20"/>
        </w:rPr>
      </w:pPr>
    </w:p>
    <w:p w14:paraId="7E606044" w14:textId="77777777" w:rsidR="00F97ACE" w:rsidRPr="005516CD" w:rsidRDefault="00F97ACE"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eastAsiaTheme="minorHAnsi" w:hAnsiTheme="majorHAnsi" w:cstheme="majorHAnsi"/>
          <w:b/>
          <w:bCs/>
          <w:iCs/>
          <w:sz w:val="20"/>
          <w:szCs w:val="20"/>
          <w:lang w:val="en-GB"/>
        </w:rPr>
      </w:pPr>
      <w:r w:rsidRPr="005516CD">
        <w:rPr>
          <w:rFonts w:asciiTheme="majorHAnsi" w:eastAsiaTheme="minorHAnsi" w:hAnsiTheme="majorHAnsi" w:cstheme="majorHAnsi"/>
          <w:b/>
          <w:bCs/>
          <w:iCs/>
          <w:sz w:val="20"/>
          <w:szCs w:val="20"/>
          <w:lang w:val="en-GB"/>
        </w:rPr>
        <w:t>Target communes</w:t>
      </w:r>
    </w:p>
    <w:p w14:paraId="525A15ED" w14:textId="77777777" w:rsidR="00F43558" w:rsidRPr="005516CD" w:rsidRDefault="00F43558" w:rsidP="00F97ACE">
      <w:pPr>
        <w:pStyle w:val="Heading6"/>
        <w:keepNext/>
        <w:spacing w:before="120" w:after="120"/>
        <w:jc w:val="center"/>
        <w:rPr>
          <w:rFonts w:asciiTheme="majorHAnsi" w:eastAsia="Calibri" w:hAnsiTheme="majorHAnsi" w:cstheme="majorHAnsi"/>
          <w:b/>
          <w:sz w:val="20"/>
          <w:lang w:val="en-US"/>
        </w:rPr>
      </w:pPr>
      <w:r w:rsidRPr="005516CD">
        <w:rPr>
          <w:rFonts w:asciiTheme="majorHAnsi" w:eastAsia="Calibri" w:hAnsiTheme="majorHAnsi" w:cstheme="majorHAnsi"/>
          <w:noProof/>
          <w:sz w:val="20"/>
          <w:szCs w:val="20"/>
          <w:lang w:val="en-US"/>
        </w:rPr>
        <mc:AlternateContent>
          <mc:Choice Requires="wps">
            <w:drawing>
              <wp:anchor distT="45720" distB="45720" distL="114300" distR="114300" simplePos="0" relativeHeight="251823104" behindDoc="0" locked="0" layoutInCell="1" allowOverlap="1" wp14:anchorId="0BEBF434" wp14:editId="76042822">
                <wp:simplePos x="0" y="0"/>
                <wp:positionH relativeFrom="column">
                  <wp:posOffset>2939724</wp:posOffset>
                </wp:positionH>
                <wp:positionV relativeFrom="paragraph">
                  <wp:posOffset>394910</wp:posOffset>
                </wp:positionV>
                <wp:extent cx="1136015" cy="286385"/>
                <wp:effectExtent l="0" t="0" r="6985"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6015" cy="286385"/>
                        </a:xfrm>
                        <a:prstGeom prst="rect">
                          <a:avLst/>
                        </a:prstGeom>
                        <a:solidFill>
                          <a:srgbClr val="FFFFFF"/>
                        </a:solidFill>
                        <a:ln w="9525">
                          <a:noFill/>
                          <a:miter lim="800000"/>
                          <a:headEnd/>
                          <a:tailEnd/>
                        </a:ln>
                      </wps:spPr>
                      <wps:txbx>
                        <w:txbxContent>
                          <w:p w14:paraId="0537F58A" w14:textId="77777777" w:rsidR="00013DC5" w:rsidRPr="00F43558" w:rsidRDefault="00013DC5">
                            <w:pPr>
                              <w:rPr>
                                <w:rFonts w:asciiTheme="majorHAnsi" w:hAnsiTheme="majorHAnsi" w:cstheme="majorHAnsi"/>
                              </w:rPr>
                            </w:pPr>
                            <w:r w:rsidRPr="00F43558">
                              <w:rPr>
                                <w:rFonts w:asciiTheme="majorHAnsi" w:hAnsiTheme="majorHAnsi" w:cstheme="majorHAnsi"/>
                              </w:rPr>
                              <w:t>Atlantic Ocean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BEBF434" id="_x0000_t202" coordsize="21600,21600" o:spt="202" path="m,l,21600r21600,l21600,xe">
                <v:stroke joinstyle="miter"/>
                <v:path gradientshapeok="t" o:connecttype="rect"/>
              </v:shapetype>
              <v:shape id="Text Box 2" o:spid="_x0000_s1026" type="#_x0000_t202" style="position:absolute;left:0;text-align:left;margin-left:231.45pt;margin-top:31.1pt;width:89.45pt;height:22.55pt;z-index:2518231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" stroked="f">
                <v:textbox style="mso-fit-shape-to-text:t">
                  <w:txbxContent>
                    <w:p w14:paraId="0537F58A" w14:textId="77777777" w:rsidR="00013DC5" w:rsidRPr="00F43558" w:rsidRDefault="00013DC5">
                      <w:pPr>
                        <w:rPr>
                          <w:rFonts w:asciiTheme="majorHAnsi" w:hAnsiTheme="majorHAnsi" w:cstheme="majorHAnsi"/>
                        </w:rPr>
                      </w:pPr>
                      <w:r w:rsidRPr="00F43558">
                        <w:rPr>
                          <w:rFonts w:asciiTheme="majorHAnsi" w:hAnsiTheme="majorHAnsi" w:cstheme="majorHAnsi"/>
                        </w:rPr>
                        <w:t>Atlantic Ocean</w:t>
                      </w:r>
                    </w:p>
                  </w:txbxContent>
                </v:textbox>
              </v:shape>
            </w:pict>
          </mc:Fallback>
        </mc:AlternateContent>
      </w:r>
      <w:r w:rsidRPr="005516CD">
        <w:rPr>
          <w:rFonts w:asciiTheme="majorHAnsi" w:eastAsia="Calibri" w:hAnsiTheme="majorHAnsi" w:cstheme="majorHAnsi"/>
          <w:b/>
          <w:noProof/>
          <w:sz w:val="20"/>
          <w:lang w:val="en-US"/>
        </w:rPr>
        <w:drawing>
          <wp:anchor distT="0" distB="0" distL="114300" distR="114300" simplePos="0" relativeHeight="251821056" behindDoc="0" locked="0" layoutInCell="1" allowOverlap="1" wp14:anchorId="188497DD" wp14:editId="31C2C856">
            <wp:simplePos x="0" y="0"/>
            <wp:positionH relativeFrom="column">
              <wp:posOffset>4913696</wp:posOffset>
            </wp:positionH>
            <wp:positionV relativeFrom="paragraph">
              <wp:posOffset>301287</wp:posOffset>
            </wp:positionV>
            <wp:extent cx="538480" cy="709295"/>
            <wp:effectExtent l="0" t="0" r="0" b="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480" cy="709295"/>
                    </a:xfrm>
                    <a:prstGeom prst="rect">
                      <a:avLst/>
                    </a:prstGeom>
                    <a:noFill/>
                    <a:ln>
                      <a:noFill/>
                    </a:ln>
                  </pic:spPr>
                </pic:pic>
              </a:graphicData>
            </a:graphic>
            <wp14:sizeRelH relativeFrom="page">
              <wp14:pctWidth>0</wp14:pctWidth>
            </wp14:sizeRelH>
            <wp14:sizeRelV relativeFrom="page">
              <wp14:pctHeight>0</wp14:pctHeight>
            </wp14:sizeRelV>
          </wp:anchor>
        </w:drawing>
      </w:r>
      <w:r w:rsidR="00BB7CD6" w:rsidRPr="005516CD">
        <w:rPr>
          <w:rFonts w:asciiTheme="majorHAnsi" w:eastAsia="Calibri" w:hAnsiTheme="majorHAnsi" w:cstheme="majorHAnsi"/>
          <w:b/>
          <w:noProof/>
          <w:sz w:val="20"/>
          <w:lang w:val="en-US"/>
        </w:rPr>
        <w:drawing>
          <wp:inline distT="0" distB="0" distL="0" distR="0" wp14:anchorId="188C56EC" wp14:editId="5AEF60BE">
            <wp:extent cx="5727700" cy="4076065"/>
            <wp:effectExtent l="0" t="0" r="635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27700" cy="4076065"/>
                    </a:xfrm>
                    <a:prstGeom prst="rect">
                      <a:avLst/>
                    </a:prstGeom>
                    <a:noFill/>
                    <a:ln>
                      <a:noFill/>
                    </a:ln>
                  </pic:spPr>
                </pic:pic>
              </a:graphicData>
            </a:graphic>
          </wp:inline>
        </w:drawing>
      </w:r>
    </w:p>
    <w:p w14:paraId="6507FD70" w14:textId="77777777" w:rsidR="00F864CE" w:rsidRPr="005516CD" w:rsidRDefault="00F864CE" w:rsidP="00F864CE">
      <w:pPr>
        <w:rPr>
          <w:lang w:val="en-US" w:eastAsia="en-US"/>
        </w:rPr>
      </w:pPr>
    </w:p>
    <w:p w14:paraId="7E929171" w14:textId="77777777" w:rsidR="00AF2783" w:rsidRPr="005516CD" w:rsidRDefault="00AF2783"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color w:val="000000" w:themeColor="text1"/>
          <w:sz w:val="20"/>
          <w:szCs w:val="20"/>
        </w:rPr>
      </w:pPr>
      <w:r w:rsidRPr="005516CD">
        <w:rPr>
          <w:rFonts w:asciiTheme="majorHAnsi" w:eastAsia="Calibri" w:hAnsiTheme="majorHAnsi" w:cstheme="majorHAnsi"/>
          <w:sz w:val="20"/>
          <w:szCs w:val="20"/>
        </w:rPr>
        <w:t>This area has been selected for the following reasons:</w:t>
      </w:r>
    </w:p>
    <w:p w14:paraId="57E2A17F" w14:textId="77777777" w:rsidR="00AF2783" w:rsidRPr="005516CD" w:rsidRDefault="00AF2783" w:rsidP="006B27F4">
      <w:pPr>
        <w:pStyle w:val="ListParagraph"/>
        <w:numPr>
          <w:ilvl w:val="0"/>
          <w:numId w:val="96"/>
        </w:numPr>
        <w:tabs>
          <w:tab w:val="left" w:pos="709"/>
        </w:tabs>
        <w:spacing w:after="120"/>
        <w:ind w:right="96"/>
        <w:jc w:val="both"/>
        <w:rPr>
          <w:rFonts w:asciiTheme="majorHAnsi" w:eastAsia="Calibri" w:hAnsiTheme="majorHAnsi" w:cstheme="majorHAnsi"/>
          <w:color w:val="000000" w:themeColor="text1"/>
          <w:sz w:val="20"/>
          <w:szCs w:val="20"/>
        </w:rPr>
      </w:pPr>
      <w:r w:rsidRPr="005516CD">
        <w:rPr>
          <w:rFonts w:asciiTheme="majorHAnsi" w:eastAsia="Calibri" w:hAnsiTheme="majorHAnsi" w:cstheme="majorHAnsi"/>
          <w:color w:val="000000" w:themeColor="text1"/>
          <w:sz w:val="20"/>
          <w:szCs w:val="20"/>
        </w:rPr>
        <w:t xml:space="preserve">It contains important outlier populations of a significant number of endangered and vulnerable </w:t>
      </w:r>
      <w:proofErr w:type="spellStart"/>
      <w:r w:rsidRPr="005516CD">
        <w:rPr>
          <w:rFonts w:asciiTheme="majorHAnsi" w:eastAsia="Calibri" w:hAnsiTheme="majorHAnsi" w:cstheme="majorHAnsi"/>
          <w:color w:val="000000" w:themeColor="text1"/>
          <w:sz w:val="20"/>
          <w:szCs w:val="20"/>
        </w:rPr>
        <w:t>Hispaniolan</w:t>
      </w:r>
      <w:proofErr w:type="spellEnd"/>
      <w:r w:rsidRPr="005516CD">
        <w:rPr>
          <w:rFonts w:asciiTheme="majorHAnsi" w:eastAsia="Calibri" w:hAnsiTheme="majorHAnsi" w:cstheme="majorHAnsi"/>
          <w:color w:val="000000" w:themeColor="text1"/>
          <w:sz w:val="20"/>
          <w:szCs w:val="20"/>
        </w:rPr>
        <w:t xml:space="preserve"> endemic fauna species, whose main areas of distribution are located in the </w:t>
      </w:r>
      <w:proofErr w:type="spellStart"/>
      <w:r w:rsidRPr="005516CD">
        <w:rPr>
          <w:rFonts w:asciiTheme="majorHAnsi" w:eastAsia="Calibri" w:hAnsiTheme="majorHAnsi" w:cstheme="majorHAnsi"/>
          <w:color w:val="000000" w:themeColor="text1"/>
          <w:sz w:val="20"/>
          <w:szCs w:val="20"/>
        </w:rPr>
        <w:t>neighbouring</w:t>
      </w:r>
      <w:proofErr w:type="spellEnd"/>
      <w:r w:rsidRPr="005516CD">
        <w:rPr>
          <w:rFonts w:asciiTheme="majorHAnsi" w:eastAsia="Calibri" w:hAnsiTheme="majorHAnsi" w:cstheme="majorHAnsi"/>
          <w:color w:val="000000" w:themeColor="text1"/>
          <w:sz w:val="20"/>
          <w:szCs w:val="20"/>
        </w:rPr>
        <w:t xml:space="preserve"> Dominican Republic and whose ecological requirements are generally compatible with the conditions found in tree-rich agroecosystems. Information on these species, including their global conservation status, reported distribution and ecological requirements, is presented in Additional Annex A. </w:t>
      </w:r>
    </w:p>
    <w:p w14:paraId="2C5A724F" w14:textId="77777777" w:rsidR="00AF2783" w:rsidRPr="005516CD" w:rsidRDefault="00AF2783" w:rsidP="006B27F4">
      <w:pPr>
        <w:pStyle w:val="ListParagraph"/>
        <w:numPr>
          <w:ilvl w:val="0"/>
          <w:numId w:val="96"/>
        </w:numPr>
        <w:tabs>
          <w:tab w:val="left" w:pos="709"/>
        </w:tabs>
        <w:spacing w:after="120"/>
        <w:ind w:right="96"/>
        <w:jc w:val="both"/>
        <w:rPr>
          <w:rFonts w:asciiTheme="majorHAnsi" w:eastAsia="Calibri" w:hAnsiTheme="majorHAnsi" w:cstheme="majorHAnsi"/>
          <w:color w:val="000000" w:themeColor="text1"/>
          <w:sz w:val="20"/>
          <w:szCs w:val="20"/>
        </w:rPr>
      </w:pPr>
      <w:r w:rsidRPr="005516CD">
        <w:rPr>
          <w:rFonts w:asciiTheme="majorHAnsi" w:eastAsia="Calibri" w:hAnsiTheme="majorHAnsi" w:cstheme="majorHAnsi"/>
          <w:color w:val="000000" w:themeColor="text1"/>
          <w:sz w:val="20"/>
          <w:szCs w:val="20"/>
        </w:rPr>
        <w:t xml:space="preserve">It is also the most important region of the country for the production of cacao under diverse tree shade, as well as containing (especially in the western part of the area) significant areas of shade coffee plantations. </w:t>
      </w:r>
    </w:p>
    <w:p w14:paraId="24E00D21" w14:textId="77777777" w:rsidR="00AF2783" w:rsidRPr="005516CD" w:rsidRDefault="00AF2783" w:rsidP="006B27F4">
      <w:pPr>
        <w:pStyle w:val="ListParagraph"/>
        <w:numPr>
          <w:ilvl w:val="0"/>
          <w:numId w:val="96"/>
        </w:numPr>
        <w:tabs>
          <w:tab w:val="left" w:pos="709"/>
        </w:tabs>
        <w:spacing w:after="120"/>
        <w:ind w:right="96"/>
        <w:jc w:val="both"/>
        <w:rPr>
          <w:rFonts w:asciiTheme="majorHAnsi" w:eastAsia="Calibri" w:hAnsiTheme="majorHAnsi" w:cstheme="majorHAnsi"/>
          <w:color w:val="000000" w:themeColor="text1"/>
          <w:sz w:val="20"/>
          <w:szCs w:val="20"/>
        </w:rPr>
      </w:pPr>
      <w:r w:rsidRPr="005516CD">
        <w:rPr>
          <w:rFonts w:asciiTheme="majorHAnsi" w:eastAsia="Calibri" w:hAnsiTheme="majorHAnsi" w:cstheme="majorHAnsi"/>
          <w:color w:val="000000" w:themeColor="text1"/>
          <w:sz w:val="20"/>
          <w:szCs w:val="20"/>
        </w:rPr>
        <w:t xml:space="preserve">The combination of these two factors means that there is significant potential for the project to improve the conservation status of these species by promoting regional connectivity, through the establishment of a functional biological corridor running along the tree-rich middle-altitude agroecosystem zone, which skirts the whole length of the northern flanks of the Massif du Nord mountain range as far as the border with the Dominican Republic. </w:t>
      </w:r>
    </w:p>
    <w:p w14:paraId="426468F4" w14:textId="3B360596" w:rsidR="00F97ACE" w:rsidRPr="005516CD" w:rsidRDefault="00AF2783" w:rsidP="006B27F4">
      <w:pPr>
        <w:pStyle w:val="ListParagraph"/>
        <w:numPr>
          <w:ilvl w:val="0"/>
          <w:numId w:val="96"/>
        </w:numPr>
        <w:tabs>
          <w:tab w:val="num" w:pos="-284"/>
          <w:tab w:val="left" w:pos="709"/>
        </w:tabs>
        <w:spacing w:after="120"/>
        <w:ind w:right="96"/>
        <w:jc w:val="both"/>
        <w:rPr>
          <w:rFonts w:asciiTheme="majorHAnsi" w:hAnsiTheme="majorHAnsi" w:cstheme="majorHAnsi"/>
          <w:sz w:val="20"/>
          <w:szCs w:val="20"/>
        </w:rPr>
      </w:pPr>
      <w:r w:rsidRPr="005516CD">
        <w:rPr>
          <w:rFonts w:asciiTheme="majorHAnsi" w:eastAsia="Calibri" w:hAnsiTheme="majorHAnsi" w:cstheme="majorHAnsi"/>
          <w:color w:val="000000" w:themeColor="text1"/>
          <w:sz w:val="20"/>
          <w:szCs w:val="20"/>
        </w:rPr>
        <w:t xml:space="preserve">There are major ongoing baseline investments in the area, of relevance to the project. In particular, </w:t>
      </w:r>
      <w:r w:rsidR="00EE6324" w:rsidRPr="005516CD">
        <w:rPr>
          <w:rFonts w:asciiTheme="majorHAnsi" w:hAnsiTheme="majorHAnsi" w:cstheme="majorHAnsi"/>
          <w:sz w:val="20"/>
          <w:szCs w:val="20"/>
        </w:rPr>
        <w:t xml:space="preserve">this area offers opportunities to </w:t>
      </w:r>
      <w:proofErr w:type="spellStart"/>
      <w:r w:rsidR="00EE6324" w:rsidRPr="005516CD">
        <w:rPr>
          <w:rFonts w:asciiTheme="majorHAnsi" w:hAnsiTheme="majorHAnsi" w:cstheme="majorHAnsi"/>
          <w:sz w:val="20"/>
          <w:szCs w:val="20"/>
        </w:rPr>
        <w:t>maximise</w:t>
      </w:r>
      <w:proofErr w:type="spellEnd"/>
      <w:r w:rsidR="00EE6324" w:rsidRPr="005516CD">
        <w:rPr>
          <w:rFonts w:asciiTheme="majorHAnsi" w:hAnsiTheme="majorHAnsi" w:cstheme="majorHAnsi"/>
          <w:sz w:val="20"/>
          <w:szCs w:val="20"/>
        </w:rPr>
        <w:t xml:space="preserve"> impact through co-financing partnerships with </w:t>
      </w:r>
      <w:r w:rsidR="00974B1C">
        <w:rPr>
          <w:rFonts w:asciiTheme="majorHAnsi" w:hAnsiTheme="majorHAnsi" w:cstheme="majorHAnsi"/>
          <w:sz w:val="20"/>
          <w:szCs w:val="20"/>
        </w:rPr>
        <w:t>a</w:t>
      </w:r>
      <w:r w:rsidR="00EE6324" w:rsidRPr="005516CD">
        <w:rPr>
          <w:rFonts w:asciiTheme="majorHAnsi" w:hAnsiTheme="majorHAnsi" w:cstheme="majorHAnsi"/>
          <w:sz w:val="20"/>
          <w:szCs w:val="20"/>
        </w:rPr>
        <w:t xml:space="preserve"> major cooperation </w:t>
      </w:r>
      <w:proofErr w:type="spellStart"/>
      <w:r w:rsidR="00EE6324" w:rsidRPr="005516CD">
        <w:rPr>
          <w:rFonts w:asciiTheme="majorHAnsi" w:hAnsiTheme="majorHAnsi" w:cstheme="majorHAnsi"/>
          <w:sz w:val="20"/>
          <w:szCs w:val="20"/>
        </w:rPr>
        <w:t>programme</w:t>
      </w:r>
      <w:proofErr w:type="spellEnd"/>
      <w:r w:rsidR="00EE6324" w:rsidRPr="005516CD">
        <w:rPr>
          <w:rFonts w:asciiTheme="majorHAnsi" w:hAnsiTheme="majorHAnsi" w:cstheme="majorHAnsi"/>
          <w:sz w:val="20"/>
          <w:szCs w:val="20"/>
        </w:rPr>
        <w:t xml:space="preserve">: the Programme for Technical Innovation of Agriculture and Agroforestry (PITAG), funded by </w:t>
      </w:r>
      <w:r w:rsidR="003D5F4B" w:rsidRPr="005516CD">
        <w:rPr>
          <w:rFonts w:asciiTheme="majorHAnsi" w:hAnsiTheme="majorHAnsi" w:cstheme="majorHAnsi"/>
          <w:sz w:val="20"/>
          <w:szCs w:val="20"/>
        </w:rPr>
        <w:t>the Interamerican Development Bank (</w:t>
      </w:r>
      <w:r w:rsidR="00EE6324" w:rsidRPr="005516CD">
        <w:rPr>
          <w:rFonts w:asciiTheme="majorHAnsi" w:hAnsiTheme="majorHAnsi" w:cstheme="majorHAnsi"/>
          <w:sz w:val="20"/>
          <w:szCs w:val="20"/>
        </w:rPr>
        <w:t>IDB</w:t>
      </w:r>
      <w:r w:rsidR="003D5F4B" w:rsidRPr="005516CD">
        <w:rPr>
          <w:rFonts w:asciiTheme="majorHAnsi" w:hAnsiTheme="majorHAnsi" w:cstheme="majorHAnsi"/>
          <w:sz w:val="20"/>
          <w:szCs w:val="20"/>
        </w:rPr>
        <w:t>)</w:t>
      </w:r>
      <w:r w:rsidR="00EE6324" w:rsidRPr="005516CD">
        <w:rPr>
          <w:rFonts w:asciiTheme="majorHAnsi" w:hAnsiTheme="majorHAnsi" w:cstheme="majorHAnsi"/>
          <w:sz w:val="20"/>
          <w:szCs w:val="20"/>
        </w:rPr>
        <w:t xml:space="preserve"> and executed by the Ministry of Agriculture (MARNDR). </w:t>
      </w:r>
    </w:p>
    <w:p w14:paraId="211B3ACD" w14:textId="77777777" w:rsidR="00622E80" w:rsidRPr="005516CD" w:rsidRDefault="00622E80" w:rsidP="006D3404">
      <w:pPr>
        <w:pStyle w:val="Heading6"/>
        <w:keepNext/>
        <w:spacing w:before="120" w:after="0"/>
        <w:rPr>
          <w:rFonts w:asciiTheme="majorHAnsi" w:eastAsia="Calibri" w:hAnsiTheme="majorHAnsi" w:cstheme="majorHAnsi"/>
          <w:b/>
          <w:sz w:val="20"/>
          <w:lang w:val="en-US"/>
        </w:rPr>
      </w:pPr>
      <w:r w:rsidRPr="005516CD">
        <w:rPr>
          <w:rFonts w:asciiTheme="majorHAnsi" w:eastAsia="Calibri" w:hAnsiTheme="majorHAnsi" w:cstheme="majorHAnsi"/>
          <w:b/>
          <w:sz w:val="20"/>
          <w:lang w:val="en-US"/>
        </w:rPr>
        <w:t>Trees in farming systems</w:t>
      </w:r>
    </w:p>
    <w:p w14:paraId="2CAB7C00" w14:textId="77777777" w:rsidR="00622E80" w:rsidRPr="005516CD" w:rsidRDefault="00622E8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It is estimated</w:t>
      </w:r>
      <w:r w:rsidRPr="005516CD">
        <w:rPr>
          <w:rStyle w:val="FootnoteReference"/>
          <w:rFonts w:asciiTheme="majorHAnsi" w:hAnsiTheme="majorHAnsi" w:cstheme="majorHAnsi"/>
          <w:sz w:val="20"/>
          <w:szCs w:val="20"/>
        </w:rPr>
        <w:footnoteReference w:id="5"/>
      </w:r>
      <w:r w:rsidRPr="005516CD">
        <w:rPr>
          <w:rFonts w:asciiTheme="majorHAnsi" w:hAnsiTheme="majorHAnsi" w:cstheme="majorHAnsi"/>
          <w:sz w:val="20"/>
          <w:szCs w:val="20"/>
        </w:rPr>
        <w:t xml:space="preserve"> that 75% of the currently wooded area in the country consists not of relics of natural forests, but of trees established and </w:t>
      </w:r>
      <w:r w:rsidRPr="005516CD">
        <w:rPr>
          <w:rFonts w:asciiTheme="majorHAnsi" w:hAnsiTheme="majorHAnsi" w:cstheme="majorHAnsi"/>
          <w:bCs/>
          <w:iCs/>
          <w:sz w:val="20"/>
          <w:szCs w:val="20"/>
        </w:rPr>
        <w:t>managed</w:t>
      </w:r>
      <w:r w:rsidRPr="005516CD">
        <w:rPr>
          <w:rFonts w:asciiTheme="majorHAnsi" w:hAnsiTheme="majorHAnsi" w:cstheme="majorHAnsi"/>
          <w:sz w:val="20"/>
          <w:szCs w:val="20"/>
        </w:rPr>
        <w:t xml:space="preserve"> by farmers: recent studies suggest that predominant deforestation narratives may fail to take into account smaller scale patches of tree cover</w:t>
      </w:r>
      <w:r w:rsidRPr="005516CD">
        <w:rPr>
          <w:rStyle w:val="FootnoteReference"/>
          <w:rFonts w:asciiTheme="majorHAnsi" w:hAnsiTheme="majorHAnsi" w:cstheme="majorHAnsi"/>
          <w:sz w:val="20"/>
          <w:szCs w:val="20"/>
        </w:rPr>
        <w:footnoteReference w:id="6"/>
      </w:r>
      <w:r w:rsidRPr="005516CD">
        <w:rPr>
          <w:rFonts w:asciiTheme="majorHAnsi" w:hAnsiTheme="majorHAnsi" w:cstheme="majorHAnsi"/>
          <w:sz w:val="20"/>
          <w:szCs w:val="20"/>
        </w:rPr>
        <w:t>, which are typically associated with farming systems. Diverse tree species are typically associated with food crops, with species and densities varying in function of variations in physical and economic conditions. They include fruit, fodder and timber trees: in addition to providing products such as fruit, fuelwood and timber for use by the farmer and their families, trees are used as a source of cash income and as a savings bank. Although a wide number of trees are used, tree cover is dominated by a relatively few species such as mango, avocado, breadfruit, coconut and citrus. The species composition and spatial configuration of tree is strongly determined by altitude, typically with scattered patches at higher altitudes, more homogenous masses at middle altitude (350-600m) and linear forests following watercourses at lower levels, where rainfall and therefore soil humidity tend to be more limited</w:t>
      </w:r>
      <w:r w:rsidRPr="005516CD">
        <w:rPr>
          <w:rStyle w:val="FootnoteReference"/>
          <w:rFonts w:asciiTheme="majorHAnsi" w:hAnsiTheme="majorHAnsi" w:cstheme="majorHAnsi"/>
          <w:sz w:val="20"/>
          <w:szCs w:val="20"/>
        </w:rPr>
        <w:footnoteReference w:id="7"/>
      </w:r>
      <w:r w:rsidRPr="005516CD">
        <w:rPr>
          <w:rFonts w:asciiTheme="majorHAnsi" w:hAnsiTheme="majorHAnsi" w:cstheme="majorHAnsi"/>
          <w:sz w:val="20"/>
          <w:szCs w:val="20"/>
        </w:rPr>
        <w:t>. At higher altitudes (&gt;600m) trees are normally limited to home gardens (“</w:t>
      </w:r>
      <w:proofErr w:type="spellStart"/>
      <w:r w:rsidRPr="005516CD">
        <w:rPr>
          <w:rFonts w:asciiTheme="majorHAnsi" w:hAnsiTheme="majorHAnsi" w:cstheme="majorHAnsi"/>
          <w:i/>
          <w:sz w:val="20"/>
          <w:szCs w:val="20"/>
        </w:rPr>
        <w:t>jaden</w:t>
      </w:r>
      <w:proofErr w:type="spellEnd"/>
      <w:r w:rsidRPr="005516CD">
        <w:rPr>
          <w:rFonts w:asciiTheme="majorHAnsi" w:hAnsiTheme="majorHAnsi" w:cstheme="majorHAnsi"/>
          <w:i/>
          <w:sz w:val="20"/>
          <w:szCs w:val="20"/>
        </w:rPr>
        <w:t xml:space="preserve"> pre kay”</w:t>
      </w:r>
      <w:r w:rsidRPr="005516CD">
        <w:rPr>
          <w:rFonts w:asciiTheme="majorHAnsi" w:hAnsiTheme="majorHAnsi" w:cstheme="majorHAnsi"/>
          <w:sz w:val="20"/>
          <w:szCs w:val="20"/>
        </w:rPr>
        <w:t>), where the required for the establishment of the gardens is derived from crop and kitchen wastes</w:t>
      </w:r>
      <w:r w:rsidRPr="005516CD">
        <w:rPr>
          <w:rStyle w:val="FootnoteReference"/>
          <w:rFonts w:asciiTheme="majorHAnsi" w:hAnsiTheme="majorHAnsi" w:cstheme="majorHAnsi"/>
          <w:sz w:val="20"/>
          <w:szCs w:val="20"/>
        </w:rPr>
        <w:footnoteReference w:id="8"/>
      </w:r>
      <w:r w:rsidRPr="005516CD">
        <w:rPr>
          <w:rFonts w:asciiTheme="majorHAnsi" w:hAnsiTheme="majorHAnsi" w:cstheme="majorHAnsi"/>
          <w:sz w:val="20"/>
          <w:szCs w:val="20"/>
        </w:rPr>
        <w:t xml:space="preserve">.  </w:t>
      </w:r>
    </w:p>
    <w:p w14:paraId="49C0E850" w14:textId="77777777" w:rsidR="00622E80" w:rsidRPr="005516CD" w:rsidRDefault="00622E80" w:rsidP="006D3404">
      <w:pPr>
        <w:pStyle w:val="Heading6"/>
        <w:keepNext/>
        <w:spacing w:before="120" w:after="0"/>
        <w:rPr>
          <w:rFonts w:asciiTheme="majorHAnsi" w:eastAsia="Calibri" w:hAnsiTheme="majorHAnsi" w:cstheme="majorHAnsi"/>
          <w:b/>
          <w:sz w:val="20"/>
          <w:lang w:val="en-US"/>
        </w:rPr>
      </w:pPr>
      <w:r w:rsidRPr="005516CD">
        <w:rPr>
          <w:rFonts w:asciiTheme="majorHAnsi" w:eastAsia="Calibri" w:hAnsiTheme="majorHAnsi" w:cstheme="majorHAnsi"/>
          <w:b/>
          <w:sz w:val="20"/>
          <w:lang w:val="en-US"/>
        </w:rPr>
        <w:t>Agriculture</w:t>
      </w:r>
      <w:r w:rsidR="004C6B45" w:rsidRPr="005516CD">
        <w:rPr>
          <w:rFonts w:asciiTheme="majorHAnsi" w:eastAsia="Calibri" w:hAnsiTheme="majorHAnsi" w:cstheme="majorHAnsi"/>
          <w:b/>
          <w:sz w:val="20"/>
          <w:lang w:val="en-US"/>
        </w:rPr>
        <w:t xml:space="preserve"> and agroforestry/tree-based systems</w:t>
      </w:r>
      <w:r w:rsidRPr="005516CD">
        <w:rPr>
          <w:rFonts w:asciiTheme="majorHAnsi" w:eastAsia="Calibri" w:hAnsiTheme="majorHAnsi" w:cstheme="majorHAnsi"/>
          <w:b/>
          <w:sz w:val="20"/>
          <w:lang w:val="en-US"/>
        </w:rPr>
        <w:t>:</w:t>
      </w:r>
    </w:p>
    <w:p w14:paraId="089D1683" w14:textId="77777777" w:rsidR="00AF2783" w:rsidRPr="005516CD" w:rsidRDefault="00AF278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Haiti is predominantly a rural country, with 53% of its population living in rural areas (The World Bank, 2010). The agriculture sector employs around 50% of the total labour force of the country.  The main crops, accounting for more than 85% of farmed area, are maize, sorghum and rice (38%), pulses (beans, pigeon peas, peanuts – 28%) and banana/plantains, cassava, potatoes and yams – 19%). The main cash crops in the country are cocoa and coffee. </w:t>
      </w:r>
    </w:p>
    <w:p w14:paraId="0D756414" w14:textId="4C4E112D" w:rsidR="00AF2783" w:rsidRPr="005516CD" w:rsidRDefault="00AF278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main forms of agricultural production in the project area are shown in </w:t>
      </w:r>
      <w:r w:rsidRPr="005516CD">
        <w:rPr>
          <w:rFonts w:asciiTheme="majorHAnsi" w:hAnsiTheme="majorHAnsi" w:cstheme="majorHAnsi"/>
          <w:sz w:val="20"/>
          <w:szCs w:val="20"/>
        </w:rPr>
        <w:fldChar w:fldCharType="begin"/>
      </w:r>
      <w:r w:rsidRPr="005516CD">
        <w:rPr>
          <w:rFonts w:asciiTheme="majorHAnsi" w:hAnsiTheme="majorHAnsi" w:cstheme="majorHAnsi"/>
          <w:sz w:val="20"/>
          <w:szCs w:val="20"/>
        </w:rPr>
        <w:instrText xml:space="preserve"> REF _Ref532467130 \r \h </w:instrText>
      </w:r>
      <w:r w:rsidR="005516CD">
        <w:rPr>
          <w:rFonts w:asciiTheme="majorHAnsi" w:hAnsiTheme="majorHAnsi" w:cstheme="majorHAnsi"/>
          <w:sz w:val="20"/>
          <w:szCs w:val="20"/>
        </w:rPr>
        <w:instrText xml:space="preserve"> \* MERGEFORMAT </w:instrText>
      </w:r>
      <w:r w:rsidRPr="005516CD">
        <w:rPr>
          <w:rFonts w:asciiTheme="majorHAnsi" w:hAnsiTheme="majorHAnsi" w:cstheme="majorHAnsi"/>
          <w:sz w:val="20"/>
          <w:szCs w:val="20"/>
        </w:rPr>
      </w:r>
      <w:r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Figure 2</w:t>
      </w:r>
      <w:r w:rsidRPr="005516CD">
        <w:rPr>
          <w:rFonts w:asciiTheme="majorHAnsi" w:hAnsiTheme="majorHAnsi" w:cstheme="majorHAnsi"/>
          <w:sz w:val="20"/>
          <w:szCs w:val="20"/>
        </w:rPr>
        <w:fldChar w:fldCharType="end"/>
      </w:r>
      <w:r w:rsidRPr="005516CD">
        <w:rPr>
          <w:rFonts w:asciiTheme="majorHAnsi" w:hAnsiTheme="majorHAnsi" w:cstheme="majorHAnsi"/>
          <w:sz w:val="20"/>
          <w:szCs w:val="20"/>
        </w:rPr>
        <w:t xml:space="preserve">. </w:t>
      </w:r>
    </w:p>
    <w:p w14:paraId="6B8D077D" w14:textId="77777777" w:rsidR="00AF2783" w:rsidRPr="005516CD" w:rsidRDefault="00AF278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PPG studies and consultations resulted in additional characterisation of the cropping systems in the target communes of the project:</w:t>
      </w:r>
    </w:p>
    <w:p w14:paraId="1C653768" w14:textId="77777777" w:rsidR="00AF2783" w:rsidRPr="005516CD" w:rsidRDefault="00AF2783" w:rsidP="006B27F4">
      <w:pPr>
        <w:pStyle w:val="ListParagraph"/>
        <w:numPr>
          <w:ilvl w:val="0"/>
          <w:numId w:val="97"/>
        </w:numPr>
        <w:suppressAutoHyphens/>
        <w:autoSpaceDN w:val="0"/>
        <w:spacing w:after="120"/>
        <w:jc w:val="both"/>
        <w:textAlignment w:val="baseline"/>
        <w:rPr>
          <w:rFonts w:asciiTheme="majorHAnsi" w:eastAsia="Times New Roman" w:hAnsiTheme="majorHAnsi" w:cstheme="majorHAnsi"/>
          <w:bCs/>
          <w:color w:val="auto"/>
          <w:sz w:val="20"/>
          <w:szCs w:val="20"/>
        </w:rPr>
      </w:pPr>
      <w:r w:rsidRPr="005516CD">
        <w:rPr>
          <w:rFonts w:asciiTheme="majorHAnsi" w:eastAsia="Times New Roman" w:hAnsiTheme="majorHAnsi" w:cstheme="majorHAnsi"/>
          <w:b/>
          <w:bCs/>
          <w:color w:val="auto"/>
          <w:sz w:val="20"/>
          <w:szCs w:val="20"/>
          <w:u w:val="single"/>
        </w:rPr>
        <w:t>Polyculture cereal production system:</w:t>
      </w:r>
      <w:r w:rsidRPr="005516CD">
        <w:rPr>
          <w:rFonts w:asciiTheme="majorHAnsi" w:eastAsia="Times New Roman" w:hAnsiTheme="majorHAnsi" w:cstheme="majorHAnsi"/>
          <w:bCs/>
          <w:color w:val="auto"/>
          <w:sz w:val="20"/>
          <w:szCs w:val="20"/>
        </w:rPr>
        <w:t xml:space="preserve"> </w:t>
      </w:r>
      <w:proofErr w:type="spellStart"/>
      <w:r w:rsidRPr="005516CD">
        <w:rPr>
          <w:rFonts w:asciiTheme="majorHAnsi" w:eastAsia="Times New Roman" w:hAnsiTheme="majorHAnsi" w:cstheme="majorHAnsi"/>
          <w:bCs/>
          <w:color w:val="auto"/>
          <w:sz w:val="20"/>
          <w:szCs w:val="20"/>
        </w:rPr>
        <w:t>beween</w:t>
      </w:r>
      <w:proofErr w:type="spellEnd"/>
      <w:r w:rsidRPr="005516CD">
        <w:rPr>
          <w:rFonts w:asciiTheme="majorHAnsi" w:eastAsia="Times New Roman" w:hAnsiTheme="majorHAnsi" w:cstheme="majorHAnsi"/>
          <w:bCs/>
          <w:color w:val="auto"/>
          <w:sz w:val="20"/>
          <w:szCs w:val="20"/>
        </w:rPr>
        <w:t xml:space="preserve"> 2 and 5 crops including beans </w:t>
      </w:r>
      <w:r w:rsidRPr="005516CD">
        <w:rPr>
          <w:rFonts w:asciiTheme="majorHAnsi" w:hAnsiTheme="majorHAnsi" w:cstheme="majorHAnsi"/>
          <w:sz w:val="20"/>
          <w:szCs w:val="20"/>
        </w:rPr>
        <w:t>(</w:t>
      </w:r>
      <w:r w:rsidRPr="005516CD">
        <w:rPr>
          <w:rFonts w:asciiTheme="majorHAnsi" w:hAnsiTheme="majorHAnsi" w:cstheme="majorHAnsi"/>
          <w:i/>
          <w:sz w:val="20"/>
          <w:szCs w:val="20"/>
        </w:rPr>
        <w:t>Phaseolus vulgaris</w:t>
      </w:r>
      <w:r w:rsidRPr="005516CD">
        <w:rPr>
          <w:rFonts w:asciiTheme="majorHAnsi" w:hAnsiTheme="majorHAnsi" w:cstheme="majorHAnsi"/>
          <w:sz w:val="20"/>
          <w:szCs w:val="20"/>
        </w:rPr>
        <w:t>)</w:t>
      </w:r>
      <w:r w:rsidRPr="005516CD">
        <w:rPr>
          <w:rFonts w:asciiTheme="majorHAnsi" w:eastAsia="Times New Roman" w:hAnsiTheme="majorHAnsi" w:cstheme="majorHAnsi"/>
          <w:bCs/>
          <w:color w:val="auto"/>
          <w:sz w:val="20"/>
          <w:szCs w:val="20"/>
        </w:rPr>
        <w:t>, maize, sorghum/millet, pigeon peas, sweet potato and cassava; at times with animals such as donkeys, horses and cattle, depending on the socioeconomic conditions of the household.</w:t>
      </w:r>
    </w:p>
    <w:p w14:paraId="720B40F5" w14:textId="77777777" w:rsidR="00AF2783" w:rsidRPr="005516CD" w:rsidRDefault="00AF2783" w:rsidP="006B27F4">
      <w:pPr>
        <w:pStyle w:val="ListParagraph"/>
        <w:numPr>
          <w:ilvl w:val="0"/>
          <w:numId w:val="97"/>
        </w:numPr>
        <w:suppressAutoHyphens/>
        <w:autoSpaceDN w:val="0"/>
        <w:spacing w:after="120"/>
        <w:jc w:val="both"/>
        <w:textAlignment w:val="baseline"/>
        <w:rPr>
          <w:rFonts w:asciiTheme="majorHAnsi" w:eastAsia="Times New Roman" w:hAnsiTheme="majorHAnsi" w:cstheme="majorHAnsi"/>
          <w:bCs/>
          <w:color w:val="auto"/>
          <w:sz w:val="20"/>
          <w:szCs w:val="20"/>
        </w:rPr>
      </w:pPr>
      <w:r w:rsidRPr="005516CD">
        <w:rPr>
          <w:rFonts w:asciiTheme="majorHAnsi" w:eastAsia="Times New Roman" w:hAnsiTheme="majorHAnsi" w:cstheme="majorHAnsi"/>
          <w:b/>
          <w:bCs/>
          <w:color w:val="auto"/>
          <w:sz w:val="20"/>
          <w:szCs w:val="20"/>
          <w:u w:val="single"/>
        </w:rPr>
        <w:t xml:space="preserve">Seasonally mobile pasture/tree/livestock system, </w:t>
      </w:r>
      <w:proofErr w:type="spellStart"/>
      <w:r w:rsidRPr="005516CD">
        <w:rPr>
          <w:rFonts w:asciiTheme="majorHAnsi" w:eastAsia="Times New Roman" w:hAnsiTheme="majorHAnsi" w:cstheme="majorHAnsi"/>
          <w:b/>
          <w:bCs/>
          <w:color w:val="auto"/>
          <w:sz w:val="20"/>
          <w:szCs w:val="20"/>
          <w:u w:val="single"/>
        </w:rPr>
        <w:t>practised</w:t>
      </w:r>
      <w:proofErr w:type="spellEnd"/>
      <w:r w:rsidRPr="005516CD">
        <w:rPr>
          <w:rFonts w:asciiTheme="majorHAnsi" w:eastAsia="Times New Roman" w:hAnsiTheme="majorHAnsi" w:cstheme="majorHAnsi"/>
          <w:b/>
          <w:bCs/>
          <w:color w:val="auto"/>
          <w:sz w:val="20"/>
          <w:szCs w:val="20"/>
          <w:u w:val="single"/>
        </w:rPr>
        <w:t xml:space="preserve"> by occasional better-off farmers</w:t>
      </w:r>
      <w:r w:rsidRPr="005516CD">
        <w:rPr>
          <w:rFonts w:asciiTheme="majorHAnsi" w:eastAsia="Times New Roman" w:hAnsiTheme="majorHAnsi" w:cstheme="majorHAnsi"/>
          <w:bCs/>
          <w:color w:val="auto"/>
          <w:sz w:val="20"/>
          <w:szCs w:val="20"/>
        </w:rPr>
        <w:t xml:space="preserve">: the strategy of mobility is a form of adaptation to external factors affecting the herd. It is also motivated by the presence of pastures, water and other environmental conditions </w:t>
      </w:r>
      <w:proofErr w:type="spellStart"/>
      <w:r w:rsidRPr="005516CD">
        <w:rPr>
          <w:rFonts w:asciiTheme="majorHAnsi" w:eastAsia="Times New Roman" w:hAnsiTheme="majorHAnsi" w:cstheme="majorHAnsi"/>
          <w:bCs/>
          <w:color w:val="auto"/>
          <w:sz w:val="20"/>
          <w:szCs w:val="20"/>
        </w:rPr>
        <w:t>favourable</w:t>
      </w:r>
      <w:proofErr w:type="spellEnd"/>
      <w:r w:rsidRPr="005516CD">
        <w:rPr>
          <w:rFonts w:asciiTheme="majorHAnsi" w:eastAsia="Times New Roman" w:hAnsiTheme="majorHAnsi" w:cstheme="majorHAnsi"/>
          <w:bCs/>
          <w:color w:val="auto"/>
          <w:sz w:val="20"/>
          <w:szCs w:val="20"/>
        </w:rPr>
        <w:t xml:space="preserve"> for the development of the animals. The process consists of removing the animals from the fields during cropping seasons, and because of scarcity of water put</w:t>
      </w:r>
      <w:r w:rsidR="00B131AA" w:rsidRPr="005516CD">
        <w:rPr>
          <w:rFonts w:asciiTheme="majorHAnsi" w:eastAsia="Times New Roman" w:hAnsiTheme="majorHAnsi" w:cstheme="majorHAnsi"/>
          <w:bCs/>
          <w:color w:val="auto"/>
          <w:sz w:val="20"/>
          <w:szCs w:val="20"/>
        </w:rPr>
        <w:t>ting</w:t>
      </w:r>
      <w:r w:rsidRPr="005516CD">
        <w:rPr>
          <w:rFonts w:asciiTheme="majorHAnsi" w:eastAsia="Times New Roman" w:hAnsiTheme="majorHAnsi" w:cstheme="majorHAnsi"/>
          <w:bCs/>
          <w:color w:val="auto"/>
          <w:sz w:val="20"/>
          <w:szCs w:val="20"/>
        </w:rPr>
        <w:t xml:space="preserve"> them on pastures that are difficult to reach</w:t>
      </w:r>
      <w:r w:rsidR="00B131AA" w:rsidRPr="005516CD">
        <w:rPr>
          <w:rFonts w:asciiTheme="majorHAnsi" w:eastAsia="Times New Roman" w:hAnsiTheme="majorHAnsi" w:cstheme="majorHAnsi"/>
          <w:bCs/>
          <w:color w:val="auto"/>
          <w:sz w:val="20"/>
          <w:szCs w:val="20"/>
        </w:rPr>
        <w:t>,</w:t>
      </w:r>
      <w:r w:rsidRPr="005516CD">
        <w:rPr>
          <w:rFonts w:asciiTheme="majorHAnsi" w:eastAsia="Times New Roman" w:hAnsiTheme="majorHAnsi" w:cstheme="majorHAnsi"/>
          <w:bCs/>
          <w:color w:val="auto"/>
          <w:sz w:val="20"/>
          <w:szCs w:val="20"/>
        </w:rPr>
        <w:t xml:space="preserve"> during the dry season. The animals generally include cattle, goats and poultry. </w:t>
      </w:r>
    </w:p>
    <w:p w14:paraId="34C7EF57" w14:textId="77777777" w:rsidR="00AF2783" w:rsidRPr="005516CD" w:rsidRDefault="00AF2783" w:rsidP="006B27F4">
      <w:pPr>
        <w:pStyle w:val="ListParagraph"/>
        <w:numPr>
          <w:ilvl w:val="0"/>
          <w:numId w:val="97"/>
        </w:numPr>
        <w:suppressAutoHyphens/>
        <w:autoSpaceDN w:val="0"/>
        <w:spacing w:after="120"/>
        <w:jc w:val="both"/>
        <w:textAlignment w:val="baseline"/>
        <w:rPr>
          <w:rFonts w:asciiTheme="majorHAnsi" w:eastAsia="Times New Roman" w:hAnsiTheme="majorHAnsi" w:cstheme="majorHAnsi"/>
          <w:bCs/>
          <w:color w:val="auto"/>
          <w:sz w:val="20"/>
          <w:szCs w:val="20"/>
        </w:rPr>
      </w:pPr>
      <w:proofErr w:type="spellStart"/>
      <w:r w:rsidRPr="005516CD">
        <w:rPr>
          <w:rFonts w:asciiTheme="majorHAnsi" w:eastAsia="Times New Roman" w:hAnsiTheme="majorHAnsi" w:cstheme="majorHAnsi"/>
          <w:b/>
          <w:bCs/>
          <w:color w:val="auto"/>
          <w:sz w:val="20"/>
          <w:szCs w:val="20"/>
          <w:u w:val="single"/>
        </w:rPr>
        <w:t>Agro-sylvopastoral</w:t>
      </w:r>
      <w:proofErr w:type="spellEnd"/>
      <w:r w:rsidRPr="005516CD">
        <w:rPr>
          <w:rFonts w:asciiTheme="majorHAnsi" w:eastAsia="Times New Roman" w:hAnsiTheme="majorHAnsi" w:cstheme="majorHAnsi"/>
          <w:b/>
          <w:bCs/>
          <w:color w:val="auto"/>
          <w:sz w:val="20"/>
          <w:szCs w:val="20"/>
          <w:u w:val="single"/>
        </w:rPr>
        <w:t xml:space="preserve"> system, combining cereal crops, livestock raising and naturally regenerated trees</w:t>
      </w:r>
      <w:r w:rsidRPr="005516CD">
        <w:rPr>
          <w:rFonts w:asciiTheme="majorHAnsi" w:eastAsia="Times New Roman" w:hAnsiTheme="majorHAnsi" w:cstheme="majorHAnsi"/>
          <w:bCs/>
          <w:color w:val="auto"/>
          <w:sz w:val="20"/>
          <w:szCs w:val="20"/>
        </w:rPr>
        <w:t xml:space="preserve">: </w:t>
      </w:r>
      <w:proofErr w:type="gramStart"/>
      <w:r w:rsidRPr="005516CD">
        <w:rPr>
          <w:rFonts w:asciiTheme="majorHAnsi" w:eastAsia="Times New Roman" w:hAnsiTheme="majorHAnsi" w:cstheme="majorHAnsi"/>
          <w:bCs/>
          <w:color w:val="auto"/>
          <w:sz w:val="20"/>
          <w:szCs w:val="20"/>
        </w:rPr>
        <w:t>typically</w:t>
      </w:r>
      <w:proofErr w:type="gramEnd"/>
      <w:r w:rsidRPr="005516CD">
        <w:rPr>
          <w:rFonts w:asciiTheme="majorHAnsi" w:eastAsia="Times New Roman" w:hAnsiTheme="majorHAnsi" w:cstheme="majorHAnsi"/>
          <w:bCs/>
          <w:color w:val="auto"/>
          <w:sz w:val="20"/>
          <w:szCs w:val="20"/>
        </w:rPr>
        <w:t xml:space="preserve"> with a few head of cattle, goats, donkeys and poultry, depending on the socioeconomic conditions of the farmer (notably tenure security and access to pasture).</w:t>
      </w:r>
    </w:p>
    <w:p w14:paraId="7535ABA7" w14:textId="77777777" w:rsidR="00AF2783" w:rsidRPr="005516CD" w:rsidRDefault="00AF2783" w:rsidP="006B27F4">
      <w:pPr>
        <w:pStyle w:val="ListParagraph"/>
        <w:numPr>
          <w:ilvl w:val="0"/>
          <w:numId w:val="97"/>
        </w:numPr>
        <w:suppressAutoHyphens/>
        <w:autoSpaceDN w:val="0"/>
        <w:spacing w:after="120"/>
        <w:jc w:val="both"/>
        <w:textAlignment w:val="baseline"/>
        <w:rPr>
          <w:rFonts w:asciiTheme="majorHAnsi" w:eastAsia="Times New Roman" w:hAnsiTheme="majorHAnsi" w:cstheme="majorHAnsi"/>
          <w:bCs/>
          <w:color w:val="auto"/>
          <w:sz w:val="20"/>
          <w:szCs w:val="20"/>
        </w:rPr>
      </w:pPr>
      <w:r w:rsidRPr="005516CD">
        <w:rPr>
          <w:rFonts w:asciiTheme="majorHAnsi" w:eastAsia="Times New Roman" w:hAnsiTheme="majorHAnsi" w:cstheme="majorHAnsi"/>
          <w:b/>
          <w:bCs/>
          <w:color w:val="auto"/>
          <w:sz w:val="20"/>
          <w:szCs w:val="20"/>
          <w:u w:val="single"/>
        </w:rPr>
        <w:t xml:space="preserve">Monoculture sugar cane production (notably in </w:t>
      </w:r>
      <w:proofErr w:type="spellStart"/>
      <w:r w:rsidRPr="005516CD">
        <w:rPr>
          <w:rFonts w:asciiTheme="majorHAnsi" w:eastAsia="Times New Roman" w:hAnsiTheme="majorHAnsi" w:cstheme="majorHAnsi"/>
          <w:b/>
          <w:bCs/>
          <w:color w:val="auto"/>
          <w:sz w:val="20"/>
          <w:szCs w:val="20"/>
          <w:u w:val="single"/>
        </w:rPr>
        <w:t>Vallières</w:t>
      </w:r>
      <w:proofErr w:type="spellEnd"/>
      <w:r w:rsidRPr="005516CD">
        <w:rPr>
          <w:rFonts w:asciiTheme="majorHAnsi" w:eastAsia="Times New Roman" w:hAnsiTheme="majorHAnsi" w:cstheme="majorHAnsi"/>
          <w:b/>
          <w:bCs/>
          <w:color w:val="auto"/>
          <w:sz w:val="20"/>
          <w:szCs w:val="20"/>
          <w:u w:val="single"/>
        </w:rPr>
        <w:t>, Plaisance and Grande-Rivière)</w:t>
      </w:r>
      <w:r w:rsidRPr="005516CD">
        <w:rPr>
          <w:rFonts w:asciiTheme="majorHAnsi" w:eastAsia="Times New Roman" w:hAnsiTheme="majorHAnsi" w:cstheme="majorHAnsi"/>
          <w:bCs/>
          <w:color w:val="auto"/>
          <w:sz w:val="20"/>
          <w:szCs w:val="20"/>
        </w:rPr>
        <w:t xml:space="preserve">: for self-consumption without processing, local exchange, and on rare occasions for small processing industries that exist in the region. </w:t>
      </w:r>
    </w:p>
    <w:p w14:paraId="270717B6" w14:textId="77777777" w:rsidR="00AF2783" w:rsidRPr="005516CD" w:rsidRDefault="00AF2783" w:rsidP="006B27F4">
      <w:pPr>
        <w:pStyle w:val="ListParagraph"/>
        <w:numPr>
          <w:ilvl w:val="0"/>
          <w:numId w:val="97"/>
        </w:numPr>
        <w:suppressAutoHyphens/>
        <w:autoSpaceDN w:val="0"/>
        <w:spacing w:after="120"/>
        <w:jc w:val="both"/>
        <w:textAlignment w:val="baseline"/>
        <w:rPr>
          <w:rFonts w:asciiTheme="majorHAnsi" w:eastAsia="Times New Roman" w:hAnsiTheme="majorHAnsi" w:cstheme="majorHAnsi"/>
          <w:bCs/>
          <w:color w:val="auto"/>
          <w:sz w:val="20"/>
          <w:szCs w:val="20"/>
        </w:rPr>
      </w:pPr>
      <w:r w:rsidRPr="005516CD">
        <w:rPr>
          <w:rFonts w:asciiTheme="majorHAnsi" w:eastAsia="Times New Roman" w:hAnsiTheme="majorHAnsi" w:cstheme="majorHAnsi"/>
          <w:b/>
          <w:bCs/>
          <w:color w:val="auto"/>
          <w:sz w:val="20"/>
          <w:szCs w:val="20"/>
          <w:u w:val="single"/>
        </w:rPr>
        <w:t>Agroforestry system based on coffee (losing importance in the north), cacao or ginger (</w:t>
      </w:r>
      <w:proofErr w:type="spellStart"/>
      <w:r w:rsidRPr="005516CD">
        <w:rPr>
          <w:rFonts w:asciiTheme="majorHAnsi" w:eastAsia="Times New Roman" w:hAnsiTheme="majorHAnsi" w:cstheme="majorHAnsi"/>
          <w:b/>
          <w:bCs/>
          <w:color w:val="auto"/>
          <w:sz w:val="20"/>
          <w:szCs w:val="20"/>
          <w:u w:val="single"/>
        </w:rPr>
        <w:t>Bois</w:t>
      </w:r>
      <w:proofErr w:type="spellEnd"/>
      <w:r w:rsidRPr="005516CD">
        <w:rPr>
          <w:rFonts w:asciiTheme="majorHAnsi" w:eastAsia="Times New Roman" w:hAnsiTheme="majorHAnsi" w:cstheme="majorHAnsi"/>
          <w:b/>
          <w:bCs/>
          <w:color w:val="auto"/>
          <w:sz w:val="20"/>
          <w:szCs w:val="20"/>
          <w:u w:val="single"/>
        </w:rPr>
        <w:t xml:space="preserve"> de Laurence, </w:t>
      </w:r>
      <w:proofErr w:type="spellStart"/>
      <w:r w:rsidRPr="005516CD">
        <w:rPr>
          <w:rFonts w:asciiTheme="majorHAnsi" w:eastAsia="Times New Roman" w:hAnsiTheme="majorHAnsi" w:cstheme="majorHAnsi"/>
          <w:b/>
          <w:bCs/>
          <w:color w:val="auto"/>
          <w:sz w:val="20"/>
          <w:szCs w:val="20"/>
          <w:u w:val="single"/>
        </w:rPr>
        <w:t>Mombin</w:t>
      </w:r>
      <w:proofErr w:type="spellEnd"/>
      <w:r w:rsidRPr="005516CD">
        <w:rPr>
          <w:rFonts w:asciiTheme="majorHAnsi" w:eastAsia="Times New Roman" w:hAnsiTheme="majorHAnsi" w:cstheme="majorHAnsi"/>
          <w:b/>
          <w:bCs/>
          <w:color w:val="auto"/>
          <w:sz w:val="20"/>
          <w:szCs w:val="20"/>
          <w:u w:val="single"/>
        </w:rPr>
        <w:t xml:space="preserve"> Crochu in particular), combining cereal and vegetable production and at times livestock</w:t>
      </w:r>
      <w:r w:rsidRPr="005516CD">
        <w:rPr>
          <w:rFonts w:asciiTheme="majorHAnsi" w:eastAsia="Times New Roman" w:hAnsiTheme="majorHAnsi" w:cstheme="majorHAnsi"/>
          <w:bCs/>
          <w:color w:val="auto"/>
          <w:sz w:val="20"/>
          <w:szCs w:val="20"/>
        </w:rPr>
        <w:t>, </w:t>
      </w:r>
      <w:proofErr w:type="spellStart"/>
      <w:r w:rsidRPr="005516CD">
        <w:rPr>
          <w:rFonts w:asciiTheme="majorHAnsi" w:eastAsia="Times New Roman" w:hAnsiTheme="majorHAnsi" w:cstheme="majorHAnsi"/>
          <w:bCs/>
          <w:color w:val="auto"/>
          <w:sz w:val="20"/>
          <w:szCs w:val="20"/>
        </w:rPr>
        <w:t>practised</w:t>
      </w:r>
      <w:proofErr w:type="spellEnd"/>
      <w:r w:rsidRPr="005516CD">
        <w:rPr>
          <w:rFonts w:asciiTheme="majorHAnsi" w:eastAsia="Times New Roman" w:hAnsiTheme="majorHAnsi" w:cstheme="majorHAnsi"/>
          <w:bCs/>
          <w:color w:val="auto"/>
          <w:sz w:val="20"/>
          <w:szCs w:val="20"/>
        </w:rPr>
        <w:t xml:space="preserve"> in particular by farmers who have access to a range of different agroecosystem levels.</w:t>
      </w:r>
    </w:p>
    <w:p w14:paraId="56256646" w14:textId="77777777" w:rsidR="00AF2783" w:rsidRPr="005516CD" w:rsidRDefault="00AF2783" w:rsidP="006B27F4">
      <w:pPr>
        <w:pStyle w:val="ListParagraph"/>
        <w:numPr>
          <w:ilvl w:val="0"/>
          <w:numId w:val="97"/>
        </w:numPr>
        <w:suppressAutoHyphens/>
        <w:autoSpaceDN w:val="0"/>
        <w:spacing w:after="120"/>
        <w:jc w:val="both"/>
        <w:textAlignment w:val="baseline"/>
        <w:rPr>
          <w:rFonts w:asciiTheme="majorHAnsi" w:eastAsia="Times New Roman" w:hAnsiTheme="majorHAnsi" w:cstheme="majorHAnsi"/>
          <w:bCs/>
          <w:color w:val="auto"/>
          <w:sz w:val="20"/>
          <w:szCs w:val="20"/>
        </w:rPr>
      </w:pPr>
      <w:r w:rsidRPr="005516CD">
        <w:rPr>
          <w:rFonts w:asciiTheme="majorHAnsi" w:eastAsia="Times New Roman" w:hAnsiTheme="majorHAnsi" w:cstheme="majorHAnsi"/>
          <w:b/>
          <w:bCs/>
          <w:color w:val="auto"/>
          <w:sz w:val="20"/>
          <w:szCs w:val="20"/>
          <w:u w:val="single"/>
        </w:rPr>
        <w:t>Home gardens (</w:t>
      </w:r>
      <w:proofErr w:type="spellStart"/>
      <w:r w:rsidRPr="005516CD">
        <w:rPr>
          <w:rFonts w:asciiTheme="majorHAnsi" w:eastAsia="Times New Roman" w:hAnsiTheme="majorHAnsi" w:cstheme="majorHAnsi"/>
          <w:b/>
          <w:bCs/>
          <w:i/>
          <w:color w:val="auto"/>
          <w:sz w:val="20"/>
          <w:szCs w:val="20"/>
          <w:u w:val="single"/>
        </w:rPr>
        <w:t>jardins</w:t>
      </w:r>
      <w:proofErr w:type="spellEnd"/>
      <w:r w:rsidRPr="005516CD">
        <w:rPr>
          <w:rFonts w:asciiTheme="majorHAnsi" w:eastAsia="Times New Roman" w:hAnsiTheme="majorHAnsi" w:cstheme="majorHAnsi"/>
          <w:b/>
          <w:bCs/>
          <w:i/>
          <w:color w:val="auto"/>
          <w:sz w:val="20"/>
          <w:szCs w:val="20"/>
          <w:u w:val="single"/>
        </w:rPr>
        <w:t xml:space="preserve"> ‘‘</w:t>
      </w:r>
      <w:proofErr w:type="spellStart"/>
      <w:r w:rsidRPr="005516CD">
        <w:rPr>
          <w:rFonts w:asciiTheme="majorHAnsi" w:eastAsia="Times New Roman" w:hAnsiTheme="majorHAnsi" w:cstheme="majorHAnsi"/>
          <w:b/>
          <w:bCs/>
          <w:i/>
          <w:color w:val="auto"/>
          <w:sz w:val="20"/>
          <w:szCs w:val="20"/>
          <w:u w:val="single"/>
        </w:rPr>
        <w:t>Lakou</w:t>
      </w:r>
      <w:proofErr w:type="spellEnd"/>
      <w:r w:rsidRPr="005516CD">
        <w:rPr>
          <w:rFonts w:asciiTheme="majorHAnsi" w:eastAsia="Times New Roman" w:hAnsiTheme="majorHAnsi" w:cstheme="majorHAnsi"/>
          <w:b/>
          <w:bCs/>
          <w:i/>
          <w:color w:val="auto"/>
          <w:sz w:val="20"/>
          <w:szCs w:val="20"/>
          <w:u w:val="single"/>
        </w:rPr>
        <w:t>’’</w:t>
      </w:r>
      <w:r w:rsidRPr="005516CD">
        <w:rPr>
          <w:rFonts w:asciiTheme="majorHAnsi" w:eastAsia="Times New Roman" w:hAnsiTheme="majorHAnsi" w:cstheme="majorHAnsi"/>
          <w:b/>
          <w:bCs/>
          <w:color w:val="auto"/>
          <w:sz w:val="20"/>
          <w:szCs w:val="20"/>
          <w:u w:val="single"/>
        </w:rPr>
        <w:t>)</w:t>
      </w:r>
      <w:r w:rsidRPr="005516CD">
        <w:rPr>
          <w:rFonts w:asciiTheme="majorHAnsi" w:eastAsia="Times New Roman" w:hAnsiTheme="majorHAnsi" w:cstheme="majorHAnsi"/>
          <w:bCs/>
          <w:color w:val="auto"/>
          <w:sz w:val="20"/>
          <w:szCs w:val="20"/>
          <w:u w:val="single"/>
        </w:rPr>
        <w:t xml:space="preserve"> – see below.</w:t>
      </w:r>
      <w:r w:rsidRPr="005516CD">
        <w:rPr>
          <w:rFonts w:asciiTheme="majorHAnsi" w:eastAsia="Times New Roman" w:hAnsiTheme="majorHAnsi" w:cstheme="majorHAnsi"/>
          <w:bCs/>
          <w:color w:val="auto"/>
          <w:sz w:val="20"/>
          <w:szCs w:val="20"/>
        </w:rPr>
        <w:t xml:space="preserve"> </w:t>
      </w:r>
    </w:p>
    <w:p w14:paraId="73D17E5E" w14:textId="77777777" w:rsidR="00AF2783" w:rsidRPr="005516CD" w:rsidRDefault="00AF2783" w:rsidP="006B27F4">
      <w:pPr>
        <w:pStyle w:val="ListParagraph"/>
        <w:numPr>
          <w:ilvl w:val="0"/>
          <w:numId w:val="97"/>
        </w:numPr>
        <w:suppressAutoHyphens/>
        <w:autoSpaceDN w:val="0"/>
        <w:spacing w:after="120"/>
        <w:jc w:val="both"/>
        <w:textAlignment w:val="baseline"/>
        <w:rPr>
          <w:rFonts w:asciiTheme="majorHAnsi" w:eastAsia="Times New Roman" w:hAnsiTheme="majorHAnsi" w:cstheme="majorHAnsi"/>
          <w:bCs/>
          <w:color w:val="auto"/>
          <w:sz w:val="20"/>
          <w:szCs w:val="20"/>
        </w:rPr>
      </w:pPr>
      <w:r w:rsidRPr="005516CD">
        <w:rPr>
          <w:rFonts w:asciiTheme="majorHAnsi" w:eastAsia="Times New Roman" w:hAnsiTheme="majorHAnsi" w:cstheme="majorHAnsi"/>
          <w:b/>
          <w:bCs/>
          <w:color w:val="auto"/>
          <w:sz w:val="20"/>
          <w:szCs w:val="20"/>
          <w:u w:val="single"/>
        </w:rPr>
        <w:t xml:space="preserve">Agroforestry system </w:t>
      </w:r>
      <w:proofErr w:type="spellStart"/>
      <w:r w:rsidRPr="005516CD">
        <w:rPr>
          <w:rFonts w:asciiTheme="majorHAnsi" w:eastAsia="Times New Roman" w:hAnsiTheme="majorHAnsi" w:cstheme="majorHAnsi"/>
          <w:b/>
          <w:bCs/>
          <w:color w:val="auto"/>
          <w:sz w:val="20"/>
          <w:szCs w:val="20"/>
          <w:u w:val="single"/>
        </w:rPr>
        <w:t>practised</w:t>
      </w:r>
      <w:proofErr w:type="spellEnd"/>
      <w:r w:rsidRPr="005516CD">
        <w:rPr>
          <w:rFonts w:asciiTheme="majorHAnsi" w:eastAsia="Times New Roman" w:hAnsiTheme="majorHAnsi" w:cstheme="majorHAnsi"/>
          <w:b/>
          <w:bCs/>
          <w:color w:val="auto"/>
          <w:sz w:val="20"/>
          <w:szCs w:val="20"/>
          <w:u w:val="single"/>
        </w:rPr>
        <w:t xml:space="preserve"> in some locations inside pine woodlands</w:t>
      </w:r>
      <w:r w:rsidRPr="005516CD">
        <w:rPr>
          <w:rFonts w:asciiTheme="majorHAnsi" w:eastAsia="Times New Roman" w:hAnsiTheme="majorHAnsi" w:cstheme="majorHAnsi"/>
          <w:bCs/>
          <w:color w:val="auto"/>
          <w:sz w:val="20"/>
          <w:szCs w:val="20"/>
        </w:rPr>
        <w:t>, where the microclimate provided by the pines allows vegetable production.</w:t>
      </w:r>
    </w:p>
    <w:p w14:paraId="46E9CE6A" w14:textId="77777777" w:rsidR="00AF2783" w:rsidRPr="005516CD" w:rsidRDefault="00AF2783"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eastAsiaTheme="minorHAnsi" w:hAnsiTheme="majorHAnsi" w:cstheme="majorHAnsi"/>
          <w:b/>
          <w:bCs/>
          <w:iCs/>
          <w:sz w:val="20"/>
          <w:szCs w:val="20"/>
          <w:lang w:val="en-GB"/>
        </w:rPr>
      </w:pPr>
      <w:bookmarkStart w:id="7" w:name="_Ref532467130"/>
      <w:r w:rsidRPr="005516CD">
        <w:rPr>
          <w:rFonts w:asciiTheme="majorHAnsi" w:hAnsiTheme="majorHAnsi" w:cstheme="majorHAnsi"/>
          <w:noProof/>
          <w:sz w:val="20"/>
          <w:szCs w:val="20"/>
          <w:lang w:eastAsia="en-US"/>
        </w:rPr>
        <mc:AlternateContent>
          <mc:Choice Requires="wps">
            <w:drawing>
              <wp:anchor distT="45720" distB="45720" distL="114300" distR="114300" simplePos="0" relativeHeight="251796480" behindDoc="0" locked="0" layoutInCell="1" allowOverlap="1" wp14:anchorId="2C5F3E07" wp14:editId="5CDB66B0">
                <wp:simplePos x="0" y="0"/>
                <wp:positionH relativeFrom="column">
                  <wp:posOffset>3898671</wp:posOffset>
                </wp:positionH>
                <wp:positionV relativeFrom="paragraph">
                  <wp:posOffset>227661</wp:posOffset>
                </wp:positionV>
                <wp:extent cx="869950" cy="410210"/>
                <wp:effectExtent l="0" t="0" r="6350" b="8890"/>
                <wp:wrapNone/>
                <wp:docPr id="10737419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9950" cy="410210"/>
                        </a:xfrm>
                        <a:prstGeom prst="rect">
                          <a:avLst/>
                        </a:prstGeom>
                        <a:solidFill>
                          <a:srgbClr val="FFFFFF"/>
                        </a:solidFill>
                        <a:ln w="9525">
                          <a:noFill/>
                          <a:miter lim="800000"/>
                          <a:headEnd/>
                          <a:tailEnd/>
                        </a:ln>
                      </wps:spPr>
                      <wps:txbx>
                        <w:txbxContent>
                          <w:p w14:paraId="1C1687E5" w14:textId="77777777" w:rsidR="00013DC5" w:rsidRPr="009035BC" w:rsidRDefault="00013DC5" w:rsidP="00AF2783">
                            <w:pPr>
                              <w:jc w:val="center"/>
                              <w:rPr>
                                <w:rFonts w:asciiTheme="majorHAnsi" w:hAnsiTheme="majorHAnsi" w:cstheme="majorHAnsi"/>
                                <w:sz w:val="20"/>
                              </w:rPr>
                            </w:pPr>
                            <w:r w:rsidRPr="009035BC">
                              <w:rPr>
                                <w:rFonts w:asciiTheme="majorHAnsi" w:hAnsiTheme="majorHAnsi" w:cstheme="majorHAnsi"/>
                                <w:sz w:val="20"/>
                              </w:rPr>
                              <w:t>Approximate project area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C5F3E07" id="_x0000_s1027" type="#_x0000_t202" style="position:absolute;left:0;text-align:left;margin-left:307pt;margin-top:17.95pt;width:68.5pt;height:32.3pt;z-index:251796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" stroked="f">
                <v:textbox style="mso-fit-shape-to-text:t">
                  <w:txbxContent>
                    <w:p w14:paraId="1C1687E5" w14:textId="77777777" w:rsidR="00013DC5" w:rsidRPr="009035BC" w:rsidRDefault="00013DC5" w:rsidP="00AF2783">
                      <w:pPr>
                        <w:jc w:val="center"/>
                        <w:rPr>
                          <w:rFonts w:asciiTheme="majorHAnsi" w:hAnsiTheme="majorHAnsi" w:cstheme="majorHAnsi"/>
                          <w:sz w:val="20"/>
                        </w:rPr>
                      </w:pPr>
                      <w:r w:rsidRPr="009035BC">
                        <w:rPr>
                          <w:rFonts w:asciiTheme="majorHAnsi" w:hAnsiTheme="majorHAnsi" w:cstheme="majorHAnsi"/>
                          <w:sz w:val="20"/>
                        </w:rPr>
                        <w:t>Approximate project area</w:t>
                      </w:r>
                    </w:p>
                  </w:txbxContent>
                </v:textbox>
              </v:shape>
            </w:pict>
          </mc:Fallback>
        </mc:AlternateContent>
      </w:r>
      <w:r w:rsidRPr="005516CD">
        <w:rPr>
          <w:rFonts w:asciiTheme="majorHAnsi" w:eastAsiaTheme="minorHAnsi" w:hAnsiTheme="majorHAnsi" w:cstheme="majorHAnsi"/>
          <w:b/>
          <w:bCs/>
          <w:iCs/>
          <w:sz w:val="20"/>
          <w:szCs w:val="20"/>
          <w:lang w:val="en-GB"/>
        </w:rPr>
        <w:t>Spatial distribution of principal cropping systems in Haiti</w:t>
      </w:r>
      <w:r w:rsidRPr="005516CD">
        <w:rPr>
          <w:rStyle w:val="FootnoteReference"/>
          <w:rFonts w:asciiTheme="majorHAnsi" w:hAnsiTheme="majorHAnsi" w:cstheme="majorHAnsi"/>
          <w:sz w:val="20"/>
          <w:szCs w:val="20"/>
        </w:rPr>
        <w:footnoteReference w:id="9"/>
      </w:r>
      <w:bookmarkEnd w:id="7"/>
    </w:p>
    <w:p w14:paraId="12A09280" w14:textId="77777777" w:rsidR="00AF2783" w:rsidRPr="005516CD" w:rsidRDefault="00AF2783" w:rsidP="00AF2783">
      <w:pPr>
        <w:tabs>
          <w:tab w:val="num" w:pos="-284"/>
          <w:tab w:val="left" w:pos="426"/>
        </w:tabs>
        <w:spacing w:after="120"/>
        <w:ind w:right="96"/>
        <w:jc w:val="right"/>
        <w:rPr>
          <w:rFonts w:asciiTheme="majorHAnsi" w:hAnsiTheme="majorHAnsi" w:cstheme="majorHAnsi"/>
          <w:sz w:val="20"/>
          <w:szCs w:val="20"/>
        </w:rPr>
      </w:pPr>
      <w:r w:rsidRPr="005516CD">
        <w:rPr>
          <w:rFonts w:asciiTheme="majorHAnsi" w:hAnsiTheme="majorHAnsi" w:cstheme="majorHAnsi"/>
          <w:noProof/>
          <w:sz w:val="20"/>
          <w:szCs w:val="20"/>
          <w:bdr w:val="nil"/>
          <w:lang w:val="en-US" w:eastAsia="en-US"/>
        </w:rPr>
        <mc:AlternateContent>
          <mc:Choice Requires="wps">
            <w:drawing>
              <wp:anchor distT="0" distB="0" distL="114300" distR="114300" simplePos="0" relativeHeight="251797504" behindDoc="0" locked="0" layoutInCell="1" allowOverlap="1" wp14:anchorId="67FF471A" wp14:editId="47579021">
                <wp:simplePos x="0" y="0"/>
                <wp:positionH relativeFrom="column">
                  <wp:posOffset>4096512</wp:posOffset>
                </wp:positionH>
                <wp:positionV relativeFrom="paragraph">
                  <wp:posOffset>348310</wp:posOffset>
                </wp:positionV>
                <wp:extent cx="197510" cy="402082"/>
                <wp:effectExtent l="38100" t="0" r="31115" b="55245"/>
                <wp:wrapNone/>
                <wp:docPr id="1073741851" name="Straight Arrow Connector 1073741851"/>
                <wp:cNvGraphicFramePr/>
                <a:graphic xmlns:a="http://schemas.openxmlformats.org/drawingml/2006/main">
                  <a:graphicData uri="http://schemas.microsoft.com/office/word/2010/wordprocessingShape">
                    <wps:wsp>
                      <wps:cNvCnPr/>
                      <wps:spPr>
                        <a:xfrm flipH="1">
                          <a:off x="0" y="0"/>
                          <a:ext cx="197510" cy="402082"/>
                        </a:xfrm>
                        <a:prstGeom prst="straightConnector1">
                          <a:avLst/>
                        </a:prstGeom>
                        <a:noFill/>
                        <a:ln w="12700" cap="flat">
                          <a:solidFill>
                            <a:schemeClr val="tx1"/>
                          </a:solidFill>
                          <a:prstDash val="solid"/>
                          <a:miter lim="800000"/>
                          <a:tailEnd type="triangle"/>
                        </a:ln>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type w14:anchorId="6E218DE2" id="_x0000_t32" coordsize="21600,21600" o:spt="32" o:oned="t" path="m,l21600,21600e" filled="f">
                <v:path arrowok="t" fillok="f" o:connecttype="none"/>
                <o:lock v:ext="edit" shapetype="t"/>
              </v:shapetype>
              <v:shape id="Straight Arrow Connector 1073741851" o:spid="_x0000_s1026" type="#_x0000_t32" style="position:absolute;margin-left:322.55pt;margin-top:27.45pt;width:15.55pt;height:31.65pt;flip:x;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" strokecolor="black [3213]" strokeweight="1pt">
                <v:stroke endarrow="block" joinstyle="miter"/>
              </v:shape>
            </w:pict>
          </mc:Fallback>
        </mc:AlternateContent>
      </w:r>
      <w:r w:rsidRPr="005516CD">
        <w:rPr>
          <w:rFonts w:asciiTheme="majorHAnsi" w:hAnsiTheme="majorHAnsi" w:cstheme="majorHAnsi"/>
          <w:noProof/>
          <w:sz w:val="20"/>
          <w:szCs w:val="20"/>
          <w:bdr w:val="nil"/>
          <w:lang w:val="en-US" w:eastAsia="en-US"/>
        </w:rPr>
        <mc:AlternateContent>
          <mc:Choice Requires="wps">
            <w:drawing>
              <wp:anchor distT="0" distB="0" distL="114300" distR="114300" simplePos="0" relativeHeight="251795456" behindDoc="0" locked="0" layoutInCell="1" allowOverlap="1" wp14:anchorId="05411A1C" wp14:editId="2D9348AA">
                <wp:simplePos x="0" y="0"/>
                <wp:positionH relativeFrom="column">
                  <wp:posOffset>3254446</wp:posOffset>
                </wp:positionH>
                <wp:positionV relativeFrom="paragraph">
                  <wp:posOffset>880951</wp:posOffset>
                </wp:positionV>
                <wp:extent cx="2053499" cy="442861"/>
                <wp:effectExtent l="0" t="476250" r="0" b="490855"/>
                <wp:wrapNone/>
                <wp:docPr id="31" name="Rectangle: Rounded Corners 31"/>
                <wp:cNvGraphicFramePr/>
                <a:graphic xmlns:a="http://schemas.openxmlformats.org/drawingml/2006/main">
                  <a:graphicData uri="http://schemas.microsoft.com/office/word/2010/wordprocessingShape">
                    <wps:wsp>
                      <wps:cNvSpPr/>
                      <wps:spPr>
                        <a:xfrm rot="1815038">
                          <a:off x="0" y="0"/>
                          <a:ext cx="2053499" cy="442861"/>
                        </a:xfrm>
                        <a:prstGeom prst="roundRect">
                          <a:avLst/>
                        </a:prstGeom>
                        <a:noFill/>
                        <a:ln w="28575" cap="flat">
                          <a:solidFill>
                            <a:schemeClr val="tx1"/>
                          </a:solidFill>
                          <a:prstDash val="solid"/>
                          <a:miter lim="8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45719" tIns="45719" rIns="45719" bIns="45719" numCol="1" spcCol="3810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A1060F5" id="Rectangle: Rounded Corners 31" o:spid="_x0000_s1026" style="position:absolute;margin-left:256.25pt;margin-top:69.35pt;width:161.7pt;height:34.85pt;rotation:1982506fd;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" filled="f" strokecolor="black [3213]" strokeweight="2.25pt">
                <v:stroke joinstyle="miter"/>
                <v:textbox inset="1.27mm,1.27mm,1.27mm,1.27mm"/>
              </v:roundrect>
            </w:pict>
          </mc:Fallback>
        </mc:AlternateContent>
      </w:r>
      <w:r w:rsidRPr="005516CD">
        <w:rPr>
          <w:rFonts w:asciiTheme="majorHAnsi" w:hAnsiTheme="majorHAnsi" w:cstheme="majorHAnsi"/>
          <w:noProof/>
          <w:sz w:val="20"/>
          <w:szCs w:val="20"/>
          <w:lang w:val="en-US" w:eastAsia="en-US"/>
        </w:rPr>
        <mc:AlternateContent>
          <mc:Choice Requires="wps">
            <w:drawing>
              <wp:anchor distT="45720" distB="45720" distL="114300" distR="114300" simplePos="0" relativeHeight="251793408" behindDoc="0" locked="0" layoutInCell="1" allowOverlap="1" wp14:anchorId="065766D8" wp14:editId="62113213">
                <wp:simplePos x="0" y="0"/>
                <wp:positionH relativeFrom="column">
                  <wp:posOffset>255905</wp:posOffset>
                </wp:positionH>
                <wp:positionV relativeFrom="paragraph">
                  <wp:posOffset>272288</wp:posOffset>
                </wp:positionV>
                <wp:extent cx="2011680" cy="2331720"/>
                <wp:effectExtent l="0" t="0" r="7620" b="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1680" cy="2331720"/>
                        </a:xfrm>
                        <a:prstGeom prst="rect">
                          <a:avLst/>
                        </a:prstGeom>
                        <a:solidFill>
                          <a:srgbClr val="FFFFFF"/>
                        </a:solidFill>
                        <a:ln w="9525">
                          <a:noFill/>
                          <a:miter lim="800000"/>
                          <a:headEnd/>
                          <a:tailEnd/>
                        </a:ln>
                      </wps:spPr>
                      <wps:txbx>
                        <w:txbxContent>
                          <w:p w14:paraId="5D6D4D75"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Dense agroforestry – yams and breadfruit</w:t>
                            </w:r>
                          </w:p>
                          <w:p w14:paraId="45416276"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Dense agroforestry – yams, bananas, breadfruit and avocados</w:t>
                            </w:r>
                          </w:p>
                          <w:p w14:paraId="786B245A"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Non-dense agroforestry, intensive yam production</w:t>
                            </w:r>
                          </w:p>
                          <w:p w14:paraId="415E8895"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Non-dense agroforestry, diverse crops</w:t>
                            </w:r>
                          </w:p>
                          <w:p w14:paraId="62AA8794"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Agroforestry – yam and cassava</w:t>
                            </w:r>
                          </w:p>
                          <w:p w14:paraId="43203599"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Agroforestry with beans</w:t>
                            </w:r>
                          </w:p>
                          <w:p w14:paraId="45B4F996"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Peanuts, maize and cassava</w:t>
                            </w:r>
                          </w:p>
                          <w:p w14:paraId="4AD7C283"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Beans and maize (hills)</w:t>
                            </w:r>
                          </w:p>
                          <w:p w14:paraId="524DFF52"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Beans and maize (deforested hills)</w:t>
                            </w:r>
                          </w:p>
                          <w:p w14:paraId="1548BD91"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Intensive rice</w:t>
                            </w:r>
                          </w:p>
                          <w:p w14:paraId="229D0FD0"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Rice and maize</w:t>
                            </w:r>
                          </w:p>
                          <w:p w14:paraId="7E745183"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Maize (spring and autumn) and sorghum</w:t>
                            </w:r>
                          </w:p>
                          <w:p w14:paraId="4F67FC36"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 xml:space="preserve">Maize, beans, sorghum and </w:t>
                            </w:r>
                            <w:r>
                              <w:rPr>
                                <w:rFonts w:asciiTheme="majorHAnsi" w:hAnsiTheme="majorHAnsi" w:cstheme="majorHAnsi"/>
                                <w:sz w:val="13"/>
                                <w:szCs w:val="13"/>
                              </w:rPr>
                              <w:t>pigeon</w:t>
                            </w:r>
                            <w:r w:rsidRPr="0053204B">
                              <w:rPr>
                                <w:rFonts w:asciiTheme="majorHAnsi" w:hAnsiTheme="majorHAnsi" w:cstheme="majorHAnsi"/>
                                <w:sz w:val="13"/>
                                <w:szCs w:val="13"/>
                              </w:rPr>
                              <w:t xml:space="preserve"> peas</w:t>
                            </w:r>
                          </w:p>
                          <w:p w14:paraId="63437390"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Maize, sorghum and congo peas (broadleaved forest)</w:t>
                            </w:r>
                          </w:p>
                          <w:p w14:paraId="2DB55440"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Intensive bananas</w:t>
                            </w:r>
                          </w:p>
                          <w:p w14:paraId="206DD52C"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CAS and bananas</w:t>
                            </w:r>
                          </w:p>
                          <w:p w14:paraId="3097BC1F"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Bananas and diverse rootcrops</w:t>
                            </w:r>
                          </w:p>
                          <w:p w14:paraId="4818C182"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Upland vegetables</w:t>
                            </w:r>
                          </w:p>
                          <w:p w14:paraId="78C486AB"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Dryland sorghum</w:t>
                            </w:r>
                          </w:p>
                          <w:p w14:paraId="266F4449"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Little agriculture</w:t>
                            </w:r>
                            <w:r>
                              <w:rPr>
                                <w:rFonts w:asciiTheme="majorHAnsi" w:hAnsiTheme="majorHAnsi" w:cstheme="majorHAnsi"/>
                                <w:sz w:val="13"/>
                                <w:szCs w:val="13"/>
                              </w:rPr>
                              <w:t>,</w:t>
                            </w:r>
                            <w:r w:rsidRPr="0053204B">
                              <w:rPr>
                                <w:rFonts w:asciiTheme="majorHAnsi" w:hAnsiTheme="majorHAnsi" w:cstheme="majorHAnsi"/>
                                <w:sz w:val="13"/>
                                <w:szCs w:val="13"/>
                              </w:rPr>
                              <w:t xml:space="preserve"> </w:t>
                            </w:r>
                            <w:r>
                              <w:rPr>
                                <w:rFonts w:asciiTheme="majorHAnsi" w:hAnsiTheme="majorHAnsi" w:cstheme="majorHAnsi"/>
                                <w:sz w:val="13"/>
                                <w:szCs w:val="13"/>
                              </w:rPr>
                              <w:t>pigeon</w:t>
                            </w:r>
                            <w:r w:rsidRPr="0053204B">
                              <w:rPr>
                                <w:rFonts w:asciiTheme="majorHAnsi" w:hAnsiTheme="majorHAnsi" w:cstheme="majorHAnsi"/>
                                <w:sz w:val="13"/>
                                <w:szCs w:val="13"/>
                              </w:rPr>
                              <w:t xml:space="preserve"> peas</w:t>
                            </w:r>
                          </w:p>
                          <w:p w14:paraId="159B693B"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Urban areas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5766D8" id="_x0000_s1028" type="#_x0000_t202" style="position:absolute;left:0;text-align:left;margin-left:20.15pt;margin-top:21.45pt;width:158.4pt;height:183.6pt;z-index:251793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" stroked="f">
                <v:textbox>
                  <w:txbxContent>
                    <w:p w14:paraId="5D6D4D75"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Dense agroforestry – yams and breadfruit</w:t>
                      </w:r>
                    </w:p>
                    <w:p w14:paraId="45416276"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Dense agroforestry – yams, bananas, breadfruit and avocados</w:t>
                      </w:r>
                    </w:p>
                    <w:p w14:paraId="786B245A"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Non-dense agroforestry, intensive yam production</w:t>
                      </w:r>
                    </w:p>
                    <w:p w14:paraId="415E8895"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Non-dense agroforestry, diverse crops</w:t>
                      </w:r>
                    </w:p>
                    <w:p w14:paraId="62AA8794"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Agroforestry – yam and cassava</w:t>
                      </w:r>
                    </w:p>
                    <w:p w14:paraId="43203599"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Agroforestry with beans</w:t>
                      </w:r>
                    </w:p>
                    <w:p w14:paraId="45B4F996"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Peanuts, maize and cassava</w:t>
                      </w:r>
                    </w:p>
                    <w:p w14:paraId="4AD7C283"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Beans and maize (hills)</w:t>
                      </w:r>
                    </w:p>
                    <w:p w14:paraId="524DFF52"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Beans and maize (deforested hills)</w:t>
                      </w:r>
                    </w:p>
                    <w:p w14:paraId="1548BD91"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Intensive rice</w:t>
                      </w:r>
                    </w:p>
                    <w:p w14:paraId="229D0FD0"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Rice and maize</w:t>
                      </w:r>
                    </w:p>
                    <w:p w14:paraId="7E745183"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Maize (spring and autumn) and sorghum</w:t>
                      </w:r>
                    </w:p>
                    <w:p w14:paraId="4F67FC36"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 xml:space="preserve">Maize, beans, sorghum and </w:t>
                      </w:r>
                      <w:r>
                        <w:rPr>
                          <w:rFonts w:asciiTheme="majorHAnsi" w:hAnsiTheme="majorHAnsi" w:cstheme="majorHAnsi"/>
                          <w:sz w:val="13"/>
                          <w:szCs w:val="13"/>
                        </w:rPr>
                        <w:t>pigeon</w:t>
                      </w:r>
                      <w:r w:rsidRPr="0053204B">
                        <w:rPr>
                          <w:rFonts w:asciiTheme="majorHAnsi" w:hAnsiTheme="majorHAnsi" w:cstheme="majorHAnsi"/>
                          <w:sz w:val="13"/>
                          <w:szCs w:val="13"/>
                        </w:rPr>
                        <w:t xml:space="preserve"> peas</w:t>
                      </w:r>
                    </w:p>
                    <w:p w14:paraId="63437390"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Maize, sorghum and congo peas (broadleaved forest)</w:t>
                      </w:r>
                    </w:p>
                    <w:p w14:paraId="2DB55440"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Intensive bananas</w:t>
                      </w:r>
                    </w:p>
                    <w:p w14:paraId="206DD52C"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CAS and bananas</w:t>
                      </w:r>
                    </w:p>
                    <w:p w14:paraId="3097BC1F"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Bananas and diverse rootcrops</w:t>
                      </w:r>
                    </w:p>
                    <w:p w14:paraId="4818C182"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Upland vegetables</w:t>
                      </w:r>
                    </w:p>
                    <w:p w14:paraId="78C486AB"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Dryland sorghum</w:t>
                      </w:r>
                    </w:p>
                    <w:p w14:paraId="266F4449"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Little agriculture</w:t>
                      </w:r>
                      <w:r>
                        <w:rPr>
                          <w:rFonts w:asciiTheme="majorHAnsi" w:hAnsiTheme="majorHAnsi" w:cstheme="majorHAnsi"/>
                          <w:sz w:val="13"/>
                          <w:szCs w:val="13"/>
                        </w:rPr>
                        <w:t>,</w:t>
                      </w:r>
                      <w:r w:rsidRPr="0053204B">
                        <w:rPr>
                          <w:rFonts w:asciiTheme="majorHAnsi" w:hAnsiTheme="majorHAnsi" w:cstheme="majorHAnsi"/>
                          <w:sz w:val="13"/>
                          <w:szCs w:val="13"/>
                        </w:rPr>
                        <w:t xml:space="preserve"> </w:t>
                      </w:r>
                      <w:r>
                        <w:rPr>
                          <w:rFonts w:asciiTheme="majorHAnsi" w:hAnsiTheme="majorHAnsi" w:cstheme="majorHAnsi"/>
                          <w:sz w:val="13"/>
                          <w:szCs w:val="13"/>
                        </w:rPr>
                        <w:t>pigeon</w:t>
                      </w:r>
                      <w:r w:rsidRPr="0053204B">
                        <w:rPr>
                          <w:rFonts w:asciiTheme="majorHAnsi" w:hAnsiTheme="majorHAnsi" w:cstheme="majorHAnsi"/>
                          <w:sz w:val="13"/>
                          <w:szCs w:val="13"/>
                        </w:rPr>
                        <w:t xml:space="preserve"> peas</w:t>
                      </w:r>
                    </w:p>
                    <w:p w14:paraId="159B693B" w14:textId="77777777" w:rsidR="00013DC5" w:rsidRPr="0053204B" w:rsidRDefault="00013DC5" w:rsidP="00AF2783">
                      <w:pPr>
                        <w:rPr>
                          <w:rFonts w:asciiTheme="majorHAnsi" w:hAnsiTheme="majorHAnsi" w:cstheme="majorHAnsi"/>
                          <w:sz w:val="13"/>
                          <w:szCs w:val="13"/>
                        </w:rPr>
                      </w:pPr>
                      <w:r w:rsidRPr="0053204B">
                        <w:rPr>
                          <w:rFonts w:asciiTheme="majorHAnsi" w:hAnsiTheme="majorHAnsi" w:cstheme="majorHAnsi"/>
                          <w:sz w:val="13"/>
                          <w:szCs w:val="13"/>
                        </w:rPr>
                        <w:t>Urban areas</w:t>
                      </w:r>
                    </w:p>
                  </w:txbxContent>
                </v:textbox>
              </v:shape>
            </w:pict>
          </mc:Fallback>
        </mc:AlternateContent>
      </w:r>
      <w:r w:rsidRPr="005516CD">
        <w:rPr>
          <w:rFonts w:asciiTheme="majorHAnsi" w:hAnsiTheme="majorHAnsi" w:cstheme="majorHAnsi"/>
          <w:noProof/>
          <w:sz w:val="20"/>
          <w:szCs w:val="20"/>
          <w:lang w:val="en-US" w:eastAsia="en-US"/>
        </w:rPr>
        <mc:AlternateContent>
          <mc:Choice Requires="wps">
            <w:drawing>
              <wp:anchor distT="45720" distB="45720" distL="114300" distR="114300" simplePos="0" relativeHeight="251794432" behindDoc="0" locked="0" layoutInCell="1" allowOverlap="1" wp14:anchorId="48BAF94A" wp14:editId="47FA656C">
                <wp:simplePos x="0" y="0"/>
                <wp:positionH relativeFrom="column">
                  <wp:posOffset>91440</wp:posOffset>
                </wp:positionH>
                <wp:positionV relativeFrom="paragraph">
                  <wp:posOffset>11303</wp:posOffset>
                </wp:positionV>
                <wp:extent cx="2724912" cy="265176"/>
                <wp:effectExtent l="0" t="0" r="0" b="190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912" cy="265176"/>
                        </a:xfrm>
                        <a:prstGeom prst="rect">
                          <a:avLst/>
                        </a:prstGeom>
                        <a:solidFill>
                          <a:srgbClr val="FFFFFF"/>
                        </a:solidFill>
                        <a:ln w="9525">
                          <a:noFill/>
                          <a:miter lim="800000"/>
                          <a:headEnd/>
                          <a:tailEnd/>
                        </a:ln>
                      </wps:spPr>
                      <wps:txbx>
                        <w:txbxContent>
                          <w:p w14:paraId="324809F1" w14:textId="77777777" w:rsidR="00013DC5" w:rsidRDefault="00013DC5" w:rsidP="00AF278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BAF94A" id="_x0000_s1029" type="#_x0000_t202" style="position:absolute;left:0;text-align:left;margin-left:7.2pt;margin-top:.9pt;width:214.55pt;height:20.9pt;z-index:251794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" stroked="f">
                <v:textbox>
                  <w:txbxContent>
                    <w:p w14:paraId="324809F1" w14:textId="77777777" w:rsidR="00013DC5" w:rsidRDefault="00013DC5" w:rsidP="00AF2783"/>
                  </w:txbxContent>
                </v:textbox>
              </v:shape>
            </w:pict>
          </mc:Fallback>
        </mc:AlternateContent>
      </w:r>
      <w:r w:rsidRPr="005516CD">
        <w:rPr>
          <w:rFonts w:asciiTheme="majorHAnsi" w:hAnsiTheme="majorHAnsi" w:cstheme="majorHAnsi"/>
          <w:noProof/>
          <w:sz w:val="20"/>
          <w:szCs w:val="20"/>
          <w:lang w:val="en-US" w:eastAsia="en-US"/>
        </w:rPr>
        <w:drawing>
          <wp:anchor distT="0" distB="0" distL="114300" distR="114300" simplePos="0" relativeHeight="251792384" behindDoc="0" locked="0" layoutInCell="1" allowOverlap="1" wp14:anchorId="6C11BC65" wp14:editId="7F755890">
            <wp:simplePos x="0" y="0"/>
            <wp:positionH relativeFrom="column">
              <wp:posOffset>63119</wp:posOffset>
            </wp:positionH>
            <wp:positionV relativeFrom="paragraph">
              <wp:posOffset>45720</wp:posOffset>
            </wp:positionV>
            <wp:extent cx="2126615" cy="2541338"/>
            <wp:effectExtent l="0" t="0" r="6985"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26615" cy="2541338"/>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noProof/>
          <w:sz w:val="20"/>
          <w:szCs w:val="20"/>
          <w:lang w:val="en-US" w:eastAsia="en-US"/>
        </w:rPr>
        <w:drawing>
          <wp:inline distT="0" distB="0" distL="0" distR="0" wp14:anchorId="53D37F7A" wp14:editId="73CE4C33">
            <wp:extent cx="5270601" cy="3766413"/>
            <wp:effectExtent l="0" t="0" r="635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04079" cy="3790336"/>
                    </a:xfrm>
                    <a:prstGeom prst="rect">
                      <a:avLst/>
                    </a:prstGeom>
                    <a:noFill/>
                    <a:ln>
                      <a:noFill/>
                    </a:ln>
                  </pic:spPr>
                </pic:pic>
              </a:graphicData>
            </a:graphic>
          </wp:inline>
        </w:drawing>
      </w:r>
      <w:r w:rsidRPr="005516CD">
        <w:rPr>
          <w:rFonts w:asciiTheme="majorHAnsi" w:hAnsiTheme="majorHAnsi" w:cstheme="majorHAnsi"/>
          <w:sz w:val="20"/>
          <w:szCs w:val="20"/>
        </w:rPr>
        <w:t xml:space="preserve"> </w:t>
      </w:r>
    </w:p>
    <w:p w14:paraId="3520F1BF" w14:textId="77777777" w:rsidR="00E63058" w:rsidRPr="005516CD" w:rsidRDefault="0068674E"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principal crops encountered in these systems are as follows:</w:t>
      </w:r>
    </w:p>
    <w:p w14:paraId="4BE6FD89" w14:textId="77777777" w:rsidR="00E63058" w:rsidRPr="005516CD" w:rsidRDefault="0068674E" w:rsidP="006B27F4">
      <w:pPr>
        <w:pStyle w:val="ListParagraph"/>
        <w:numPr>
          <w:ilvl w:val="0"/>
          <w:numId w:val="97"/>
        </w:numP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Legumes </w:t>
      </w:r>
      <w:r w:rsidR="00E63058" w:rsidRPr="005516CD">
        <w:rPr>
          <w:rFonts w:asciiTheme="majorHAnsi" w:hAnsiTheme="majorHAnsi" w:cstheme="majorHAnsi"/>
          <w:color w:val="auto"/>
          <w:sz w:val="20"/>
          <w:szCs w:val="20"/>
        </w:rPr>
        <w:t>(</w:t>
      </w:r>
      <w:r w:rsidRPr="005516CD">
        <w:rPr>
          <w:rFonts w:asciiTheme="majorHAnsi" w:hAnsiTheme="majorHAnsi" w:cstheme="majorHAnsi"/>
          <w:color w:val="auto"/>
          <w:sz w:val="20"/>
          <w:szCs w:val="20"/>
        </w:rPr>
        <w:t xml:space="preserve">beans, Angola peas, </w:t>
      </w:r>
      <w:proofErr w:type="spellStart"/>
      <w:r w:rsidR="00E63058" w:rsidRPr="005516CD">
        <w:rPr>
          <w:rFonts w:asciiTheme="majorHAnsi" w:hAnsiTheme="majorHAnsi" w:cstheme="majorHAnsi"/>
          <w:color w:val="auto"/>
          <w:sz w:val="20"/>
          <w:szCs w:val="20"/>
        </w:rPr>
        <w:t>vigna</w:t>
      </w:r>
      <w:proofErr w:type="spellEnd"/>
      <w:r w:rsidR="00E63058" w:rsidRPr="005516CD">
        <w:rPr>
          <w:rFonts w:asciiTheme="majorHAnsi" w:hAnsiTheme="majorHAnsi" w:cstheme="majorHAnsi"/>
          <w:color w:val="auto"/>
          <w:sz w:val="20"/>
          <w:szCs w:val="20"/>
        </w:rPr>
        <w:t xml:space="preserve">, </w:t>
      </w:r>
      <w:r w:rsidR="007E55C5" w:rsidRPr="005516CD">
        <w:rPr>
          <w:rFonts w:asciiTheme="majorHAnsi" w:hAnsiTheme="majorHAnsi" w:cstheme="majorHAnsi"/>
          <w:color w:val="auto"/>
          <w:sz w:val="20"/>
          <w:szCs w:val="20"/>
        </w:rPr>
        <w:t>peanuts</w:t>
      </w:r>
      <w:r w:rsidR="00E63058" w:rsidRPr="005516CD">
        <w:rPr>
          <w:rFonts w:asciiTheme="majorHAnsi" w:hAnsiTheme="majorHAnsi" w:cstheme="majorHAnsi"/>
          <w:color w:val="auto"/>
          <w:sz w:val="20"/>
          <w:szCs w:val="20"/>
        </w:rPr>
        <w:t>);</w:t>
      </w:r>
    </w:p>
    <w:p w14:paraId="77993FBE" w14:textId="77777777" w:rsidR="007E55C5" w:rsidRPr="005516CD" w:rsidRDefault="007E55C5" w:rsidP="006B27F4">
      <w:pPr>
        <w:pStyle w:val="ListParagraph"/>
        <w:numPr>
          <w:ilvl w:val="0"/>
          <w:numId w:val="97"/>
        </w:numP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Cereals (rice, maize, sorghum)</w:t>
      </w:r>
    </w:p>
    <w:p w14:paraId="4D2F4718" w14:textId="77777777" w:rsidR="007E55C5" w:rsidRPr="005516CD" w:rsidRDefault="007E55C5" w:rsidP="006B27F4">
      <w:pPr>
        <w:pStyle w:val="ListParagraph"/>
        <w:numPr>
          <w:ilvl w:val="0"/>
          <w:numId w:val="97"/>
        </w:numPr>
        <w:spacing w:after="120"/>
        <w:contextualSpacing/>
        <w:jc w:val="both"/>
        <w:rPr>
          <w:rFonts w:asciiTheme="majorHAnsi" w:hAnsiTheme="majorHAnsi" w:cstheme="majorHAnsi"/>
          <w:color w:val="auto"/>
          <w:sz w:val="20"/>
          <w:szCs w:val="20"/>
          <w:lang w:val="pt-BR"/>
        </w:rPr>
      </w:pPr>
      <w:r w:rsidRPr="005516CD">
        <w:rPr>
          <w:rFonts w:asciiTheme="majorHAnsi" w:hAnsiTheme="majorHAnsi" w:cstheme="majorHAnsi"/>
          <w:color w:val="auto"/>
          <w:sz w:val="20"/>
          <w:szCs w:val="20"/>
          <w:lang w:val="pt-BR"/>
        </w:rPr>
        <w:t>Rootcrops (yam, cassava, taro, sweet potato)</w:t>
      </w:r>
    </w:p>
    <w:p w14:paraId="29C7534A" w14:textId="77777777" w:rsidR="007E55C5" w:rsidRPr="005516CD" w:rsidRDefault="007E55C5" w:rsidP="006B27F4">
      <w:pPr>
        <w:pStyle w:val="ListParagraph"/>
        <w:numPr>
          <w:ilvl w:val="0"/>
          <w:numId w:val="97"/>
        </w:numP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Vegetables (onions, carrots, peppers, beetroot, </w:t>
      </w:r>
      <w:proofErr w:type="spellStart"/>
      <w:r w:rsidRPr="005516CD">
        <w:rPr>
          <w:rFonts w:asciiTheme="majorHAnsi" w:hAnsiTheme="majorHAnsi" w:cstheme="majorHAnsi"/>
          <w:color w:val="auto"/>
          <w:sz w:val="20"/>
          <w:szCs w:val="20"/>
        </w:rPr>
        <w:t>gombo</w:t>
      </w:r>
      <w:proofErr w:type="spellEnd"/>
      <w:r w:rsidRPr="005516CD">
        <w:rPr>
          <w:rFonts w:asciiTheme="majorHAnsi" w:hAnsiTheme="majorHAnsi" w:cstheme="majorHAnsi"/>
          <w:color w:val="auto"/>
          <w:sz w:val="20"/>
          <w:szCs w:val="20"/>
        </w:rPr>
        <w:t xml:space="preserve"> (okra)</w:t>
      </w:r>
    </w:p>
    <w:p w14:paraId="5ED3031D" w14:textId="77777777" w:rsidR="007E55C5" w:rsidRPr="005516CD" w:rsidRDefault="007E55C5" w:rsidP="006B27F4">
      <w:pPr>
        <w:pStyle w:val="ListParagraph"/>
        <w:numPr>
          <w:ilvl w:val="0"/>
          <w:numId w:val="97"/>
        </w:numPr>
        <w:spacing w:after="120"/>
        <w:contextualSpacing/>
        <w:jc w:val="both"/>
        <w:rPr>
          <w:rFonts w:asciiTheme="majorHAnsi" w:hAnsiTheme="majorHAnsi" w:cstheme="majorHAnsi"/>
          <w:color w:val="auto"/>
          <w:sz w:val="20"/>
          <w:szCs w:val="20"/>
          <w:lang w:val="fr-FR"/>
        </w:rPr>
      </w:pPr>
      <w:r w:rsidRPr="005516CD">
        <w:rPr>
          <w:rFonts w:asciiTheme="majorHAnsi" w:hAnsiTheme="majorHAnsi" w:cstheme="majorHAnsi"/>
          <w:color w:val="auto"/>
          <w:sz w:val="20"/>
          <w:szCs w:val="20"/>
          <w:lang w:val="fr-FR"/>
        </w:rPr>
        <w:t xml:space="preserve">Fruits (bananas, </w:t>
      </w:r>
      <w:proofErr w:type="spellStart"/>
      <w:r w:rsidRPr="005516CD">
        <w:rPr>
          <w:rFonts w:asciiTheme="majorHAnsi" w:hAnsiTheme="majorHAnsi" w:cstheme="majorHAnsi"/>
          <w:color w:val="auto"/>
          <w:sz w:val="20"/>
          <w:szCs w:val="20"/>
          <w:lang w:val="fr-FR"/>
        </w:rPr>
        <w:t>avocados</w:t>
      </w:r>
      <w:proofErr w:type="spellEnd"/>
      <w:r w:rsidRPr="005516CD">
        <w:rPr>
          <w:rFonts w:asciiTheme="majorHAnsi" w:hAnsiTheme="majorHAnsi" w:cstheme="majorHAnsi"/>
          <w:color w:val="auto"/>
          <w:sz w:val="20"/>
          <w:szCs w:val="20"/>
          <w:lang w:val="fr-FR"/>
        </w:rPr>
        <w:t xml:space="preserve">, </w:t>
      </w:r>
      <w:proofErr w:type="spellStart"/>
      <w:r w:rsidRPr="005516CD">
        <w:rPr>
          <w:rFonts w:asciiTheme="majorHAnsi" w:hAnsiTheme="majorHAnsi" w:cstheme="majorHAnsi"/>
          <w:color w:val="auto"/>
          <w:sz w:val="20"/>
          <w:szCs w:val="20"/>
          <w:lang w:val="fr-FR"/>
        </w:rPr>
        <w:t>mangos</w:t>
      </w:r>
      <w:proofErr w:type="spellEnd"/>
      <w:r w:rsidRPr="005516CD">
        <w:rPr>
          <w:rFonts w:asciiTheme="majorHAnsi" w:hAnsiTheme="majorHAnsi" w:cstheme="majorHAnsi"/>
          <w:color w:val="auto"/>
          <w:sz w:val="20"/>
          <w:szCs w:val="20"/>
          <w:lang w:val="fr-FR"/>
        </w:rPr>
        <w:t>, cashew, citrus, etc.)</w:t>
      </w:r>
    </w:p>
    <w:p w14:paraId="602B6971" w14:textId="77777777" w:rsidR="00E63058" w:rsidRPr="005516CD" w:rsidRDefault="007E55C5" w:rsidP="006B27F4">
      <w:pPr>
        <w:pStyle w:val="ListParagraph"/>
        <w:numPr>
          <w:ilvl w:val="0"/>
          <w:numId w:val="97"/>
        </w:numP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Tree crops (cacao and coffee)</w:t>
      </w:r>
    </w:p>
    <w:p w14:paraId="7C790231" w14:textId="77777777" w:rsidR="00E63058" w:rsidRPr="005516CD" w:rsidRDefault="007E55C5" w:rsidP="006B27F4">
      <w:pPr>
        <w:pStyle w:val="ListParagraph"/>
        <w:numPr>
          <w:ilvl w:val="0"/>
          <w:numId w:val="97"/>
        </w:numP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Ginger</w:t>
      </w:r>
    </w:p>
    <w:p w14:paraId="49561274" w14:textId="77777777" w:rsidR="007E55C5" w:rsidRPr="005516CD" w:rsidRDefault="007E55C5" w:rsidP="006B27F4">
      <w:pPr>
        <w:pStyle w:val="ListParagraph"/>
        <w:numPr>
          <w:ilvl w:val="0"/>
          <w:numId w:val="97"/>
        </w:numPr>
        <w:spacing w:after="120"/>
        <w:ind w:left="714" w:hanging="357"/>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Pine forests with intercropped vegetables.</w:t>
      </w:r>
    </w:p>
    <w:p w14:paraId="060EC157" w14:textId="77777777" w:rsidR="00E63058" w:rsidRPr="005516CD" w:rsidRDefault="007E55C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Livestock are encountered in all farming systems: the most common types are cattle, goats, horses, sheep, donkeys and poultry. </w:t>
      </w:r>
    </w:p>
    <w:p w14:paraId="7F1BC7DF" w14:textId="77777777" w:rsidR="00E63058" w:rsidRPr="005516CD" w:rsidRDefault="007E55C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2E74B5" w:themeColor="accent1" w:themeShade="BF"/>
          <w:sz w:val="20"/>
          <w:szCs w:val="20"/>
        </w:rPr>
      </w:pPr>
      <w:r w:rsidRPr="005516CD">
        <w:rPr>
          <w:rFonts w:asciiTheme="majorHAnsi" w:hAnsiTheme="majorHAnsi" w:cstheme="majorHAnsi"/>
          <w:sz w:val="20"/>
          <w:szCs w:val="20"/>
        </w:rPr>
        <w:t>Ginger is becoming increasingly important, and progressively replacing coffee and cacao in many agroforestry systems</w:t>
      </w:r>
      <w:r w:rsidR="00E15C89" w:rsidRPr="005516CD">
        <w:rPr>
          <w:rFonts w:asciiTheme="majorHAnsi" w:hAnsiTheme="majorHAnsi" w:cstheme="majorHAnsi"/>
          <w:sz w:val="20"/>
          <w:szCs w:val="20"/>
        </w:rPr>
        <w:t xml:space="preserve">, for example in Carice, </w:t>
      </w:r>
      <w:proofErr w:type="spellStart"/>
      <w:r w:rsidR="00E15C89" w:rsidRPr="005516CD">
        <w:rPr>
          <w:rFonts w:asciiTheme="majorHAnsi" w:hAnsiTheme="majorHAnsi" w:cstheme="majorHAnsi"/>
          <w:sz w:val="20"/>
          <w:szCs w:val="20"/>
        </w:rPr>
        <w:t>Bois</w:t>
      </w:r>
      <w:proofErr w:type="spellEnd"/>
      <w:r w:rsidR="00E15C89" w:rsidRPr="005516CD">
        <w:rPr>
          <w:rFonts w:asciiTheme="majorHAnsi" w:hAnsiTheme="majorHAnsi" w:cstheme="majorHAnsi"/>
          <w:sz w:val="20"/>
          <w:szCs w:val="20"/>
        </w:rPr>
        <w:t xml:space="preserve"> de Laurence, </w:t>
      </w:r>
      <w:proofErr w:type="spellStart"/>
      <w:r w:rsidR="00E15C89" w:rsidRPr="005516CD">
        <w:rPr>
          <w:rFonts w:asciiTheme="majorHAnsi" w:hAnsiTheme="majorHAnsi" w:cstheme="majorHAnsi"/>
          <w:sz w:val="20"/>
          <w:szCs w:val="20"/>
        </w:rPr>
        <w:t>Mombin</w:t>
      </w:r>
      <w:proofErr w:type="spellEnd"/>
      <w:r w:rsidR="00E15C89" w:rsidRPr="005516CD">
        <w:rPr>
          <w:rFonts w:asciiTheme="majorHAnsi" w:hAnsiTheme="majorHAnsi" w:cstheme="majorHAnsi"/>
          <w:sz w:val="20"/>
          <w:szCs w:val="20"/>
        </w:rPr>
        <w:t>-Crochu and in particular in Mont-</w:t>
      </w:r>
      <w:proofErr w:type="spellStart"/>
      <w:r w:rsidR="00E15C89" w:rsidRPr="005516CD">
        <w:rPr>
          <w:rFonts w:asciiTheme="majorHAnsi" w:hAnsiTheme="majorHAnsi" w:cstheme="majorHAnsi"/>
          <w:sz w:val="20"/>
          <w:szCs w:val="20"/>
        </w:rPr>
        <w:t>Organisé</w:t>
      </w:r>
      <w:proofErr w:type="spellEnd"/>
      <w:r w:rsidR="00E15C89" w:rsidRPr="005516CD">
        <w:rPr>
          <w:rFonts w:asciiTheme="majorHAnsi" w:hAnsiTheme="majorHAnsi" w:cstheme="majorHAnsi"/>
          <w:sz w:val="20"/>
          <w:szCs w:val="20"/>
        </w:rPr>
        <w:t xml:space="preserve">; at least 25% of the wooded area in these locations are planted with ginger in agroforestry systems. Ginger is less demanding of labour than coffee or cacao (one weeding per year) and is more resistant to insects and fungi, and so requires lower levels of financial investment. Prices (at least USD 69 per 25kg bag) and market access are currently very favourable. </w:t>
      </w:r>
    </w:p>
    <w:p w14:paraId="67CFA8BA" w14:textId="77777777" w:rsidR="00D96039" w:rsidRPr="005516CD" w:rsidRDefault="00D9603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Average farm size in the North Department is 1.61 ha. </w:t>
      </w:r>
      <w:r w:rsidR="006D3404" w:rsidRPr="005516CD">
        <w:rPr>
          <w:rFonts w:asciiTheme="majorHAnsi" w:hAnsiTheme="majorHAnsi" w:cstheme="majorHAnsi"/>
          <w:sz w:val="20"/>
          <w:szCs w:val="20"/>
        </w:rPr>
        <w:t xml:space="preserve">In the North-East Department, farm size decreases progressively as one moves from </w:t>
      </w:r>
      <w:r w:rsidRPr="005516CD">
        <w:rPr>
          <w:rFonts w:asciiTheme="majorHAnsi" w:hAnsiTheme="majorHAnsi" w:cstheme="majorHAnsi"/>
          <w:sz w:val="20"/>
          <w:szCs w:val="20"/>
        </w:rPr>
        <w:t xml:space="preserve">Carice </w:t>
      </w:r>
      <w:r w:rsidR="006D3404" w:rsidRPr="005516CD">
        <w:rPr>
          <w:rFonts w:asciiTheme="majorHAnsi" w:hAnsiTheme="majorHAnsi" w:cstheme="majorHAnsi"/>
          <w:sz w:val="20"/>
          <w:szCs w:val="20"/>
        </w:rPr>
        <w:t xml:space="preserve">to </w:t>
      </w:r>
      <w:r w:rsidRPr="005516CD">
        <w:rPr>
          <w:rFonts w:asciiTheme="majorHAnsi" w:hAnsiTheme="majorHAnsi" w:cstheme="majorHAnsi"/>
          <w:sz w:val="20"/>
          <w:szCs w:val="20"/>
        </w:rPr>
        <w:t xml:space="preserve">Bas </w:t>
      </w:r>
      <w:proofErr w:type="spellStart"/>
      <w:r w:rsidRPr="005516CD">
        <w:rPr>
          <w:rFonts w:asciiTheme="majorHAnsi" w:hAnsiTheme="majorHAnsi" w:cstheme="majorHAnsi"/>
          <w:sz w:val="20"/>
          <w:szCs w:val="20"/>
        </w:rPr>
        <w:t>Maribahoux</w:t>
      </w:r>
      <w:proofErr w:type="spellEnd"/>
      <w:r w:rsidR="006D3404" w:rsidRPr="005516CD">
        <w:rPr>
          <w:rFonts w:asciiTheme="majorHAnsi" w:hAnsiTheme="majorHAnsi" w:cstheme="majorHAnsi"/>
          <w:sz w:val="20"/>
          <w:szCs w:val="20"/>
        </w:rPr>
        <w:t xml:space="preserve">, passing through </w:t>
      </w:r>
      <w:r w:rsidRPr="005516CD">
        <w:rPr>
          <w:rFonts w:asciiTheme="majorHAnsi" w:hAnsiTheme="majorHAnsi" w:cstheme="majorHAnsi"/>
          <w:sz w:val="20"/>
          <w:szCs w:val="20"/>
        </w:rPr>
        <w:t xml:space="preserve">Mont </w:t>
      </w:r>
      <w:proofErr w:type="spellStart"/>
      <w:r w:rsidRPr="005516CD">
        <w:rPr>
          <w:rFonts w:asciiTheme="majorHAnsi" w:hAnsiTheme="majorHAnsi" w:cstheme="majorHAnsi"/>
          <w:sz w:val="20"/>
          <w:szCs w:val="20"/>
        </w:rPr>
        <w:t>Organisé</w:t>
      </w:r>
      <w:proofErr w:type="spellEnd"/>
      <w:r w:rsidRPr="005516CD">
        <w:rPr>
          <w:rFonts w:asciiTheme="majorHAnsi" w:hAnsiTheme="majorHAnsi" w:cstheme="majorHAnsi"/>
          <w:sz w:val="20"/>
          <w:szCs w:val="20"/>
        </w:rPr>
        <w:t xml:space="preserve"> </w:t>
      </w:r>
      <w:r w:rsidR="006D3404" w:rsidRPr="005516CD">
        <w:rPr>
          <w:rFonts w:asciiTheme="majorHAnsi" w:hAnsiTheme="majorHAnsi" w:cstheme="majorHAnsi"/>
          <w:sz w:val="20"/>
          <w:szCs w:val="20"/>
        </w:rPr>
        <w:t xml:space="preserve">and </w:t>
      </w:r>
      <w:proofErr w:type="spellStart"/>
      <w:r w:rsidRPr="005516CD">
        <w:rPr>
          <w:rFonts w:asciiTheme="majorHAnsi" w:hAnsiTheme="majorHAnsi" w:cstheme="majorHAnsi"/>
          <w:sz w:val="20"/>
          <w:szCs w:val="20"/>
        </w:rPr>
        <w:t>Haut</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Maribahoux</w:t>
      </w:r>
      <w:proofErr w:type="spellEnd"/>
      <w:r w:rsidRPr="005516CD">
        <w:rPr>
          <w:rFonts w:asciiTheme="majorHAnsi" w:hAnsiTheme="majorHAnsi" w:cstheme="majorHAnsi"/>
          <w:sz w:val="20"/>
          <w:szCs w:val="20"/>
        </w:rPr>
        <w:t xml:space="preserve">. Carice </w:t>
      </w:r>
      <w:r w:rsidR="006D3404" w:rsidRPr="005516CD">
        <w:rPr>
          <w:rFonts w:asciiTheme="majorHAnsi" w:hAnsiTheme="majorHAnsi" w:cstheme="majorHAnsi"/>
          <w:sz w:val="20"/>
          <w:szCs w:val="20"/>
        </w:rPr>
        <w:t xml:space="preserve">has the highest average size, at </w:t>
      </w:r>
      <w:r w:rsidRPr="005516CD">
        <w:rPr>
          <w:rFonts w:asciiTheme="majorHAnsi" w:hAnsiTheme="majorHAnsi" w:cstheme="majorHAnsi"/>
          <w:sz w:val="20"/>
          <w:szCs w:val="20"/>
        </w:rPr>
        <w:t>2.76 ha</w:t>
      </w:r>
      <w:r w:rsidR="006D3404" w:rsidRPr="005516CD">
        <w:rPr>
          <w:rFonts w:asciiTheme="majorHAnsi" w:hAnsiTheme="majorHAnsi" w:cstheme="majorHAnsi"/>
          <w:sz w:val="20"/>
          <w:szCs w:val="20"/>
        </w:rPr>
        <w:t xml:space="preserve">, while in </w:t>
      </w:r>
      <w:r w:rsidRPr="005516CD">
        <w:rPr>
          <w:rFonts w:asciiTheme="majorHAnsi" w:hAnsiTheme="majorHAnsi" w:cstheme="majorHAnsi"/>
          <w:sz w:val="20"/>
          <w:szCs w:val="20"/>
        </w:rPr>
        <w:t xml:space="preserve">Bas </w:t>
      </w:r>
      <w:proofErr w:type="spellStart"/>
      <w:r w:rsidRPr="005516CD">
        <w:rPr>
          <w:rFonts w:asciiTheme="majorHAnsi" w:hAnsiTheme="majorHAnsi" w:cstheme="majorHAnsi"/>
          <w:sz w:val="20"/>
          <w:szCs w:val="20"/>
        </w:rPr>
        <w:t>Maribahoux</w:t>
      </w:r>
      <w:proofErr w:type="spellEnd"/>
      <w:r w:rsidRPr="005516CD">
        <w:rPr>
          <w:rFonts w:asciiTheme="majorHAnsi" w:hAnsiTheme="majorHAnsi" w:cstheme="majorHAnsi"/>
          <w:sz w:val="20"/>
          <w:szCs w:val="20"/>
        </w:rPr>
        <w:t xml:space="preserve"> </w:t>
      </w:r>
      <w:r w:rsidR="006D3404" w:rsidRPr="005516CD">
        <w:rPr>
          <w:rFonts w:asciiTheme="majorHAnsi" w:hAnsiTheme="majorHAnsi" w:cstheme="majorHAnsi"/>
          <w:sz w:val="20"/>
          <w:szCs w:val="20"/>
        </w:rPr>
        <w:t xml:space="preserve">farms are typically around </w:t>
      </w:r>
      <w:r w:rsidRPr="005516CD">
        <w:rPr>
          <w:rFonts w:asciiTheme="majorHAnsi" w:hAnsiTheme="majorHAnsi" w:cstheme="majorHAnsi"/>
          <w:sz w:val="20"/>
          <w:szCs w:val="20"/>
        </w:rPr>
        <w:t>1.10 ha</w:t>
      </w:r>
      <w:r w:rsidR="00357769" w:rsidRPr="005516CD">
        <w:rPr>
          <w:rFonts w:asciiTheme="majorHAnsi" w:hAnsiTheme="majorHAnsi" w:cstheme="majorHAnsi"/>
          <w:sz w:val="20"/>
          <w:szCs w:val="20"/>
        </w:rPr>
        <w:t xml:space="preserve"> and those in </w:t>
      </w:r>
      <w:r w:rsidRPr="005516CD">
        <w:rPr>
          <w:rFonts w:asciiTheme="majorHAnsi" w:hAnsiTheme="majorHAnsi" w:cstheme="majorHAnsi"/>
          <w:sz w:val="20"/>
          <w:szCs w:val="20"/>
        </w:rPr>
        <w:t xml:space="preserve">Mont </w:t>
      </w:r>
      <w:proofErr w:type="spellStart"/>
      <w:r w:rsidRPr="005516CD">
        <w:rPr>
          <w:rFonts w:asciiTheme="majorHAnsi" w:hAnsiTheme="majorHAnsi" w:cstheme="majorHAnsi"/>
          <w:sz w:val="20"/>
          <w:szCs w:val="20"/>
        </w:rPr>
        <w:t>Organisé</w:t>
      </w:r>
      <w:proofErr w:type="spellEnd"/>
      <w:r w:rsidRPr="005516CD">
        <w:rPr>
          <w:rFonts w:asciiTheme="majorHAnsi" w:hAnsiTheme="majorHAnsi" w:cstheme="majorHAnsi"/>
          <w:sz w:val="20"/>
          <w:szCs w:val="20"/>
        </w:rPr>
        <w:t xml:space="preserve"> </w:t>
      </w:r>
      <w:r w:rsidR="00357769" w:rsidRPr="005516CD">
        <w:rPr>
          <w:rFonts w:asciiTheme="majorHAnsi" w:hAnsiTheme="majorHAnsi" w:cstheme="majorHAnsi"/>
          <w:sz w:val="20"/>
          <w:szCs w:val="20"/>
        </w:rPr>
        <w:t xml:space="preserve">and </w:t>
      </w:r>
      <w:proofErr w:type="spellStart"/>
      <w:r w:rsidRPr="005516CD">
        <w:rPr>
          <w:rFonts w:asciiTheme="majorHAnsi" w:hAnsiTheme="majorHAnsi" w:cstheme="majorHAnsi"/>
          <w:sz w:val="20"/>
          <w:szCs w:val="20"/>
        </w:rPr>
        <w:t>Haut</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Maribahoux</w:t>
      </w:r>
      <w:proofErr w:type="spellEnd"/>
      <w:r w:rsidRPr="005516CD">
        <w:rPr>
          <w:rFonts w:asciiTheme="majorHAnsi" w:hAnsiTheme="majorHAnsi" w:cstheme="majorHAnsi"/>
          <w:sz w:val="20"/>
          <w:szCs w:val="20"/>
        </w:rPr>
        <w:t xml:space="preserve"> </w:t>
      </w:r>
      <w:r w:rsidR="00357769" w:rsidRPr="005516CD">
        <w:rPr>
          <w:rFonts w:asciiTheme="majorHAnsi" w:hAnsiTheme="majorHAnsi" w:cstheme="majorHAnsi"/>
          <w:sz w:val="20"/>
          <w:szCs w:val="20"/>
        </w:rPr>
        <w:t xml:space="preserve">are similar, at around </w:t>
      </w:r>
      <w:r w:rsidRPr="005516CD">
        <w:rPr>
          <w:rFonts w:asciiTheme="majorHAnsi" w:hAnsiTheme="majorHAnsi" w:cstheme="majorHAnsi"/>
          <w:sz w:val="20"/>
          <w:szCs w:val="20"/>
        </w:rPr>
        <w:t>1.91 ha (MARNDR, 2012).</w:t>
      </w:r>
    </w:p>
    <w:p w14:paraId="2488C502" w14:textId="77777777" w:rsidR="00E63058" w:rsidRPr="005516CD" w:rsidRDefault="00E15C89" w:rsidP="00AE4ED0">
      <w:pPr>
        <w:pStyle w:val="Heading7"/>
        <w:keepNext/>
        <w:spacing w:before="0"/>
        <w:ind w:left="0"/>
        <w:rPr>
          <w:rFonts w:asciiTheme="majorHAnsi" w:hAnsiTheme="majorHAnsi" w:cstheme="majorHAnsi"/>
          <w:i/>
        </w:rPr>
      </w:pPr>
      <w:r w:rsidRPr="005516CD">
        <w:rPr>
          <w:rFonts w:asciiTheme="majorHAnsi" w:hAnsiTheme="majorHAnsi" w:cstheme="majorHAnsi"/>
          <w:i/>
        </w:rPr>
        <w:t>C</w:t>
      </w:r>
      <w:r w:rsidR="004C6B45" w:rsidRPr="005516CD">
        <w:rPr>
          <w:rFonts w:asciiTheme="majorHAnsi" w:hAnsiTheme="majorHAnsi" w:cstheme="majorHAnsi"/>
          <w:i/>
        </w:rPr>
        <w:t>a</w:t>
      </w:r>
      <w:r w:rsidR="00057CE8" w:rsidRPr="005516CD">
        <w:rPr>
          <w:rFonts w:asciiTheme="majorHAnsi" w:hAnsiTheme="majorHAnsi" w:cstheme="majorHAnsi"/>
          <w:i/>
        </w:rPr>
        <w:t>c</w:t>
      </w:r>
      <w:r w:rsidR="004C6B45" w:rsidRPr="005516CD">
        <w:rPr>
          <w:rFonts w:asciiTheme="majorHAnsi" w:hAnsiTheme="majorHAnsi" w:cstheme="majorHAnsi"/>
          <w:i/>
        </w:rPr>
        <w:t>a</w:t>
      </w:r>
      <w:r w:rsidR="00057CE8" w:rsidRPr="005516CD">
        <w:rPr>
          <w:rFonts w:asciiTheme="majorHAnsi" w:hAnsiTheme="majorHAnsi" w:cstheme="majorHAnsi"/>
          <w:i/>
        </w:rPr>
        <w:t>o</w:t>
      </w:r>
      <w:r w:rsidRPr="005516CD">
        <w:rPr>
          <w:rFonts w:asciiTheme="majorHAnsi" w:hAnsiTheme="majorHAnsi" w:cstheme="majorHAnsi"/>
          <w:i/>
        </w:rPr>
        <w:t xml:space="preserve"> </w:t>
      </w:r>
    </w:p>
    <w:p w14:paraId="2DFAA49C" w14:textId="77777777" w:rsidR="00057CE8" w:rsidRPr="005516CD" w:rsidRDefault="00357769" w:rsidP="00644EA0">
      <w:pPr>
        <w:spacing w:after="120"/>
        <w:jc w:val="both"/>
        <w:rPr>
          <w:rFonts w:asciiTheme="majorHAnsi" w:hAnsiTheme="majorHAnsi" w:cstheme="majorHAnsi"/>
          <w:sz w:val="20"/>
          <w:szCs w:val="20"/>
        </w:rPr>
      </w:pPr>
      <w:r w:rsidRPr="005516CD">
        <w:rPr>
          <w:rFonts w:asciiTheme="majorHAnsi" w:hAnsiTheme="majorHAnsi" w:cstheme="majorHAnsi"/>
          <w:sz w:val="20"/>
          <w:szCs w:val="20"/>
        </w:rPr>
        <w:t xml:space="preserve">There are an estimated 25,000 cocoa farmers in the country, with around 10,000 intermediaries and processers and 4 exporters. </w:t>
      </w:r>
      <w:r w:rsidR="00057CE8" w:rsidRPr="005516CD">
        <w:rPr>
          <w:rFonts w:asciiTheme="majorHAnsi" w:hAnsiTheme="majorHAnsi" w:cstheme="majorHAnsi"/>
          <w:sz w:val="20"/>
          <w:szCs w:val="20"/>
        </w:rPr>
        <w:t>The principal cacao production areas in Haiti are the north and the south-west</w:t>
      </w:r>
      <w:r w:rsidR="00644EA0" w:rsidRPr="005516CD">
        <w:rPr>
          <w:rFonts w:asciiTheme="majorHAnsi" w:hAnsiTheme="majorHAnsi" w:cstheme="majorHAnsi"/>
          <w:sz w:val="20"/>
          <w:szCs w:val="20"/>
        </w:rPr>
        <w:t>,</w:t>
      </w:r>
      <w:r w:rsidR="00057CE8" w:rsidRPr="005516CD">
        <w:rPr>
          <w:rFonts w:asciiTheme="majorHAnsi" w:hAnsiTheme="majorHAnsi" w:cstheme="majorHAnsi"/>
          <w:sz w:val="20"/>
          <w:szCs w:val="20"/>
        </w:rPr>
        <w:t xml:space="preserve"> with an estimated total area of around 9,000</w:t>
      </w:r>
      <w:r w:rsidR="00644EA0" w:rsidRPr="005516CD">
        <w:rPr>
          <w:rFonts w:asciiTheme="majorHAnsi" w:hAnsiTheme="majorHAnsi" w:cstheme="majorHAnsi"/>
          <w:sz w:val="20"/>
          <w:szCs w:val="20"/>
        </w:rPr>
        <w:t xml:space="preserve"> </w:t>
      </w:r>
      <w:r w:rsidR="00057CE8" w:rsidRPr="005516CD">
        <w:rPr>
          <w:rFonts w:asciiTheme="majorHAnsi" w:hAnsiTheme="majorHAnsi" w:cstheme="majorHAnsi"/>
          <w:sz w:val="20"/>
          <w:szCs w:val="20"/>
        </w:rPr>
        <w:t>h</w:t>
      </w:r>
      <w:r w:rsidRPr="005516CD">
        <w:rPr>
          <w:rFonts w:asciiTheme="majorHAnsi" w:hAnsiTheme="majorHAnsi" w:cstheme="majorHAnsi"/>
          <w:sz w:val="20"/>
          <w:szCs w:val="20"/>
        </w:rPr>
        <w:t>a</w:t>
      </w:r>
      <w:r w:rsidR="00057CE8" w:rsidRPr="005516CD">
        <w:rPr>
          <w:rStyle w:val="FootnoteReference"/>
          <w:rFonts w:asciiTheme="majorHAnsi" w:hAnsiTheme="majorHAnsi" w:cstheme="majorHAnsi"/>
          <w:sz w:val="20"/>
          <w:szCs w:val="20"/>
        </w:rPr>
        <w:footnoteReference w:id="10"/>
      </w:r>
      <w:r w:rsidR="00644EA0" w:rsidRPr="005516CD">
        <w:rPr>
          <w:rFonts w:asciiTheme="majorHAnsi" w:hAnsiTheme="majorHAnsi" w:cstheme="majorHAnsi"/>
          <w:sz w:val="20"/>
          <w:szCs w:val="20"/>
        </w:rPr>
        <w:t xml:space="preserve"> and an annual production of around 3,000 t, of which around 45% comes from the North Department. </w:t>
      </w:r>
      <w:r w:rsidR="00EF2035" w:rsidRPr="005516CD">
        <w:rPr>
          <w:rFonts w:asciiTheme="majorHAnsi" w:hAnsiTheme="majorHAnsi" w:cstheme="majorHAnsi"/>
          <w:sz w:val="20"/>
          <w:szCs w:val="20"/>
        </w:rPr>
        <w:t xml:space="preserve">Previously, cacao was only grown between 100 and 500 m above sea level, but is now found at up to 800 m. </w:t>
      </w:r>
    </w:p>
    <w:p w14:paraId="0389C812" w14:textId="77777777" w:rsidR="00057CE8" w:rsidRPr="005516CD" w:rsidRDefault="004C6B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Cocoa is produced in either “simple cocoa gardens” or “complex forest gardens”</w:t>
      </w:r>
      <w:r w:rsidRPr="005516CD">
        <w:rPr>
          <w:rStyle w:val="FootnoteReference"/>
          <w:rFonts w:asciiTheme="majorHAnsi" w:hAnsiTheme="majorHAnsi" w:cstheme="majorHAnsi"/>
          <w:sz w:val="20"/>
          <w:szCs w:val="20"/>
        </w:rPr>
        <w:footnoteReference w:id="11"/>
      </w:r>
      <w:r w:rsidRPr="005516CD">
        <w:rPr>
          <w:rFonts w:asciiTheme="majorHAnsi" w:hAnsiTheme="majorHAnsi" w:cstheme="majorHAnsi"/>
          <w:sz w:val="20"/>
          <w:szCs w:val="20"/>
        </w:rPr>
        <w:t>, which differ in terms of the diversity of their composition and the products and services they generate, the importance of cocoa relative to other products, and the level of management.</w:t>
      </w:r>
    </w:p>
    <w:p w14:paraId="57CD1462" w14:textId="77777777" w:rsidR="00627EA1" w:rsidRPr="005516CD" w:rsidRDefault="004C6B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In the project area, cacao is produced in </w:t>
      </w:r>
      <w:r w:rsidR="00057CE8" w:rsidRPr="005516CD">
        <w:rPr>
          <w:rFonts w:asciiTheme="majorHAnsi" w:hAnsiTheme="majorHAnsi" w:cstheme="majorHAnsi"/>
          <w:sz w:val="20"/>
          <w:szCs w:val="20"/>
        </w:rPr>
        <w:t xml:space="preserve">shaded agroforestry </w:t>
      </w:r>
      <w:r w:rsidR="00993C1B" w:rsidRPr="005516CD">
        <w:rPr>
          <w:rFonts w:asciiTheme="majorHAnsi" w:hAnsiTheme="majorHAnsi" w:cstheme="majorHAnsi"/>
          <w:sz w:val="20"/>
          <w:szCs w:val="20"/>
        </w:rPr>
        <w:t>system</w:t>
      </w:r>
      <w:r w:rsidRPr="005516CD">
        <w:rPr>
          <w:rFonts w:asciiTheme="majorHAnsi" w:hAnsiTheme="majorHAnsi" w:cstheme="majorHAnsi"/>
          <w:sz w:val="20"/>
          <w:szCs w:val="20"/>
        </w:rPr>
        <w:t xml:space="preserve">s, which are </w:t>
      </w:r>
      <w:r w:rsidR="00993C1B" w:rsidRPr="005516CD">
        <w:rPr>
          <w:rFonts w:asciiTheme="majorHAnsi" w:hAnsiTheme="majorHAnsi" w:cstheme="majorHAnsi"/>
          <w:sz w:val="20"/>
          <w:szCs w:val="20"/>
        </w:rPr>
        <w:t xml:space="preserve">mainly found at altitudes between 100 and 500 </w:t>
      </w:r>
      <w:proofErr w:type="spellStart"/>
      <w:r w:rsidR="00993C1B" w:rsidRPr="005516CD">
        <w:rPr>
          <w:rFonts w:asciiTheme="majorHAnsi" w:hAnsiTheme="majorHAnsi" w:cstheme="majorHAnsi"/>
          <w:sz w:val="20"/>
          <w:szCs w:val="20"/>
        </w:rPr>
        <w:t>m.a.s.l</w:t>
      </w:r>
      <w:proofErr w:type="spellEnd"/>
      <w:r w:rsidR="00993C1B" w:rsidRPr="005516CD">
        <w:rPr>
          <w:rFonts w:asciiTheme="majorHAnsi" w:hAnsiTheme="majorHAnsi" w:cstheme="majorHAnsi"/>
          <w:sz w:val="20"/>
          <w:szCs w:val="20"/>
        </w:rPr>
        <w:t xml:space="preserve">., especially in Petit-Bourg, </w:t>
      </w:r>
      <w:proofErr w:type="spellStart"/>
      <w:r w:rsidR="00993C1B" w:rsidRPr="005516CD">
        <w:rPr>
          <w:rFonts w:asciiTheme="majorHAnsi" w:hAnsiTheme="majorHAnsi" w:cstheme="majorHAnsi"/>
          <w:sz w:val="20"/>
          <w:szCs w:val="20"/>
        </w:rPr>
        <w:t>Boucan</w:t>
      </w:r>
      <w:proofErr w:type="spellEnd"/>
      <w:r w:rsidR="00993C1B" w:rsidRPr="005516CD">
        <w:rPr>
          <w:rFonts w:asciiTheme="majorHAnsi" w:hAnsiTheme="majorHAnsi" w:cstheme="majorHAnsi"/>
          <w:sz w:val="20"/>
          <w:szCs w:val="20"/>
        </w:rPr>
        <w:t xml:space="preserve"> Michel (Borgne), Grande Rivière du </w:t>
      </w:r>
      <w:proofErr w:type="spellStart"/>
      <w:r w:rsidR="00993C1B" w:rsidRPr="005516CD">
        <w:rPr>
          <w:rFonts w:asciiTheme="majorHAnsi" w:hAnsiTheme="majorHAnsi" w:cstheme="majorHAnsi"/>
          <w:sz w:val="20"/>
          <w:szCs w:val="20"/>
        </w:rPr>
        <w:t>nord</w:t>
      </w:r>
      <w:proofErr w:type="spellEnd"/>
      <w:r w:rsidR="00993C1B" w:rsidRPr="005516CD">
        <w:rPr>
          <w:rFonts w:asciiTheme="majorHAnsi" w:hAnsiTheme="majorHAnsi" w:cstheme="majorHAnsi"/>
          <w:sz w:val="20"/>
          <w:szCs w:val="20"/>
        </w:rPr>
        <w:t xml:space="preserve">, Pilate, Plaisance, and Port-Margot. The most notable components are cacao, bananas, yams, taro and fruit and timber trees. </w:t>
      </w:r>
      <w:r w:rsidR="008B21D5" w:rsidRPr="005516CD">
        <w:rPr>
          <w:rFonts w:asciiTheme="majorHAnsi" w:hAnsiTheme="majorHAnsi" w:cstheme="majorHAnsi"/>
          <w:sz w:val="20"/>
          <w:szCs w:val="20"/>
        </w:rPr>
        <w:t>T</w:t>
      </w:r>
      <w:r w:rsidR="00993C1B" w:rsidRPr="005516CD">
        <w:rPr>
          <w:rFonts w:asciiTheme="majorHAnsi" w:hAnsiTheme="majorHAnsi" w:cstheme="majorHAnsi"/>
          <w:sz w:val="20"/>
          <w:szCs w:val="20"/>
        </w:rPr>
        <w:t>rees include citrus, mangos, avocados</w:t>
      </w:r>
      <w:r w:rsidR="008B21D5" w:rsidRPr="005516CD">
        <w:rPr>
          <w:rFonts w:asciiTheme="majorHAnsi" w:hAnsiTheme="majorHAnsi" w:cstheme="majorHAnsi"/>
          <w:sz w:val="20"/>
          <w:szCs w:val="20"/>
        </w:rPr>
        <w:t>,</w:t>
      </w:r>
      <w:r w:rsidR="00993C1B" w:rsidRPr="005516CD">
        <w:rPr>
          <w:rFonts w:asciiTheme="majorHAnsi" w:hAnsiTheme="majorHAnsi" w:cstheme="majorHAnsi"/>
          <w:sz w:val="20"/>
          <w:szCs w:val="20"/>
        </w:rPr>
        <w:t xml:space="preserve"> breadfruit</w:t>
      </w:r>
      <w:r w:rsidR="008B21D5" w:rsidRPr="005516CD">
        <w:rPr>
          <w:rFonts w:asciiTheme="majorHAnsi" w:hAnsiTheme="majorHAnsi" w:cstheme="majorHAnsi"/>
          <w:sz w:val="20"/>
          <w:szCs w:val="20"/>
        </w:rPr>
        <w:t xml:space="preserve">, </w:t>
      </w:r>
      <w:r w:rsidR="00E63058" w:rsidRPr="005516CD">
        <w:rPr>
          <w:rFonts w:asciiTheme="majorHAnsi" w:hAnsiTheme="majorHAnsi" w:cstheme="majorHAnsi"/>
          <w:i/>
          <w:sz w:val="20"/>
          <w:szCs w:val="20"/>
        </w:rPr>
        <w:t xml:space="preserve">Inga </w:t>
      </w:r>
      <w:proofErr w:type="spellStart"/>
      <w:r w:rsidR="00E63058" w:rsidRPr="005516CD">
        <w:rPr>
          <w:rFonts w:asciiTheme="majorHAnsi" w:hAnsiTheme="majorHAnsi" w:cstheme="majorHAnsi"/>
          <w:i/>
          <w:sz w:val="20"/>
          <w:szCs w:val="20"/>
        </w:rPr>
        <w:t>vera</w:t>
      </w:r>
      <w:proofErr w:type="spellEnd"/>
      <w:r w:rsidR="00E63058" w:rsidRPr="005516CD">
        <w:rPr>
          <w:rFonts w:asciiTheme="majorHAnsi" w:hAnsiTheme="majorHAnsi" w:cstheme="majorHAnsi"/>
          <w:sz w:val="20"/>
          <w:szCs w:val="20"/>
        </w:rPr>
        <w:t xml:space="preserve">, </w:t>
      </w:r>
      <w:proofErr w:type="spellStart"/>
      <w:r w:rsidR="00E63058" w:rsidRPr="005516CD">
        <w:rPr>
          <w:rFonts w:asciiTheme="majorHAnsi" w:hAnsiTheme="majorHAnsi" w:cstheme="majorHAnsi"/>
          <w:i/>
          <w:sz w:val="20"/>
          <w:szCs w:val="20"/>
        </w:rPr>
        <w:t>Spondias</w:t>
      </w:r>
      <w:proofErr w:type="spellEnd"/>
      <w:r w:rsidR="00E63058" w:rsidRPr="005516CD">
        <w:rPr>
          <w:rFonts w:asciiTheme="majorHAnsi" w:hAnsiTheme="majorHAnsi" w:cstheme="majorHAnsi"/>
          <w:i/>
          <w:sz w:val="20"/>
          <w:szCs w:val="20"/>
        </w:rPr>
        <w:t xml:space="preserve"> </w:t>
      </w:r>
      <w:proofErr w:type="spellStart"/>
      <w:r w:rsidR="00E63058" w:rsidRPr="005516CD">
        <w:rPr>
          <w:rFonts w:asciiTheme="majorHAnsi" w:hAnsiTheme="majorHAnsi" w:cstheme="majorHAnsi"/>
          <w:i/>
          <w:sz w:val="20"/>
          <w:szCs w:val="20"/>
        </w:rPr>
        <w:t>mombin</w:t>
      </w:r>
      <w:proofErr w:type="spellEnd"/>
      <w:r w:rsidR="00E63058" w:rsidRPr="005516CD">
        <w:rPr>
          <w:rFonts w:asciiTheme="majorHAnsi" w:hAnsiTheme="majorHAnsi" w:cstheme="majorHAnsi"/>
          <w:sz w:val="20"/>
          <w:szCs w:val="20"/>
        </w:rPr>
        <w:t>,</w:t>
      </w:r>
      <w:r w:rsidR="008B21D5" w:rsidRPr="005516CD">
        <w:rPr>
          <w:rFonts w:asciiTheme="majorHAnsi" w:hAnsiTheme="majorHAnsi" w:cstheme="majorHAnsi"/>
          <w:sz w:val="20"/>
          <w:szCs w:val="20"/>
        </w:rPr>
        <w:t xml:space="preserve"> and timber trees including </w:t>
      </w:r>
      <w:proofErr w:type="spellStart"/>
      <w:r w:rsidR="00E63058" w:rsidRPr="005516CD">
        <w:rPr>
          <w:rFonts w:asciiTheme="majorHAnsi" w:hAnsiTheme="majorHAnsi" w:cstheme="majorHAnsi"/>
          <w:i/>
          <w:sz w:val="20"/>
          <w:szCs w:val="20"/>
        </w:rPr>
        <w:t>Simarouba</w:t>
      </w:r>
      <w:proofErr w:type="spellEnd"/>
      <w:r w:rsidR="00E63058" w:rsidRPr="005516CD">
        <w:rPr>
          <w:rFonts w:asciiTheme="majorHAnsi" w:hAnsiTheme="majorHAnsi" w:cstheme="majorHAnsi"/>
          <w:i/>
          <w:sz w:val="20"/>
          <w:szCs w:val="20"/>
        </w:rPr>
        <w:t xml:space="preserve"> glauca</w:t>
      </w:r>
      <w:r w:rsidR="00E63058" w:rsidRPr="005516CD">
        <w:rPr>
          <w:rFonts w:asciiTheme="majorHAnsi" w:hAnsiTheme="majorHAnsi" w:cstheme="majorHAnsi"/>
          <w:sz w:val="20"/>
          <w:szCs w:val="20"/>
        </w:rPr>
        <w:t xml:space="preserve">, mahogany </w:t>
      </w:r>
      <w:r w:rsidR="008B21D5" w:rsidRPr="005516CD">
        <w:rPr>
          <w:rFonts w:asciiTheme="majorHAnsi" w:hAnsiTheme="majorHAnsi" w:cstheme="majorHAnsi"/>
          <w:sz w:val="20"/>
          <w:szCs w:val="20"/>
        </w:rPr>
        <w:t>(</w:t>
      </w:r>
      <w:proofErr w:type="spellStart"/>
      <w:r w:rsidR="00E63058" w:rsidRPr="005516CD">
        <w:rPr>
          <w:rFonts w:asciiTheme="majorHAnsi" w:hAnsiTheme="majorHAnsi" w:cstheme="majorHAnsi"/>
          <w:i/>
          <w:sz w:val="20"/>
          <w:szCs w:val="20"/>
        </w:rPr>
        <w:t>Swi</w:t>
      </w:r>
      <w:r w:rsidR="008B21D5" w:rsidRPr="005516CD">
        <w:rPr>
          <w:rFonts w:asciiTheme="majorHAnsi" w:hAnsiTheme="majorHAnsi" w:cstheme="majorHAnsi"/>
          <w:i/>
          <w:sz w:val="20"/>
          <w:szCs w:val="20"/>
        </w:rPr>
        <w:t>e</w:t>
      </w:r>
      <w:r w:rsidR="00E63058" w:rsidRPr="005516CD">
        <w:rPr>
          <w:rFonts w:asciiTheme="majorHAnsi" w:hAnsiTheme="majorHAnsi" w:cstheme="majorHAnsi"/>
          <w:i/>
          <w:sz w:val="20"/>
          <w:szCs w:val="20"/>
        </w:rPr>
        <w:t>tenia</w:t>
      </w:r>
      <w:proofErr w:type="spellEnd"/>
      <w:r w:rsidR="00E63058" w:rsidRPr="005516CD">
        <w:rPr>
          <w:rFonts w:asciiTheme="majorHAnsi" w:hAnsiTheme="majorHAnsi" w:cstheme="majorHAnsi"/>
          <w:i/>
          <w:sz w:val="20"/>
          <w:szCs w:val="20"/>
        </w:rPr>
        <w:t xml:space="preserve"> mahogany</w:t>
      </w:r>
      <w:r w:rsidR="00E63058" w:rsidRPr="005516CD">
        <w:rPr>
          <w:rFonts w:asciiTheme="majorHAnsi" w:hAnsiTheme="majorHAnsi" w:cstheme="majorHAnsi"/>
          <w:sz w:val="20"/>
          <w:szCs w:val="20"/>
        </w:rPr>
        <w:t xml:space="preserve">) </w:t>
      </w:r>
      <w:r w:rsidR="008B21D5" w:rsidRPr="005516CD">
        <w:rPr>
          <w:rFonts w:asciiTheme="majorHAnsi" w:hAnsiTheme="majorHAnsi" w:cstheme="majorHAnsi"/>
          <w:sz w:val="20"/>
          <w:szCs w:val="20"/>
        </w:rPr>
        <w:t xml:space="preserve">and cigar-box cedar </w:t>
      </w:r>
      <w:r w:rsidR="00E63058" w:rsidRPr="005516CD">
        <w:rPr>
          <w:rFonts w:asciiTheme="majorHAnsi" w:hAnsiTheme="majorHAnsi" w:cstheme="majorHAnsi"/>
          <w:sz w:val="20"/>
          <w:szCs w:val="20"/>
        </w:rPr>
        <w:t>(</w:t>
      </w:r>
      <w:proofErr w:type="spellStart"/>
      <w:r w:rsidR="00E63058" w:rsidRPr="005516CD">
        <w:rPr>
          <w:rFonts w:asciiTheme="majorHAnsi" w:hAnsiTheme="majorHAnsi" w:cstheme="majorHAnsi"/>
          <w:i/>
          <w:sz w:val="20"/>
          <w:szCs w:val="20"/>
        </w:rPr>
        <w:t>Cedrela</w:t>
      </w:r>
      <w:proofErr w:type="spellEnd"/>
      <w:r w:rsidR="00E63058" w:rsidRPr="005516CD">
        <w:rPr>
          <w:rFonts w:asciiTheme="majorHAnsi" w:hAnsiTheme="majorHAnsi" w:cstheme="majorHAnsi"/>
          <w:i/>
          <w:sz w:val="20"/>
          <w:szCs w:val="20"/>
        </w:rPr>
        <w:t xml:space="preserve"> </w:t>
      </w:r>
      <w:proofErr w:type="spellStart"/>
      <w:r w:rsidR="00E63058" w:rsidRPr="005516CD">
        <w:rPr>
          <w:rFonts w:asciiTheme="majorHAnsi" w:hAnsiTheme="majorHAnsi" w:cstheme="majorHAnsi"/>
          <w:i/>
          <w:sz w:val="20"/>
          <w:szCs w:val="20"/>
        </w:rPr>
        <w:t>odorata</w:t>
      </w:r>
      <w:proofErr w:type="spellEnd"/>
      <w:r w:rsidR="00E63058" w:rsidRPr="005516CD">
        <w:rPr>
          <w:rFonts w:asciiTheme="majorHAnsi" w:hAnsiTheme="majorHAnsi" w:cstheme="majorHAnsi"/>
          <w:sz w:val="20"/>
          <w:szCs w:val="20"/>
        </w:rPr>
        <w:t xml:space="preserve">). </w:t>
      </w:r>
      <w:r w:rsidR="008B21D5" w:rsidRPr="005516CD">
        <w:rPr>
          <w:rFonts w:asciiTheme="majorHAnsi" w:hAnsiTheme="majorHAnsi" w:cstheme="majorHAnsi"/>
          <w:sz w:val="20"/>
          <w:szCs w:val="20"/>
        </w:rPr>
        <w:t xml:space="preserve">In general, shade trees are used as trellises for yam vines. </w:t>
      </w:r>
      <w:r w:rsidR="00627EA1" w:rsidRPr="005516CD">
        <w:rPr>
          <w:rFonts w:asciiTheme="majorHAnsi" w:hAnsiTheme="majorHAnsi" w:cstheme="majorHAnsi"/>
          <w:sz w:val="20"/>
          <w:szCs w:val="20"/>
        </w:rPr>
        <w:t xml:space="preserve">The system is organized in strata with fruit and timber trees in the upper storey, cacao and bananas in the middle level and food crops (yam and taro) in the lower level. The density of plants varies from one farm to another. Food crops (plantains, bananas and yams) are the most closely spaced, with around 500-700 plants per hectare for </w:t>
      </w:r>
      <w:proofErr w:type="spellStart"/>
      <w:r w:rsidR="00627EA1" w:rsidRPr="005516CD">
        <w:rPr>
          <w:rFonts w:asciiTheme="majorHAnsi" w:hAnsiTheme="majorHAnsi" w:cstheme="majorHAnsi"/>
          <w:sz w:val="20"/>
          <w:szCs w:val="20"/>
        </w:rPr>
        <w:t>banabas</w:t>
      </w:r>
      <w:proofErr w:type="spellEnd"/>
      <w:r w:rsidR="00627EA1" w:rsidRPr="005516CD">
        <w:rPr>
          <w:rFonts w:asciiTheme="majorHAnsi" w:hAnsiTheme="majorHAnsi" w:cstheme="majorHAnsi"/>
          <w:sz w:val="20"/>
          <w:szCs w:val="20"/>
        </w:rPr>
        <w:t xml:space="preserve"> and 500/ha for yams. The density of cacao is also typically around 500 stems/ha. In certain crops, where cacao production is the main objective, the density can exceed 1000 stems/ha. Plots close to houses are generally more densely planted than those that are further away. </w:t>
      </w:r>
    </w:p>
    <w:p w14:paraId="7193D621" w14:textId="77777777" w:rsidR="00E63058" w:rsidRPr="005516CD" w:rsidRDefault="00627EA1"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In the project area, the cacao plantations are particularly old</w:t>
      </w:r>
      <w:r w:rsidR="007A133B" w:rsidRPr="005516CD">
        <w:rPr>
          <w:rFonts w:asciiTheme="majorHAnsi" w:hAnsiTheme="majorHAnsi" w:cstheme="majorHAnsi"/>
          <w:sz w:val="20"/>
          <w:szCs w:val="20"/>
        </w:rPr>
        <w:t xml:space="preserve">: it is estimated that 45% of the plantations are more than 40 years old. </w:t>
      </w:r>
      <w:r w:rsidR="00D50DFD" w:rsidRPr="005516CD">
        <w:rPr>
          <w:rFonts w:asciiTheme="majorHAnsi" w:hAnsiTheme="majorHAnsi" w:cstheme="majorHAnsi"/>
          <w:sz w:val="20"/>
          <w:szCs w:val="20"/>
        </w:rPr>
        <w:t>There are however some areas of young plantations, established recently as a result of the acti</w:t>
      </w:r>
      <w:r w:rsidR="00357769" w:rsidRPr="005516CD">
        <w:rPr>
          <w:rFonts w:asciiTheme="majorHAnsi" w:hAnsiTheme="majorHAnsi" w:cstheme="majorHAnsi"/>
          <w:sz w:val="20"/>
          <w:szCs w:val="20"/>
        </w:rPr>
        <w:t>o</w:t>
      </w:r>
      <w:r w:rsidR="00D50DFD" w:rsidRPr="005516CD">
        <w:rPr>
          <w:rFonts w:asciiTheme="majorHAnsi" w:hAnsiTheme="majorHAnsi" w:cstheme="majorHAnsi"/>
          <w:sz w:val="20"/>
          <w:szCs w:val="20"/>
        </w:rPr>
        <w:t xml:space="preserve">ns of projects such as the </w:t>
      </w:r>
      <w:r w:rsidR="00E63058" w:rsidRPr="005516CD">
        <w:rPr>
          <w:rFonts w:asciiTheme="majorHAnsi" w:hAnsiTheme="majorHAnsi" w:cstheme="majorHAnsi"/>
          <w:sz w:val="20"/>
          <w:szCs w:val="20"/>
        </w:rPr>
        <w:t xml:space="preserve">Hillside Agricultural Program (HAP) </w:t>
      </w:r>
      <w:r w:rsidR="00D50DFD" w:rsidRPr="005516CD">
        <w:rPr>
          <w:rFonts w:asciiTheme="majorHAnsi" w:hAnsiTheme="majorHAnsi" w:cstheme="majorHAnsi"/>
          <w:sz w:val="20"/>
          <w:szCs w:val="20"/>
        </w:rPr>
        <w:t xml:space="preserve">and the Sustainable Economic and Environmental </w:t>
      </w:r>
      <w:r w:rsidR="00E63058" w:rsidRPr="005516CD">
        <w:rPr>
          <w:rFonts w:asciiTheme="majorHAnsi" w:hAnsiTheme="majorHAnsi" w:cstheme="majorHAnsi"/>
          <w:sz w:val="20"/>
          <w:szCs w:val="20"/>
        </w:rPr>
        <w:t>D</w:t>
      </w:r>
      <w:r w:rsidR="00D50DFD" w:rsidRPr="005516CD">
        <w:rPr>
          <w:rFonts w:asciiTheme="majorHAnsi" w:hAnsiTheme="majorHAnsi" w:cstheme="majorHAnsi"/>
          <w:sz w:val="20"/>
          <w:szCs w:val="20"/>
        </w:rPr>
        <w:t>e</w:t>
      </w:r>
      <w:r w:rsidR="00E63058" w:rsidRPr="005516CD">
        <w:rPr>
          <w:rFonts w:asciiTheme="majorHAnsi" w:hAnsiTheme="majorHAnsi" w:cstheme="majorHAnsi"/>
          <w:sz w:val="20"/>
          <w:szCs w:val="20"/>
        </w:rPr>
        <w:t>velopment</w:t>
      </w:r>
      <w:r w:rsidR="00D50DFD" w:rsidRPr="005516CD">
        <w:rPr>
          <w:rFonts w:asciiTheme="majorHAnsi" w:hAnsiTheme="majorHAnsi" w:cstheme="majorHAnsi"/>
          <w:sz w:val="20"/>
          <w:szCs w:val="20"/>
        </w:rPr>
        <w:t xml:space="preserve"> project </w:t>
      </w:r>
      <w:r w:rsidR="00E63058" w:rsidRPr="005516CD">
        <w:rPr>
          <w:rFonts w:asciiTheme="majorHAnsi" w:hAnsiTheme="majorHAnsi" w:cstheme="majorHAnsi"/>
          <w:sz w:val="20"/>
          <w:szCs w:val="20"/>
        </w:rPr>
        <w:t>(DEED).</w:t>
      </w:r>
    </w:p>
    <w:p w14:paraId="4F8AAAB8" w14:textId="77777777" w:rsidR="00D50DFD" w:rsidRPr="005516CD" w:rsidRDefault="00D50DF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There are a number of varieties of cacao in the project area. The “</w:t>
      </w:r>
      <w:proofErr w:type="spellStart"/>
      <w:r w:rsidRPr="005516CD">
        <w:rPr>
          <w:rFonts w:asciiTheme="majorHAnsi" w:hAnsiTheme="majorHAnsi" w:cstheme="majorHAnsi"/>
          <w:sz w:val="20"/>
          <w:szCs w:val="20"/>
        </w:rPr>
        <w:t>créole</w:t>
      </w:r>
      <w:proofErr w:type="spellEnd"/>
      <w:r w:rsidRPr="005516CD">
        <w:rPr>
          <w:rFonts w:asciiTheme="majorHAnsi" w:hAnsiTheme="majorHAnsi" w:cstheme="majorHAnsi"/>
          <w:sz w:val="20"/>
          <w:szCs w:val="20"/>
        </w:rPr>
        <w:t xml:space="preserve">” variety is present throughout: in addition, some plots include the Criollo and </w:t>
      </w:r>
      <w:proofErr w:type="spellStart"/>
      <w:r w:rsidRPr="005516CD">
        <w:rPr>
          <w:rFonts w:asciiTheme="majorHAnsi" w:hAnsiTheme="majorHAnsi" w:cstheme="majorHAnsi"/>
          <w:sz w:val="20"/>
          <w:szCs w:val="20"/>
        </w:rPr>
        <w:t>Trinitario</w:t>
      </w:r>
      <w:proofErr w:type="spellEnd"/>
      <w:r w:rsidRPr="005516CD">
        <w:rPr>
          <w:rFonts w:asciiTheme="majorHAnsi" w:hAnsiTheme="majorHAnsi" w:cstheme="majorHAnsi"/>
          <w:sz w:val="20"/>
          <w:szCs w:val="20"/>
        </w:rPr>
        <w:t xml:space="preserve"> varieties, which come from the Dominican Republic and which have been recently introduced by the HAP and DEED projects due to their high productivity. </w:t>
      </w:r>
    </w:p>
    <w:p w14:paraId="15C44311" w14:textId="11419303" w:rsidR="00D50DFD" w:rsidRPr="005516CD" w:rsidRDefault="0035776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B</w:t>
      </w:r>
      <w:r w:rsidR="00D50DFD" w:rsidRPr="005516CD">
        <w:rPr>
          <w:rFonts w:asciiTheme="majorHAnsi" w:hAnsiTheme="majorHAnsi" w:cstheme="majorHAnsi"/>
          <w:sz w:val="20"/>
          <w:szCs w:val="20"/>
        </w:rPr>
        <w:t xml:space="preserve">ananas and plantains </w:t>
      </w:r>
      <w:r w:rsidRPr="005516CD">
        <w:rPr>
          <w:rFonts w:asciiTheme="majorHAnsi" w:hAnsiTheme="majorHAnsi" w:cstheme="majorHAnsi"/>
          <w:sz w:val="20"/>
          <w:szCs w:val="20"/>
        </w:rPr>
        <w:t xml:space="preserve">are normally grown </w:t>
      </w:r>
      <w:r w:rsidR="00D50DFD" w:rsidRPr="005516CD">
        <w:rPr>
          <w:rFonts w:asciiTheme="majorHAnsi" w:hAnsiTheme="majorHAnsi" w:cstheme="majorHAnsi"/>
          <w:sz w:val="20"/>
          <w:szCs w:val="20"/>
        </w:rPr>
        <w:t>in the same plots, especially in cacao plantations. The “</w:t>
      </w:r>
      <w:proofErr w:type="spellStart"/>
      <w:r w:rsidR="00D50DFD" w:rsidRPr="005516CD">
        <w:rPr>
          <w:rFonts w:asciiTheme="majorHAnsi" w:hAnsiTheme="majorHAnsi" w:cstheme="majorHAnsi"/>
          <w:sz w:val="20"/>
          <w:szCs w:val="20"/>
        </w:rPr>
        <w:t>Ti</w:t>
      </w:r>
      <w:proofErr w:type="spellEnd"/>
      <w:r w:rsidR="00D50DFD" w:rsidRPr="005516CD">
        <w:rPr>
          <w:rFonts w:asciiTheme="majorHAnsi" w:hAnsiTheme="majorHAnsi" w:cstheme="majorHAnsi"/>
          <w:sz w:val="20"/>
          <w:szCs w:val="20"/>
        </w:rPr>
        <w:t xml:space="preserve"> Samuel” variety of banana occurs over large areas: it was introduced three or four years ago from the Dominican Republic and has been rapidly and widely adopted due to its high productivity, but more recently it is being rejected because it has a tendency to take over plantations at the expense of cacao, and its limited marketability. There is also a wide range of yam species in the cacao plantations (</w:t>
      </w:r>
      <w:proofErr w:type="spellStart"/>
      <w:r w:rsidR="00D50DFD" w:rsidRPr="005516CD">
        <w:rPr>
          <w:rFonts w:asciiTheme="majorHAnsi" w:hAnsiTheme="majorHAnsi" w:cstheme="majorHAnsi"/>
          <w:i/>
          <w:sz w:val="20"/>
          <w:szCs w:val="20"/>
        </w:rPr>
        <w:t>Dioscorea</w:t>
      </w:r>
      <w:proofErr w:type="spellEnd"/>
      <w:r w:rsidR="00D50DFD" w:rsidRPr="005516CD">
        <w:rPr>
          <w:rFonts w:asciiTheme="majorHAnsi" w:hAnsiTheme="majorHAnsi" w:cstheme="majorHAnsi"/>
          <w:i/>
          <w:sz w:val="20"/>
          <w:szCs w:val="20"/>
        </w:rPr>
        <w:t xml:space="preserve"> </w:t>
      </w:r>
      <w:proofErr w:type="spellStart"/>
      <w:r w:rsidR="00D50DFD" w:rsidRPr="005516CD">
        <w:rPr>
          <w:rFonts w:asciiTheme="majorHAnsi" w:hAnsiTheme="majorHAnsi" w:cstheme="majorHAnsi"/>
          <w:i/>
          <w:sz w:val="20"/>
          <w:szCs w:val="20"/>
        </w:rPr>
        <w:t>trifida</w:t>
      </w:r>
      <w:proofErr w:type="spellEnd"/>
      <w:r w:rsidR="00D50DFD" w:rsidRPr="005516CD">
        <w:rPr>
          <w:rFonts w:asciiTheme="majorHAnsi" w:hAnsiTheme="majorHAnsi" w:cstheme="majorHAnsi"/>
          <w:sz w:val="20"/>
          <w:szCs w:val="20"/>
        </w:rPr>
        <w:t xml:space="preserve">, </w:t>
      </w:r>
      <w:r w:rsidR="00D50DFD" w:rsidRPr="005516CD">
        <w:rPr>
          <w:rFonts w:asciiTheme="majorHAnsi" w:hAnsiTheme="majorHAnsi" w:cstheme="majorHAnsi"/>
          <w:i/>
          <w:sz w:val="20"/>
          <w:szCs w:val="20"/>
        </w:rPr>
        <w:t xml:space="preserve">D. </w:t>
      </w:r>
      <w:proofErr w:type="spellStart"/>
      <w:r w:rsidR="00D50DFD" w:rsidRPr="005516CD">
        <w:rPr>
          <w:rFonts w:asciiTheme="majorHAnsi" w:hAnsiTheme="majorHAnsi" w:cstheme="majorHAnsi"/>
          <w:i/>
          <w:sz w:val="20"/>
          <w:szCs w:val="20"/>
        </w:rPr>
        <w:t>alata</w:t>
      </w:r>
      <w:proofErr w:type="spellEnd"/>
      <w:r w:rsidR="00D50DFD" w:rsidRPr="005516CD">
        <w:rPr>
          <w:rFonts w:asciiTheme="majorHAnsi" w:hAnsiTheme="majorHAnsi" w:cstheme="majorHAnsi"/>
          <w:sz w:val="20"/>
          <w:szCs w:val="20"/>
        </w:rPr>
        <w:t xml:space="preserve">, </w:t>
      </w:r>
      <w:r w:rsidR="00D50DFD" w:rsidRPr="005516CD">
        <w:rPr>
          <w:rFonts w:asciiTheme="majorHAnsi" w:hAnsiTheme="majorHAnsi" w:cstheme="majorHAnsi"/>
          <w:i/>
          <w:sz w:val="20"/>
          <w:szCs w:val="20"/>
        </w:rPr>
        <w:t xml:space="preserve">D. </w:t>
      </w:r>
      <w:proofErr w:type="spellStart"/>
      <w:r w:rsidR="00D50DFD" w:rsidRPr="005516CD">
        <w:rPr>
          <w:rFonts w:asciiTheme="majorHAnsi" w:hAnsiTheme="majorHAnsi" w:cstheme="majorHAnsi"/>
          <w:i/>
          <w:sz w:val="20"/>
          <w:szCs w:val="20"/>
        </w:rPr>
        <w:t>rotundata</w:t>
      </w:r>
      <w:proofErr w:type="spellEnd"/>
      <w:r w:rsidR="00D50DFD" w:rsidRPr="005516CD">
        <w:rPr>
          <w:rFonts w:asciiTheme="majorHAnsi" w:hAnsiTheme="majorHAnsi" w:cstheme="majorHAnsi"/>
          <w:sz w:val="20"/>
          <w:szCs w:val="20"/>
        </w:rPr>
        <w:t xml:space="preserve"> and </w:t>
      </w:r>
      <w:r w:rsidR="00D50DFD" w:rsidRPr="005516CD">
        <w:rPr>
          <w:rFonts w:asciiTheme="majorHAnsi" w:hAnsiTheme="majorHAnsi" w:cstheme="majorHAnsi"/>
          <w:i/>
          <w:sz w:val="20"/>
          <w:szCs w:val="20"/>
        </w:rPr>
        <w:t xml:space="preserve">D. </w:t>
      </w:r>
      <w:proofErr w:type="spellStart"/>
      <w:r w:rsidR="00D50DFD" w:rsidRPr="005516CD">
        <w:rPr>
          <w:rFonts w:asciiTheme="majorHAnsi" w:hAnsiTheme="majorHAnsi" w:cstheme="majorHAnsi"/>
          <w:i/>
          <w:sz w:val="20"/>
          <w:szCs w:val="20"/>
        </w:rPr>
        <w:t>cayenensis</w:t>
      </w:r>
      <w:proofErr w:type="spellEnd"/>
      <w:r w:rsidR="001C5AD4" w:rsidRPr="005516CD">
        <w:rPr>
          <w:rFonts w:asciiTheme="majorHAnsi" w:hAnsiTheme="majorHAnsi" w:cstheme="majorHAnsi"/>
          <w:sz w:val="20"/>
          <w:szCs w:val="20"/>
        </w:rPr>
        <w:t>)</w:t>
      </w:r>
      <w:r w:rsidR="00D50DFD" w:rsidRPr="005516CD">
        <w:rPr>
          <w:rFonts w:asciiTheme="majorHAnsi" w:hAnsiTheme="majorHAnsi" w:cstheme="majorHAnsi"/>
          <w:sz w:val="20"/>
          <w:szCs w:val="20"/>
        </w:rPr>
        <w:t>: yellow and white varieties</w:t>
      </w:r>
      <w:r w:rsidR="001C5AD4" w:rsidRPr="005516CD">
        <w:rPr>
          <w:rFonts w:asciiTheme="majorHAnsi" w:hAnsiTheme="majorHAnsi" w:cstheme="majorHAnsi"/>
          <w:sz w:val="20"/>
          <w:szCs w:val="20"/>
        </w:rPr>
        <w:t xml:space="preserve"> have good market value, and there are also other varieties with less market value</w:t>
      </w:r>
      <w:r w:rsidR="00F211C3">
        <w:rPr>
          <w:rFonts w:asciiTheme="majorHAnsi" w:hAnsiTheme="majorHAnsi" w:cstheme="majorHAnsi"/>
          <w:sz w:val="20"/>
          <w:szCs w:val="20"/>
        </w:rPr>
        <w:t>,</w:t>
      </w:r>
      <w:r w:rsidR="001C5AD4" w:rsidRPr="005516CD">
        <w:rPr>
          <w:rFonts w:asciiTheme="majorHAnsi" w:hAnsiTheme="majorHAnsi" w:cstheme="majorHAnsi"/>
          <w:sz w:val="20"/>
          <w:szCs w:val="20"/>
        </w:rPr>
        <w:t xml:space="preserve"> but which are important for food.</w:t>
      </w:r>
    </w:p>
    <w:p w14:paraId="254D9E12" w14:textId="77777777" w:rsidR="00E63058" w:rsidRPr="005516CD" w:rsidRDefault="001C5AD4" w:rsidP="00F82182">
      <w:pPr>
        <w:pStyle w:val="Heading7"/>
        <w:spacing w:before="0"/>
        <w:ind w:left="0"/>
        <w:rPr>
          <w:rFonts w:asciiTheme="majorHAnsi" w:hAnsiTheme="majorHAnsi" w:cstheme="majorHAnsi"/>
          <w:i/>
        </w:rPr>
      </w:pPr>
      <w:bookmarkStart w:id="8" w:name="_Toc528227014"/>
      <w:r w:rsidRPr="005516CD">
        <w:rPr>
          <w:rFonts w:asciiTheme="majorHAnsi" w:hAnsiTheme="majorHAnsi" w:cstheme="majorHAnsi"/>
          <w:i/>
        </w:rPr>
        <w:t>Coffee</w:t>
      </w:r>
      <w:r w:rsidR="004C6B45" w:rsidRPr="005516CD">
        <w:rPr>
          <w:rFonts w:asciiTheme="majorHAnsi" w:hAnsiTheme="majorHAnsi" w:cstheme="majorHAnsi"/>
          <w:i/>
        </w:rPr>
        <w:t xml:space="preserve"> </w:t>
      </w:r>
      <w:bookmarkEnd w:id="8"/>
    </w:p>
    <w:p w14:paraId="2DB5E98A" w14:textId="143318C5" w:rsidR="00A76573" w:rsidRPr="005516CD" w:rsidRDefault="00A7657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2E74B5" w:themeColor="accent1" w:themeShade="BF"/>
          <w:sz w:val="20"/>
          <w:szCs w:val="20"/>
        </w:rPr>
      </w:pPr>
      <w:r w:rsidRPr="005516CD">
        <w:rPr>
          <w:rFonts w:asciiTheme="majorHAnsi" w:hAnsiTheme="majorHAnsi" w:cstheme="majorHAnsi"/>
          <w:sz w:val="20"/>
          <w:szCs w:val="20"/>
        </w:rPr>
        <w:t xml:space="preserve">Nationwide, coffee production has undergone major decline in recent years, a situation which is attributable to variability in </w:t>
      </w:r>
      <w:proofErr w:type="spellStart"/>
      <w:r w:rsidRPr="005516CD">
        <w:rPr>
          <w:rFonts w:asciiTheme="majorHAnsi" w:hAnsiTheme="majorHAnsi" w:cstheme="majorHAnsi"/>
          <w:sz w:val="20"/>
          <w:szCs w:val="20"/>
        </w:rPr>
        <w:t>interntional</w:t>
      </w:r>
      <w:proofErr w:type="spellEnd"/>
      <w:r w:rsidRPr="005516CD">
        <w:rPr>
          <w:rFonts w:asciiTheme="majorHAnsi" w:hAnsiTheme="majorHAnsi" w:cstheme="majorHAnsi"/>
          <w:sz w:val="20"/>
          <w:szCs w:val="20"/>
        </w:rPr>
        <w:t xml:space="preserve"> markets as well as export taxes, unfavourable </w:t>
      </w:r>
      <w:proofErr w:type="spellStart"/>
      <w:r w:rsidRPr="005516CD">
        <w:rPr>
          <w:rFonts w:asciiTheme="majorHAnsi" w:hAnsiTheme="majorHAnsi" w:cstheme="majorHAnsi"/>
          <w:sz w:val="20"/>
          <w:szCs w:val="20"/>
        </w:rPr>
        <w:t>vaue</w:t>
      </w:r>
      <w:proofErr w:type="spellEnd"/>
      <w:r w:rsidRPr="005516CD">
        <w:rPr>
          <w:rFonts w:asciiTheme="majorHAnsi" w:hAnsiTheme="majorHAnsi" w:cstheme="majorHAnsi"/>
          <w:sz w:val="20"/>
          <w:szCs w:val="20"/>
        </w:rPr>
        <w:t xml:space="preserve"> chain and pricing structures, pests and diseases, </w:t>
      </w:r>
      <w:r w:rsidR="004418E7" w:rsidRPr="005516CD">
        <w:rPr>
          <w:rFonts w:asciiTheme="majorHAnsi" w:hAnsiTheme="majorHAnsi" w:cstheme="majorHAnsi"/>
          <w:sz w:val="20"/>
          <w:szCs w:val="20"/>
        </w:rPr>
        <w:t xml:space="preserve">climate conditions, </w:t>
      </w:r>
      <w:r w:rsidRPr="005516CD">
        <w:rPr>
          <w:rFonts w:asciiTheme="majorHAnsi" w:hAnsiTheme="majorHAnsi" w:cstheme="majorHAnsi"/>
          <w:sz w:val="20"/>
          <w:szCs w:val="20"/>
        </w:rPr>
        <w:t xml:space="preserve">political instability and limited access to finance (see below and </w:t>
      </w:r>
      <w:r w:rsidRPr="005516CD">
        <w:rPr>
          <w:rFonts w:asciiTheme="majorHAnsi" w:hAnsiTheme="majorHAnsi" w:cstheme="majorHAnsi"/>
          <w:sz w:val="20"/>
          <w:szCs w:val="20"/>
        </w:rPr>
        <w:fldChar w:fldCharType="begin"/>
      </w:r>
      <w:r w:rsidRPr="005516CD">
        <w:rPr>
          <w:rFonts w:asciiTheme="majorHAnsi" w:hAnsiTheme="majorHAnsi" w:cstheme="majorHAnsi"/>
          <w:sz w:val="20"/>
          <w:szCs w:val="20"/>
        </w:rPr>
        <w:instrText xml:space="preserve"> REF _Ref529729728 \r \h </w:instrText>
      </w:r>
      <w:r w:rsidR="005516CD">
        <w:rPr>
          <w:rFonts w:asciiTheme="majorHAnsi" w:hAnsiTheme="majorHAnsi" w:cstheme="majorHAnsi"/>
          <w:sz w:val="20"/>
          <w:szCs w:val="20"/>
        </w:rPr>
        <w:instrText xml:space="preserve"> \* MERGEFORMAT </w:instrText>
      </w:r>
      <w:r w:rsidRPr="005516CD">
        <w:rPr>
          <w:rFonts w:asciiTheme="majorHAnsi" w:hAnsiTheme="majorHAnsi" w:cstheme="majorHAnsi"/>
          <w:sz w:val="20"/>
          <w:szCs w:val="20"/>
        </w:rPr>
      </w:r>
      <w:r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Figure 5</w:t>
      </w:r>
      <w:r w:rsidRPr="005516CD">
        <w:rPr>
          <w:rFonts w:asciiTheme="majorHAnsi" w:hAnsiTheme="majorHAnsi" w:cstheme="majorHAnsi"/>
          <w:sz w:val="20"/>
          <w:szCs w:val="20"/>
        </w:rPr>
        <w:fldChar w:fldCharType="end"/>
      </w:r>
      <w:r w:rsidRPr="005516CD">
        <w:rPr>
          <w:rFonts w:asciiTheme="majorHAnsi" w:hAnsiTheme="majorHAnsi" w:cstheme="majorHAnsi"/>
          <w:sz w:val="20"/>
          <w:szCs w:val="20"/>
        </w:rPr>
        <w:t xml:space="preserve">). In the project area, it is estimated that </w:t>
      </w:r>
      <w:r w:rsidR="004418E7" w:rsidRPr="005516CD">
        <w:rPr>
          <w:rFonts w:asciiTheme="majorHAnsi" w:hAnsiTheme="majorHAnsi" w:cstheme="majorHAnsi"/>
          <w:sz w:val="20"/>
          <w:szCs w:val="20"/>
        </w:rPr>
        <w:t>around 75% of coffee plantations have been lost since 2009, leaving only around 950ha (precise data are not available).</w:t>
      </w:r>
      <w:r w:rsidRPr="005516CD">
        <w:rPr>
          <w:rFonts w:asciiTheme="majorHAnsi" w:hAnsiTheme="majorHAnsi" w:cstheme="majorHAnsi"/>
          <w:sz w:val="20"/>
          <w:szCs w:val="20"/>
        </w:rPr>
        <w:t xml:space="preserve"> Historically, however, coffee production has </w:t>
      </w:r>
      <w:r w:rsidR="000A33B3" w:rsidRPr="005516CD">
        <w:rPr>
          <w:rFonts w:asciiTheme="majorHAnsi" w:hAnsiTheme="majorHAnsi" w:cstheme="majorHAnsi"/>
          <w:sz w:val="20"/>
          <w:szCs w:val="20"/>
        </w:rPr>
        <w:t xml:space="preserve">historically </w:t>
      </w:r>
      <w:r w:rsidRPr="005516CD">
        <w:rPr>
          <w:rFonts w:asciiTheme="majorHAnsi" w:hAnsiTheme="majorHAnsi" w:cstheme="majorHAnsi"/>
          <w:sz w:val="20"/>
          <w:szCs w:val="20"/>
        </w:rPr>
        <w:t xml:space="preserve">shown the potential to bounce back from successive cycles of decline and political instability. </w:t>
      </w:r>
    </w:p>
    <w:p w14:paraId="36CD142C" w14:textId="77777777" w:rsidR="004C6B45" w:rsidRPr="005516CD" w:rsidRDefault="004C6B45" w:rsidP="006B27F4">
      <w:pPr>
        <w:pStyle w:val="ListParagraph"/>
        <w:numPr>
          <w:ilvl w:val="3"/>
          <w:numId w:val="90"/>
        </w:numPr>
        <w:spacing w:after="60"/>
        <w:ind w:left="851" w:right="96" w:hanging="851"/>
        <w:contextualSpacing/>
        <w:jc w:val="both"/>
        <w:rPr>
          <w:rFonts w:asciiTheme="majorHAnsi" w:hAnsiTheme="majorHAnsi" w:cstheme="majorHAnsi"/>
          <w:b/>
          <w:sz w:val="20"/>
          <w:szCs w:val="20"/>
        </w:rPr>
      </w:pPr>
      <w:r w:rsidRPr="005516CD">
        <w:rPr>
          <w:rFonts w:asciiTheme="majorHAnsi" w:hAnsiTheme="majorHAnsi" w:cstheme="majorHAnsi"/>
          <w:b/>
          <w:sz w:val="20"/>
          <w:szCs w:val="20"/>
        </w:rPr>
        <w:t>Principal coffee growing areas and their potential to produce quality coffee</w:t>
      </w:r>
      <w:r w:rsidRPr="005516CD">
        <w:rPr>
          <w:rStyle w:val="FootnoteReference"/>
          <w:rFonts w:asciiTheme="majorHAnsi" w:hAnsiTheme="majorHAnsi" w:cstheme="majorHAnsi"/>
          <w:sz w:val="20"/>
          <w:szCs w:val="20"/>
        </w:rPr>
        <w:footnoteReference w:id="12"/>
      </w:r>
    </w:p>
    <w:tbl>
      <w:tblPr>
        <w:tblStyle w:val="TableGrid"/>
        <w:tblW w:w="0" w:type="auto"/>
        <w:tblLook w:val="04A0" w:firstRow="1" w:lastRow="0" w:firstColumn="1" w:lastColumn="0" w:noHBand="0" w:noVBand="1"/>
      </w:tblPr>
      <w:tblGrid>
        <w:gridCol w:w="3002"/>
        <w:gridCol w:w="6008"/>
      </w:tblGrid>
      <w:tr w:rsidR="004C6B45" w:rsidRPr="005516CD" w14:paraId="2CE0F180" w14:textId="77777777" w:rsidTr="009035BC">
        <w:trPr>
          <w:tblHeader/>
        </w:trPr>
        <w:tc>
          <w:tcPr>
            <w:tcW w:w="3256" w:type="dxa"/>
            <w:shd w:val="clear" w:color="auto" w:fill="BFBFBF" w:themeFill="background1" w:themeFillShade="BF"/>
          </w:tcPr>
          <w:p w14:paraId="748BA8EF" w14:textId="77777777" w:rsidR="004C6B45" w:rsidRPr="005516CD" w:rsidRDefault="004C6B45" w:rsidP="00686A55">
            <w:pPr>
              <w:spacing w:after="60"/>
              <w:ind w:right="96"/>
              <w:contextualSpacing/>
              <w:jc w:val="center"/>
              <w:rPr>
                <w:rFonts w:asciiTheme="majorHAnsi" w:hAnsiTheme="majorHAnsi" w:cstheme="majorHAnsi"/>
                <w:b/>
                <w:sz w:val="20"/>
                <w:szCs w:val="20"/>
              </w:rPr>
            </w:pPr>
            <w:r w:rsidRPr="005516CD">
              <w:rPr>
                <w:rFonts w:asciiTheme="majorHAnsi" w:hAnsiTheme="majorHAnsi" w:cstheme="majorHAnsi"/>
                <w:b/>
                <w:sz w:val="20"/>
                <w:szCs w:val="20"/>
              </w:rPr>
              <w:t>Department</w:t>
            </w:r>
          </w:p>
        </w:tc>
        <w:tc>
          <w:tcPr>
            <w:tcW w:w="6804" w:type="dxa"/>
            <w:shd w:val="clear" w:color="auto" w:fill="BFBFBF" w:themeFill="background1" w:themeFillShade="BF"/>
          </w:tcPr>
          <w:p w14:paraId="2CDCC792" w14:textId="77777777" w:rsidR="004C6B45" w:rsidRPr="005516CD" w:rsidRDefault="004C6B45" w:rsidP="00686A55">
            <w:pPr>
              <w:spacing w:after="60"/>
              <w:ind w:right="96"/>
              <w:contextualSpacing/>
              <w:jc w:val="center"/>
              <w:rPr>
                <w:rFonts w:asciiTheme="majorHAnsi" w:hAnsiTheme="majorHAnsi" w:cstheme="majorHAnsi"/>
                <w:b/>
                <w:sz w:val="20"/>
                <w:szCs w:val="20"/>
              </w:rPr>
            </w:pPr>
            <w:r w:rsidRPr="005516CD">
              <w:rPr>
                <w:rFonts w:asciiTheme="majorHAnsi" w:hAnsiTheme="majorHAnsi" w:cstheme="majorHAnsi"/>
                <w:b/>
                <w:sz w:val="20"/>
                <w:szCs w:val="20"/>
              </w:rPr>
              <w:t>Municipalities</w:t>
            </w:r>
          </w:p>
        </w:tc>
      </w:tr>
      <w:tr w:rsidR="004C6B45" w:rsidRPr="005516CD" w14:paraId="50E7C546" w14:textId="77777777" w:rsidTr="00A76573">
        <w:tc>
          <w:tcPr>
            <w:tcW w:w="10060" w:type="dxa"/>
            <w:gridSpan w:val="2"/>
            <w:shd w:val="clear" w:color="auto" w:fill="D9D9D9" w:themeFill="background1" w:themeFillShade="D9"/>
          </w:tcPr>
          <w:p w14:paraId="4C9D7D96" w14:textId="77777777" w:rsidR="004C6B45" w:rsidRPr="005516CD" w:rsidRDefault="004C6B45" w:rsidP="00686A55">
            <w:pPr>
              <w:spacing w:after="60"/>
              <w:ind w:right="96"/>
              <w:contextualSpacing/>
              <w:jc w:val="both"/>
              <w:rPr>
                <w:rFonts w:asciiTheme="majorHAnsi" w:hAnsiTheme="majorHAnsi" w:cstheme="majorHAnsi"/>
                <w:b/>
                <w:sz w:val="20"/>
                <w:szCs w:val="20"/>
              </w:rPr>
            </w:pPr>
            <w:r w:rsidRPr="005516CD">
              <w:rPr>
                <w:rFonts w:asciiTheme="majorHAnsi" w:hAnsiTheme="majorHAnsi" w:cstheme="majorHAnsi"/>
                <w:b/>
                <w:sz w:val="20"/>
                <w:szCs w:val="20"/>
              </w:rPr>
              <w:t>High-quality coffee zones</w:t>
            </w:r>
          </w:p>
        </w:tc>
      </w:tr>
      <w:tr w:rsidR="004C6B45" w:rsidRPr="005516CD" w14:paraId="49AF5022" w14:textId="77777777" w:rsidTr="00F82182">
        <w:tc>
          <w:tcPr>
            <w:tcW w:w="3256" w:type="dxa"/>
          </w:tcPr>
          <w:p w14:paraId="6687E9D7"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 xml:space="preserve">Grand </w:t>
            </w:r>
            <w:proofErr w:type="spellStart"/>
            <w:r w:rsidRPr="005516CD">
              <w:rPr>
                <w:rFonts w:asciiTheme="majorHAnsi" w:hAnsiTheme="majorHAnsi" w:cstheme="majorHAnsi"/>
                <w:sz w:val="20"/>
                <w:szCs w:val="20"/>
              </w:rPr>
              <w:t>Anse</w:t>
            </w:r>
            <w:proofErr w:type="spellEnd"/>
          </w:p>
          <w:p w14:paraId="0722CE07"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South</w:t>
            </w:r>
          </w:p>
          <w:p w14:paraId="5D468BC1"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Southeast</w:t>
            </w:r>
          </w:p>
          <w:p w14:paraId="766C4134"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Centre</w:t>
            </w:r>
          </w:p>
          <w:p w14:paraId="320E5CC8"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b/>
                <w:sz w:val="20"/>
                <w:szCs w:val="20"/>
              </w:rPr>
            </w:pPr>
            <w:r w:rsidRPr="005516CD">
              <w:rPr>
                <w:rFonts w:asciiTheme="majorHAnsi" w:hAnsiTheme="majorHAnsi" w:cstheme="majorHAnsi"/>
                <w:sz w:val="20"/>
                <w:szCs w:val="20"/>
              </w:rPr>
              <w:t>Artibonite</w:t>
            </w:r>
          </w:p>
        </w:tc>
        <w:tc>
          <w:tcPr>
            <w:tcW w:w="6804" w:type="dxa"/>
          </w:tcPr>
          <w:p w14:paraId="6C0A25EB"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 xml:space="preserve">Beaumont, Roseaux, </w:t>
            </w:r>
            <w:proofErr w:type="spellStart"/>
            <w:r w:rsidRPr="005516CD">
              <w:rPr>
                <w:rFonts w:asciiTheme="majorHAnsi" w:hAnsiTheme="majorHAnsi" w:cstheme="majorHAnsi"/>
                <w:sz w:val="20"/>
                <w:szCs w:val="20"/>
              </w:rPr>
              <w:t>Jérémie</w:t>
            </w:r>
            <w:proofErr w:type="spellEnd"/>
          </w:p>
          <w:p w14:paraId="5C5D8A3A"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 xml:space="preserve">Tiburon, les </w:t>
            </w:r>
            <w:proofErr w:type="spellStart"/>
            <w:r w:rsidRPr="005516CD">
              <w:rPr>
                <w:rFonts w:asciiTheme="majorHAnsi" w:hAnsiTheme="majorHAnsi" w:cstheme="majorHAnsi"/>
                <w:sz w:val="20"/>
                <w:szCs w:val="20"/>
              </w:rPr>
              <w:t>Anglais</w:t>
            </w:r>
            <w:proofErr w:type="spellEnd"/>
            <w:r w:rsidRPr="005516CD">
              <w:rPr>
                <w:rFonts w:asciiTheme="majorHAnsi" w:hAnsiTheme="majorHAnsi" w:cstheme="majorHAnsi"/>
                <w:sz w:val="20"/>
                <w:szCs w:val="20"/>
              </w:rPr>
              <w:t>, Marigot</w:t>
            </w:r>
          </w:p>
          <w:p w14:paraId="0B8CB59B"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 xml:space="preserve">Baptiste, </w:t>
            </w:r>
            <w:proofErr w:type="spellStart"/>
            <w:r w:rsidRPr="005516CD">
              <w:rPr>
                <w:rFonts w:asciiTheme="majorHAnsi" w:hAnsiTheme="majorHAnsi" w:cstheme="majorHAnsi"/>
                <w:sz w:val="20"/>
                <w:szCs w:val="20"/>
              </w:rPr>
              <w:t>Savanette</w:t>
            </w:r>
            <w:proofErr w:type="spellEnd"/>
          </w:p>
          <w:p w14:paraId="301FA951"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 xml:space="preserve">Les </w:t>
            </w:r>
            <w:proofErr w:type="spellStart"/>
            <w:r w:rsidRPr="005516CD">
              <w:rPr>
                <w:rFonts w:asciiTheme="majorHAnsi" w:hAnsiTheme="majorHAnsi" w:cstheme="majorHAnsi"/>
                <w:sz w:val="20"/>
                <w:szCs w:val="20"/>
              </w:rPr>
              <w:t>Cahos</w:t>
            </w:r>
            <w:proofErr w:type="spellEnd"/>
          </w:p>
        </w:tc>
      </w:tr>
      <w:tr w:rsidR="004C6B45" w:rsidRPr="005516CD" w14:paraId="1240CEBA" w14:textId="77777777" w:rsidTr="00A76573">
        <w:tc>
          <w:tcPr>
            <w:tcW w:w="10060" w:type="dxa"/>
            <w:gridSpan w:val="2"/>
          </w:tcPr>
          <w:p w14:paraId="65A1FBAB" w14:textId="77777777" w:rsidR="004C6B45" w:rsidRPr="005516CD" w:rsidRDefault="004C6B45" w:rsidP="000A33B3">
            <w:pPr>
              <w:keepNext/>
              <w:pBdr>
                <w:top w:val="nil"/>
                <w:left w:val="nil"/>
                <w:bottom w:val="nil"/>
                <w:right w:val="nil"/>
                <w:between w:val="nil"/>
                <w:bar w:val="nil"/>
              </w:pBdr>
              <w:shd w:val="clear" w:color="auto" w:fill="D9D9D9" w:themeFill="background1" w:themeFillShade="D9"/>
              <w:spacing w:after="60"/>
              <w:ind w:right="96"/>
              <w:contextualSpacing/>
              <w:jc w:val="both"/>
              <w:rPr>
                <w:rFonts w:asciiTheme="majorHAnsi" w:hAnsiTheme="majorHAnsi" w:cstheme="majorHAnsi"/>
                <w:b/>
                <w:sz w:val="20"/>
                <w:szCs w:val="20"/>
              </w:rPr>
            </w:pPr>
            <w:r w:rsidRPr="005516CD">
              <w:rPr>
                <w:rFonts w:asciiTheme="majorHAnsi" w:hAnsiTheme="majorHAnsi" w:cstheme="majorHAnsi"/>
                <w:b/>
                <w:sz w:val="20"/>
                <w:szCs w:val="20"/>
              </w:rPr>
              <w:t>Average-quality coffee zones</w:t>
            </w:r>
          </w:p>
        </w:tc>
      </w:tr>
      <w:tr w:rsidR="004C6B45" w:rsidRPr="005516CD" w14:paraId="5C704BC4" w14:textId="77777777" w:rsidTr="00F82182">
        <w:tc>
          <w:tcPr>
            <w:tcW w:w="3256" w:type="dxa"/>
          </w:tcPr>
          <w:p w14:paraId="5B4775DC"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North</w:t>
            </w:r>
          </w:p>
          <w:p w14:paraId="5F814CEA"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Northwest</w:t>
            </w:r>
          </w:p>
          <w:p w14:paraId="7E709E98"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r w:rsidRPr="005516CD">
              <w:rPr>
                <w:rFonts w:asciiTheme="majorHAnsi" w:hAnsiTheme="majorHAnsi" w:cstheme="majorHAnsi"/>
                <w:sz w:val="20"/>
                <w:szCs w:val="20"/>
              </w:rPr>
              <w:t>Northeast</w:t>
            </w:r>
          </w:p>
          <w:p w14:paraId="41813B82"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b/>
                <w:sz w:val="20"/>
                <w:szCs w:val="20"/>
              </w:rPr>
            </w:pPr>
            <w:proofErr w:type="spellStart"/>
            <w:r w:rsidRPr="005516CD">
              <w:rPr>
                <w:rFonts w:asciiTheme="majorHAnsi" w:hAnsiTheme="majorHAnsi" w:cstheme="majorHAnsi"/>
                <w:sz w:val="20"/>
                <w:szCs w:val="20"/>
              </w:rPr>
              <w:t>Nippes</w:t>
            </w:r>
            <w:proofErr w:type="spellEnd"/>
          </w:p>
        </w:tc>
        <w:tc>
          <w:tcPr>
            <w:tcW w:w="6804" w:type="dxa"/>
          </w:tcPr>
          <w:p w14:paraId="15D4C1AC"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lang w:val="fr-FR"/>
              </w:rPr>
            </w:pPr>
            <w:r w:rsidRPr="005516CD">
              <w:rPr>
                <w:rFonts w:asciiTheme="majorHAnsi" w:hAnsiTheme="majorHAnsi" w:cstheme="majorHAnsi"/>
                <w:sz w:val="20"/>
                <w:szCs w:val="20"/>
                <w:lang w:val="fr-FR"/>
              </w:rPr>
              <w:t xml:space="preserve">Dondon, Plaisance, Pilate, Grande Rivière du Nord, </w:t>
            </w:r>
            <w:proofErr w:type="spellStart"/>
            <w:r w:rsidRPr="005516CD">
              <w:rPr>
                <w:rFonts w:asciiTheme="majorHAnsi" w:hAnsiTheme="majorHAnsi" w:cstheme="majorHAnsi"/>
                <w:sz w:val="20"/>
                <w:szCs w:val="20"/>
                <w:lang w:val="fr-FR"/>
              </w:rPr>
              <w:t>Bahon</w:t>
            </w:r>
            <w:proofErr w:type="spellEnd"/>
            <w:r w:rsidRPr="005516CD">
              <w:rPr>
                <w:rFonts w:asciiTheme="majorHAnsi" w:hAnsiTheme="majorHAnsi" w:cstheme="majorHAnsi"/>
                <w:sz w:val="20"/>
                <w:szCs w:val="20"/>
                <w:lang w:val="fr-FR"/>
              </w:rPr>
              <w:t xml:space="preserve">, </w:t>
            </w:r>
            <w:proofErr w:type="spellStart"/>
            <w:r w:rsidRPr="005516CD">
              <w:rPr>
                <w:rFonts w:asciiTheme="majorHAnsi" w:hAnsiTheme="majorHAnsi" w:cstheme="majorHAnsi"/>
                <w:sz w:val="20"/>
                <w:szCs w:val="20"/>
                <w:lang w:val="fr-FR"/>
              </w:rPr>
              <w:t>Mermelade</w:t>
            </w:r>
            <w:proofErr w:type="spellEnd"/>
          </w:p>
          <w:p w14:paraId="1E1695FD"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lang w:val="fr-FR"/>
              </w:rPr>
            </w:pPr>
            <w:r w:rsidRPr="005516CD">
              <w:rPr>
                <w:rFonts w:asciiTheme="majorHAnsi" w:hAnsiTheme="majorHAnsi" w:cstheme="majorHAnsi"/>
                <w:sz w:val="20"/>
                <w:szCs w:val="20"/>
                <w:lang w:val="fr-FR"/>
              </w:rPr>
              <w:t xml:space="preserve">Saint-Louis du Nord, Port de Paix, Anse a </w:t>
            </w:r>
            <w:proofErr w:type="spellStart"/>
            <w:r w:rsidRPr="005516CD">
              <w:rPr>
                <w:rFonts w:asciiTheme="majorHAnsi" w:hAnsiTheme="majorHAnsi" w:cstheme="majorHAnsi"/>
                <w:sz w:val="20"/>
                <w:szCs w:val="20"/>
                <w:lang w:val="fr-FR"/>
              </w:rPr>
              <w:t>Foleur</w:t>
            </w:r>
            <w:proofErr w:type="spellEnd"/>
          </w:p>
          <w:p w14:paraId="6384CEB8"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lang w:val="fr-FR"/>
              </w:rPr>
            </w:pPr>
            <w:r w:rsidRPr="005516CD">
              <w:rPr>
                <w:rFonts w:asciiTheme="majorHAnsi" w:hAnsiTheme="majorHAnsi" w:cstheme="majorHAnsi"/>
                <w:sz w:val="20"/>
                <w:szCs w:val="20"/>
                <w:lang w:val="fr-FR"/>
              </w:rPr>
              <w:t xml:space="preserve">Sainte </w:t>
            </w:r>
            <w:proofErr w:type="spellStart"/>
            <w:r w:rsidRPr="005516CD">
              <w:rPr>
                <w:rFonts w:asciiTheme="majorHAnsi" w:hAnsiTheme="majorHAnsi" w:cstheme="majorHAnsi"/>
                <w:sz w:val="20"/>
                <w:szCs w:val="20"/>
                <w:lang w:val="fr-FR"/>
              </w:rPr>
              <w:t>Suzeanne</w:t>
            </w:r>
            <w:proofErr w:type="spellEnd"/>
            <w:r w:rsidRPr="005516CD">
              <w:rPr>
                <w:rFonts w:asciiTheme="majorHAnsi" w:hAnsiTheme="majorHAnsi" w:cstheme="majorHAnsi"/>
                <w:sz w:val="20"/>
                <w:szCs w:val="20"/>
                <w:lang w:val="fr-FR"/>
              </w:rPr>
              <w:t xml:space="preserve">, </w:t>
            </w:r>
            <w:proofErr w:type="spellStart"/>
            <w:r w:rsidRPr="005516CD">
              <w:rPr>
                <w:rFonts w:asciiTheme="majorHAnsi" w:hAnsiTheme="majorHAnsi" w:cstheme="majorHAnsi"/>
                <w:sz w:val="20"/>
                <w:szCs w:val="20"/>
                <w:lang w:val="fr-FR"/>
              </w:rPr>
              <w:t>Valière</w:t>
            </w:r>
            <w:proofErr w:type="spellEnd"/>
            <w:r w:rsidRPr="005516CD">
              <w:rPr>
                <w:rFonts w:asciiTheme="majorHAnsi" w:hAnsiTheme="majorHAnsi" w:cstheme="majorHAnsi"/>
                <w:sz w:val="20"/>
                <w:szCs w:val="20"/>
                <w:lang w:val="fr-FR"/>
              </w:rPr>
              <w:t xml:space="preserve">, </w:t>
            </w:r>
            <w:proofErr w:type="spellStart"/>
            <w:r w:rsidRPr="005516CD">
              <w:rPr>
                <w:rFonts w:asciiTheme="majorHAnsi" w:hAnsiTheme="majorHAnsi" w:cstheme="majorHAnsi"/>
                <w:sz w:val="20"/>
                <w:szCs w:val="20"/>
                <w:lang w:val="fr-FR"/>
              </w:rPr>
              <w:t>Carice</w:t>
            </w:r>
            <w:proofErr w:type="spellEnd"/>
            <w:r w:rsidRPr="005516CD">
              <w:rPr>
                <w:rFonts w:asciiTheme="majorHAnsi" w:hAnsiTheme="majorHAnsi" w:cstheme="majorHAnsi"/>
                <w:sz w:val="20"/>
                <w:szCs w:val="20"/>
                <w:lang w:val="fr-FR"/>
              </w:rPr>
              <w:t>, Mont Organisé</w:t>
            </w:r>
          </w:p>
          <w:p w14:paraId="78FB5171" w14:textId="77777777" w:rsidR="004C6B45" w:rsidRPr="005516CD" w:rsidRDefault="004C6B45" w:rsidP="006B27F4">
            <w:pPr>
              <w:pStyle w:val="ListParagraph"/>
              <w:numPr>
                <w:ilvl w:val="0"/>
                <w:numId w:val="103"/>
              </w:numPr>
              <w:spacing w:after="60"/>
              <w:ind w:left="452" w:right="96"/>
              <w:contextualSpacing/>
              <w:jc w:val="both"/>
              <w:rPr>
                <w:rFonts w:asciiTheme="majorHAnsi" w:hAnsiTheme="majorHAnsi" w:cstheme="majorHAnsi"/>
                <w:sz w:val="20"/>
                <w:szCs w:val="20"/>
              </w:rPr>
            </w:pPr>
            <w:proofErr w:type="spellStart"/>
            <w:r w:rsidRPr="005516CD">
              <w:rPr>
                <w:rFonts w:asciiTheme="majorHAnsi" w:hAnsiTheme="majorHAnsi" w:cstheme="majorHAnsi"/>
                <w:sz w:val="20"/>
                <w:szCs w:val="20"/>
              </w:rPr>
              <w:t>L’Asile</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Baradères</w:t>
            </w:r>
            <w:proofErr w:type="spellEnd"/>
          </w:p>
        </w:tc>
      </w:tr>
    </w:tbl>
    <w:p w14:paraId="5B1797CF" w14:textId="77777777" w:rsidR="00686A55" w:rsidRPr="005516CD" w:rsidRDefault="00686A55" w:rsidP="006B27F4">
      <w:pPr>
        <w:numPr>
          <w:ilvl w:val="0"/>
          <w:numId w:val="87"/>
        </w:numPr>
        <w:tabs>
          <w:tab w:val="clear" w:pos="720"/>
          <w:tab w:val="num" w:pos="-284"/>
          <w:tab w:val="left" w:pos="426"/>
        </w:tabs>
        <w:spacing w:before="120"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About 150,000 to 200,000 farm families still obtain an important part of their revenues from coffee in the country. Most farmers have less than 3</w:t>
      </w:r>
      <w:r w:rsidR="000A33B3" w:rsidRPr="005516CD">
        <w:rPr>
          <w:rFonts w:asciiTheme="majorHAnsi" w:hAnsiTheme="majorHAnsi" w:cstheme="majorHAnsi"/>
          <w:sz w:val="20"/>
          <w:szCs w:val="20"/>
        </w:rPr>
        <w:t xml:space="preserve"> </w:t>
      </w:r>
      <w:r w:rsidRPr="005516CD">
        <w:rPr>
          <w:rFonts w:asciiTheme="majorHAnsi" w:hAnsiTheme="majorHAnsi" w:cstheme="majorHAnsi"/>
          <w:sz w:val="20"/>
          <w:szCs w:val="20"/>
        </w:rPr>
        <w:t>ha of coffee; there are less than 200 ‘large estate’ coffee farmers with around 5-20</w:t>
      </w:r>
      <w:r w:rsidR="000A33B3" w:rsidRPr="005516CD">
        <w:rPr>
          <w:rFonts w:asciiTheme="majorHAnsi" w:hAnsiTheme="majorHAnsi" w:cstheme="majorHAnsi"/>
          <w:sz w:val="20"/>
          <w:szCs w:val="20"/>
        </w:rPr>
        <w:t xml:space="preserve"> </w:t>
      </w:r>
      <w:r w:rsidRPr="005516CD">
        <w:rPr>
          <w:rFonts w:asciiTheme="majorHAnsi" w:hAnsiTheme="majorHAnsi" w:cstheme="majorHAnsi"/>
          <w:sz w:val="20"/>
          <w:szCs w:val="20"/>
        </w:rPr>
        <w:t>ha each. In general, few or no agricultural inputs such as fertilizers and pesticides are used</w:t>
      </w:r>
      <w:r w:rsidRPr="005516CD">
        <w:rPr>
          <w:rStyle w:val="FootnoteReference"/>
          <w:rFonts w:asciiTheme="majorHAnsi" w:hAnsiTheme="majorHAnsi" w:cstheme="majorHAnsi"/>
          <w:sz w:val="20"/>
          <w:szCs w:val="20"/>
        </w:rPr>
        <w:footnoteReference w:id="13"/>
      </w:r>
      <w:r w:rsidRPr="005516CD">
        <w:rPr>
          <w:rFonts w:asciiTheme="majorHAnsi" w:hAnsiTheme="majorHAnsi" w:cstheme="majorHAnsi"/>
          <w:sz w:val="20"/>
          <w:szCs w:val="20"/>
        </w:rPr>
        <w:t>.</w:t>
      </w:r>
    </w:p>
    <w:p w14:paraId="3327D8D6" w14:textId="77777777" w:rsidR="004C6B45" w:rsidRPr="005516CD" w:rsidRDefault="004C6B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Coffee farms are typically highly diverse</w:t>
      </w:r>
      <w:r w:rsidRPr="005516CD">
        <w:rPr>
          <w:rStyle w:val="FootnoteReference"/>
          <w:rFonts w:asciiTheme="majorHAnsi" w:hAnsiTheme="majorHAnsi" w:cstheme="majorHAnsi"/>
          <w:sz w:val="20"/>
          <w:szCs w:val="20"/>
        </w:rPr>
        <w:footnoteReference w:id="14"/>
      </w:r>
      <w:r w:rsidRPr="005516CD">
        <w:rPr>
          <w:rFonts w:asciiTheme="majorHAnsi" w:hAnsiTheme="majorHAnsi" w:cstheme="majorHAnsi"/>
          <w:sz w:val="20"/>
          <w:szCs w:val="20"/>
        </w:rPr>
        <w:t xml:space="preserve">, containing bananas, yams, taro, citrus, mango, avocado trees, pineapples, coconuts and breadfruit, and shade is most commonly provided by </w:t>
      </w:r>
      <w:proofErr w:type="spellStart"/>
      <w:r w:rsidRPr="005516CD">
        <w:rPr>
          <w:rFonts w:asciiTheme="majorHAnsi" w:hAnsiTheme="majorHAnsi" w:cstheme="majorHAnsi"/>
          <w:i/>
          <w:sz w:val="20"/>
          <w:szCs w:val="20"/>
        </w:rPr>
        <w:t>sucrin</w:t>
      </w:r>
      <w:proofErr w:type="spellEnd"/>
      <w:r w:rsidRPr="005516CD">
        <w:rPr>
          <w:rFonts w:asciiTheme="majorHAnsi" w:hAnsiTheme="majorHAnsi" w:cstheme="majorHAnsi"/>
          <w:sz w:val="20"/>
          <w:szCs w:val="20"/>
        </w:rPr>
        <w:t xml:space="preserve"> (</w:t>
      </w:r>
      <w:r w:rsidRPr="005516CD">
        <w:rPr>
          <w:rFonts w:asciiTheme="majorHAnsi" w:hAnsiTheme="majorHAnsi" w:cstheme="majorHAnsi"/>
          <w:i/>
          <w:sz w:val="20"/>
          <w:szCs w:val="20"/>
        </w:rPr>
        <w:t xml:space="preserve">Inga </w:t>
      </w:r>
      <w:proofErr w:type="spellStart"/>
      <w:r w:rsidRPr="005516CD">
        <w:rPr>
          <w:rFonts w:asciiTheme="majorHAnsi" w:hAnsiTheme="majorHAnsi" w:cstheme="majorHAnsi"/>
          <w:sz w:val="20"/>
          <w:szCs w:val="20"/>
        </w:rPr>
        <w:t>vera</w:t>
      </w:r>
      <w:proofErr w:type="spellEnd"/>
      <w:r w:rsidRPr="005516CD">
        <w:rPr>
          <w:rFonts w:asciiTheme="majorHAnsi" w:hAnsiTheme="majorHAnsi" w:cstheme="majorHAnsi"/>
          <w:sz w:val="20"/>
          <w:szCs w:val="20"/>
        </w:rPr>
        <w:t>) as well as mahogany (</w:t>
      </w:r>
      <w:proofErr w:type="spellStart"/>
      <w:r w:rsidRPr="005516CD">
        <w:rPr>
          <w:rFonts w:asciiTheme="majorHAnsi" w:hAnsiTheme="majorHAnsi" w:cstheme="majorHAnsi"/>
          <w:i/>
          <w:sz w:val="20"/>
          <w:szCs w:val="20"/>
        </w:rPr>
        <w:t>Swietenia</w:t>
      </w:r>
      <w:proofErr w:type="spellEnd"/>
      <w:r w:rsidRPr="005516CD">
        <w:rPr>
          <w:rFonts w:asciiTheme="majorHAnsi" w:hAnsiTheme="majorHAnsi" w:cstheme="majorHAnsi"/>
          <w:i/>
          <w:sz w:val="20"/>
          <w:szCs w:val="20"/>
        </w:rPr>
        <w:t xml:space="preserve"> mahogany</w:t>
      </w:r>
      <w:r w:rsidRPr="005516CD">
        <w:rPr>
          <w:rFonts w:asciiTheme="majorHAnsi" w:hAnsiTheme="majorHAnsi" w:cstheme="majorHAnsi"/>
          <w:sz w:val="20"/>
          <w:szCs w:val="20"/>
        </w:rPr>
        <w:t>), laurel (</w:t>
      </w:r>
      <w:r w:rsidRPr="005516CD">
        <w:rPr>
          <w:rFonts w:asciiTheme="majorHAnsi" w:hAnsiTheme="majorHAnsi" w:cstheme="majorHAnsi"/>
          <w:i/>
          <w:sz w:val="20"/>
          <w:szCs w:val="20"/>
        </w:rPr>
        <w:t xml:space="preserve">Ocotea </w:t>
      </w:r>
      <w:r w:rsidRPr="005516CD">
        <w:rPr>
          <w:rFonts w:asciiTheme="majorHAnsi" w:hAnsiTheme="majorHAnsi" w:cstheme="majorHAnsi"/>
          <w:sz w:val="20"/>
          <w:szCs w:val="20"/>
        </w:rPr>
        <w:t>spp.), oak (</w:t>
      </w:r>
      <w:r w:rsidRPr="005516CD">
        <w:rPr>
          <w:rFonts w:asciiTheme="majorHAnsi" w:hAnsiTheme="majorHAnsi" w:cstheme="majorHAnsi"/>
          <w:i/>
          <w:sz w:val="20"/>
          <w:szCs w:val="20"/>
        </w:rPr>
        <w:t>Catalpa longissimi</w:t>
      </w:r>
      <w:r w:rsidRPr="005516CD">
        <w:rPr>
          <w:rFonts w:asciiTheme="majorHAnsi" w:hAnsiTheme="majorHAnsi" w:cstheme="majorHAnsi"/>
          <w:sz w:val="20"/>
          <w:szCs w:val="20"/>
        </w:rPr>
        <w:t>) and rain tree (</w:t>
      </w:r>
      <w:proofErr w:type="spellStart"/>
      <w:r w:rsidRPr="005516CD">
        <w:rPr>
          <w:rFonts w:asciiTheme="majorHAnsi" w:hAnsiTheme="majorHAnsi" w:cstheme="majorHAnsi"/>
          <w:i/>
          <w:sz w:val="20"/>
          <w:szCs w:val="20"/>
        </w:rPr>
        <w:t>Albizia</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saman</w:t>
      </w:r>
      <w:proofErr w:type="spellEnd"/>
      <w:r w:rsidRPr="005516CD">
        <w:rPr>
          <w:rFonts w:asciiTheme="majorHAnsi" w:hAnsiTheme="majorHAnsi" w:cstheme="majorHAnsi"/>
          <w:sz w:val="20"/>
          <w:szCs w:val="20"/>
        </w:rPr>
        <w:t>). In some parts of the country, cacao is also planted in association with coffee. Production levels typically range between 70 and 210</w:t>
      </w:r>
      <w:r w:rsidR="000A33B3"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kg/ha). Income from coffee farms was found to </w:t>
      </w:r>
      <w:r w:rsidRPr="005516CD">
        <w:rPr>
          <w:rFonts w:asciiTheme="majorHAnsi" w:eastAsia="Calibri" w:hAnsiTheme="majorHAnsi" w:cstheme="majorHAnsi"/>
          <w:sz w:val="20"/>
          <w:szCs w:val="20"/>
        </w:rPr>
        <w:t>range</w:t>
      </w:r>
      <w:r w:rsidRPr="005516CD">
        <w:rPr>
          <w:rFonts w:asciiTheme="majorHAnsi" w:hAnsiTheme="majorHAnsi" w:cstheme="majorHAnsi"/>
          <w:sz w:val="20"/>
          <w:szCs w:val="20"/>
        </w:rPr>
        <w:t xml:space="preserve"> between 18,000-65,000 Gourdes/ha in 2003</w:t>
      </w:r>
      <w:r w:rsidR="0014463F" w:rsidRPr="005516CD">
        <w:rPr>
          <w:rFonts w:asciiTheme="majorHAnsi" w:hAnsiTheme="majorHAnsi" w:cstheme="majorHAnsi"/>
          <w:sz w:val="20"/>
          <w:szCs w:val="20"/>
        </w:rPr>
        <w:t xml:space="preserve"> (USD 500-1,800/ha)</w:t>
      </w:r>
      <w:r w:rsidRPr="005516CD">
        <w:rPr>
          <w:rFonts w:asciiTheme="majorHAnsi" w:hAnsiTheme="majorHAnsi" w:cstheme="majorHAnsi"/>
          <w:sz w:val="20"/>
          <w:szCs w:val="20"/>
        </w:rPr>
        <w:t xml:space="preserve">; however, the coffee itself only represents between 12% and 28% of this income, with most of the income coming from the sale of yam, taro and bananas grown in association. </w:t>
      </w:r>
    </w:p>
    <w:p w14:paraId="1AB64E28" w14:textId="77777777" w:rsidR="00E63058" w:rsidRPr="005516CD" w:rsidRDefault="001C5AD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2E74B5" w:themeColor="accent1" w:themeShade="BF"/>
          <w:sz w:val="20"/>
          <w:szCs w:val="20"/>
        </w:rPr>
      </w:pPr>
      <w:r w:rsidRPr="005516CD">
        <w:rPr>
          <w:rFonts w:asciiTheme="majorHAnsi" w:hAnsiTheme="majorHAnsi" w:cstheme="majorHAnsi"/>
          <w:sz w:val="20"/>
          <w:szCs w:val="20"/>
        </w:rPr>
        <w:t>Coffee- and cacao-based agroforestry systems are almost identical</w:t>
      </w:r>
      <w:r w:rsidR="008B4F5F" w:rsidRPr="005516CD">
        <w:rPr>
          <w:rFonts w:asciiTheme="majorHAnsi" w:hAnsiTheme="majorHAnsi" w:cstheme="majorHAnsi"/>
          <w:sz w:val="20"/>
          <w:szCs w:val="20"/>
        </w:rPr>
        <w:t xml:space="preserve">, and both are present at lower altitudes (400-500 m), while coffee also occurs above 500 m. As with cacao, this system is organised in strata, with fruit and timber trees (the same species as those in cacao plantations) in the overstorey, coffee and bananas in the middle level and food crops (yam and taro) at the lower level. </w:t>
      </w:r>
    </w:p>
    <w:p w14:paraId="5EE101C9" w14:textId="77777777" w:rsidR="008B4F5F" w:rsidRPr="005516CD" w:rsidRDefault="00111A11"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Mirroring the national trends, c</w:t>
      </w:r>
      <w:r w:rsidR="00423A29" w:rsidRPr="005516CD">
        <w:rPr>
          <w:rFonts w:asciiTheme="majorHAnsi" w:hAnsiTheme="majorHAnsi" w:cstheme="majorHAnsi"/>
          <w:sz w:val="20"/>
          <w:szCs w:val="20"/>
        </w:rPr>
        <w:t xml:space="preserve">offee is in a process of sharp decline in the area. </w:t>
      </w:r>
      <w:r w:rsidR="008B4F5F" w:rsidRPr="005516CD">
        <w:rPr>
          <w:rFonts w:asciiTheme="majorHAnsi" w:hAnsiTheme="majorHAnsi" w:cstheme="majorHAnsi"/>
          <w:sz w:val="20"/>
          <w:szCs w:val="20"/>
        </w:rPr>
        <w:t xml:space="preserve">As with cacao, coffee plantations in the project area are very old. </w:t>
      </w:r>
      <w:r w:rsidR="00E63058" w:rsidRPr="005516CD">
        <w:rPr>
          <w:rFonts w:asciiTheme="majorHAnsi" w:hAnsiTheme="majorHAnsi" w:cstheme="majorHAnsi"/>
          <w:sz w:val="20"/>
          <w:szCs w:val="20"/>
        </w:rPr>
        <w:t>RECOCARNO</w:t>
      </w:r>
      <w:r w:rsidR="008B4F5F" w:rsidRPr="005516CD">
        <w:rPr>
          <w:rFonts w:asciiTheme="majorHAnsi" w:hAnsiTheme="majorHAnsi" w:cstheme="majorHAnsi"/>
          <w:sz w:val="20"/>
          <w:szCs w:val="20"/>
        </w:rPr>
        <w:t>, a federation of six coffee cooperatives in the north and north-east, has recently provided support to farmers for the improvement of coffee production, with funding from the European Union, but this has stopped when the funding ceased.</w:t>
      </w:r>
    </w:p>
    <w:p w14:paraId="790E7121" w14:textId="77777777" w:rsidR="00F82182" w:rsidRPr="005516CD" w:rsidRDefault="00F82182" w:rsidP="006B27F4">
      <w:pPr>
        <w:pStyle w:val="ListParagraph"/>
        <w:numPr>
          <w:ilvl w:val="3"/>
          <w:numId w:val="90"/>
        </w:numPr>
        <w:spacing w:after="60"/>
        <w:ind w:left="851" w:right="96" w:hanging="851"/>
        <w:contextualSpacing/>
        <w:jc w:val="both"/>
        <w:rPr>
          <w:rFonts w:asciiTheme="majorHAnsi" w:hAnsiTheme="majorHAnsi" w:cstheme="majorHAnsi"/>
          <w:b/>
          <w:sz w:val="20"/>
          <w:szCs w:val="20"/>
        </w:rPr>
      </w:pPr>
      <w:r w:rsidRPr="005516CD">
        <w:rPr>
          <w:rFonts w:asciiTheme="majorHAnsi" w:hAnsiTheme="majorHAnsi" w:cstheme="majorHAnsi"/>
          <w:b/>
          <w:sz w:val="20"/>
          <w:szCs w:val="20"/>
        </w:rPr>
        <w:t>Order of importance of drivers of the decline of coffee production in the project area, based on relative numbers of respondents in stakeholder focus groups</w:t>
      </w:r>
    </w:p>
    <w:tbl>
      <w:tblPr>
        <w:tblStyle w:val="TableGrid"/>
        <w:tblW w:w="0" w:type="auto"/>
        <w:tblLook w:val="04A0" w:firstRow="1" w:lastRow="0" w:firstColumn="1" w:lastColumn="0" w:noHBand="0" w:noVBand="1"/>
      </w:tblPr>
      <w:tblGrid>
        <w:gridCol w:w="7487"/>
        <w:gridCol w:w="1523"/>
      </w:tblGrid>
      <w:tr w:rsidR="00F82182" w:rsidRPr="005516CD" w14:paraId="2B649272" w14:textId="77777777" w:rsidTr="00D95D5D">
        <w:trPr>
          <w:tblHeader/>
        </w:trPr>
        <w:tc>
          <w:tcPr>
            <w:tcW w:w="8217" w:type="dxa"/>
            <w:shd w:val="clear" w:color="auto" w:fill="D9D9D9" w:themeFill="background1" w:themeFillShade="D9"/>
          </w:tcPr>
          <w:p w14:paraId="3A16FB85" w14:textId="77777777" w:rsidR="00F82182" w:rsidRPr="005516CD" w:rsidRDefault="00F82182" w:rsidP="00D95D5D">
            <w:pPr>
              <w:autoSpaceDE w:val="0"/>
              <w:autoSpaceDN w:val="0"/>
              <w:adjustRightInd w:val="0"/>
              <w:ind w:right="96"/>
              <w:rPr>
                <w:rFonts w:asciiTheme="majorHAnsi" w:hAnsiTheme="majorHAnsi" w:cstheme="majorHAnsi"/>
                <w:b/>
                <w:sz w:val="20"/>
                <w:szCs w:val="20"/>
              </w:rPr>
            </w:pPr>
            <w:r w:rsidRPr="005516CD">
              <w:rPr>
                <w:rFonts w:asciiTheme="majorHAnsi" w:hAnsiTheme="majorHAnsi" w:cstheme="majorHAnsi"/>
                <w:b/>
                <w:sz w:val="20"/>
                <w:szCs w:val="20"/>
              </w:rPr>
              <w:t xml:space="preserve"> </w:t>
            </w:r>
          </w:p>
        </w:tc>
        <w:tc>
          <w:tcPr>
            <w:tcW w:w="1554" w:type="dxa"/>
            <w:shd w:val="clear" w:color="auto" w:fill="D9D9D9" w:themeFill="background1" w:themeFillShade="D9"/>
          </w:tcPr>
          <w:p w14:paraId="1EBBF2F6" w14:textId="77777777" w:rsidR="00F82182" w:rsidRPr="005516CD" w:rsidRDefault="00F82182" w:rsidP="00D95D5D">
            <w:pPr>
              <w:autoSpaceDE w:val="0"/>
              <w:autoSpaceDN w:val="0"/>
              <w:adjustRightInd w:val="0"/>
              <w:ind w:right="96"/>
              <w:jc w:val="center"/>
              <w:rPr>
                <w:rFonts w:asciiTheme="majorHAnsi" w:hAnsiTheme="majorHAnsi" w:cstheme="majorHAnsi"/>
                <w:b/>
                <w:sz w:val="20"/>
                <w:szCs w:val="20"/>
              </w:rPr>
            </w:pPr>
            <w:r w:rsidRPr="005516CD">
              <w:rPr>
                <w:rFonts w:asciiTheme="majorHAnsi" w:hAnsiTheme="majorHAnsi" w:cstheme="majorHAnsi"/>
                <w:b/>
                <w:sz w:val="20"/>
                <w:szCs w:val="20"/>
              </w:rPr>
              <w:t xml:space="preserve">Order of importance </w:t>
            </w:r>
          </w:p>
        </w:tc>
      </w:tr>
      <w:tr w:rsidR="00F82182" w:rsidRPr="005516CD" w14:paraId="1E0B11B1" w14:textId="77777777" w:rsidTr="00DB1908">
        <w:tc>
          <w:tcPr>
            <w:tcW w:w="8217" w:type="dxa"/>
          </w:tcPr>
          <w:p w14:paraId="4C52F967"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Food insecurity reduces relative attractiveness of export crops</w:t>
            </w:r>
          </w:p>
        </w:tc>
        <w:tc>
          <w:tcPr>
            <w:tcW w:w="1554" w:type="dxa"/>
          </w:tcPr>
          <w:p w14:paraId="2636C407"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r w:rsidRPr="005516CD">
              <w:rPr>
                <w:rFonts w:asciiTheme="majorHAnsi" w:hAnsiTheme="majorHAnsi" w:cstheme="majorHAnsi"/>
                <w:sz w:val="20"/>
                <w:szCs w:val="20"/>
              </w:rPr>
              <w:t>1</w:t>
            </w:r>
          </w:p>
        </w:tc>
      </w:tr>
      <w:tr w:rsidR="00F82182" w:rsidRPr="005516CD" w14:paraId="7132F7FE" w14:textId="77777777" w:rsidTr="00DB1908">
        <w:tc>
          <w:tcPr>
            <w:tcW w:w="8217" w:type="dxa"/>
          </w:tcPr>
          <w:p w14:paraId="29B28247"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Loss of coffee shade due to tree felling for charcoal and food crop production</w:t>
            </w:r>
          </w:p>
        </w:tc>
        <w:tc>
          <w:tcPr>
            <w:tcW w:w="1554" w:type="dxa"/>
          </w:tcPr>
          <w:p w14:paraId="403CA281"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r w:rsidRPr="005516CD">
              <w:rPr>
                <w:rFonts w:asciiTheme="majorHAnsi" w:hAnsiTheme="majorHAnsi" w:cstheme="majorHAnsi"/>
                <w:sz w:val="20"/>
                <w:szCs w:val="20"/>
              </w:rPr>
              <w:t>2</w:t>
            </w:r>
          </w:p>
        </w:tc>
      </w:tr>
      <w:tr w:rsidR="00F82182" w:rsidRPr="005516CD" w14:paraId="27DE09C5" w14:textId="77777777" w:rsidTr="00DB1908">
        <w:tc>
          <w:tcPr>
            <w:tcW w:w="8217" w:type="dxa"/>
          </w:tcPr>
          <w:p w14:paraId="4B60AFE7"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Reduction in global coffee prices</w:t>
            </w:r>
          </w:p>
        </w:tc>
        <w:tc>
          <w:tcPr>
            <w:tcW w:w="1554" w:type="dxa"/>
          </w:tcPr>
          <w:p w14:paraId="574908A8"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r w:rsidRPr="005516CD">
              <w:rPr>
                <w:rFonts w:asciiTheme="majorHAnsi" w:hAnsiTheme="majorHAnsi" w:cstheme="majorHAnsi"/>
                <w:sz w:val="20"/>
                <w:szCs w:val="20"/>
              </w:rPr>
              <w:t>3</w:t>
            </w:r>
          </w:p>
        </w:tc>
      </w:tr>
      <w:tr w:rsidR="00F82182" w:rsidRPr="005516CD" w14:paraId="75F296BF" w14:textId="77777777" w:rsidTr="00DB1908">
        <w:tc>
          <w:tcPr>
            <w:tcW w:w="8217" w:type="dxa"/>
          </w:tcPr>
          <w:p w14:paraId="0C29A442"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Reluctance to associate coffee with cacao</w:t>
            </w:r>
          </w:p>
        </w:tc>
        <w:tc>
          <w:tcPr>
            <w:tcW w:w="1554" w:type="dxa"/>
          </w:tcPr>
          <w:p w14:paraId="348F3BB6"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r w:rsidRPr="005516CD">
              <w:rPr>
                <w:rFonts w:asciiTheme="majorHAnsi" w:hAnsiTheme="majorHAnsi" w:cstheme="majorHAnsi"/>
                <w:sz w:val="20"/>
                <w:szCs w:val="20"/>
              </w:rPr>
              <w:t>4</w:t>
            </w:r>
          </w:p>
        </w:tc>
      </w:tr>
      <w:tr w:rsidR="00F82182" w:rsidRPr="005516CD" w14:paraId="4A8EC34A" w14:textId="77777777" w:rsidTr="00DB1908">
        <w:tc>
          <w:tcPr>
            <w:tcW w:w="8217" w:type="dxa"/>
          </w:tcPr>
          <w:p w14:paraId="768E1139"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Ageing of coffee plantations: limited capacity and financial resources for renewal</w:t>
            </w:r>
          </w:p>
        </w:tc>
        <w:tc>
          <w:tcPr>
            <w:tcW w:w="1554" w:type="dxa"/>
            <w:vMerge w:val="restart"/>
          </w:tcPr>
          <w:p w14:paraId="4337B104"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r w:rsidRPr="005516CD">
              <w:rPr>
                <w:rFonts w:asciiTheme="majorHAnsi" w:hAnsiTheme="majorHAnsi" w:cstheme="majorHAnsi"/>
                <w:sz w:val="20"/>
                <w:szCs w:val="20"/>
              </w:rPr>
              <w:t>5</w:t>
            </w:r>
          </w:p>
        </w:tc>
      </w:tr>
      <w:tr w:rsidR="00F82182" w:rsidRPr="005516CD" w14:paraId="56EF1D2D" w14:textId="77777777" w:rsidTr="00DB1908">
        <w:tc>
          <w:tcPr>
            <w:tcW w:w="8217" w:type="dxa"/>
          </w:tcPr>
          <w:p w14:paraId="61E6C9BE"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Lack of State support, limited interest by younger community members</w:t>
            </w:r>
          </w:p>
        </w:tc>
        <w:tc>
          <w:tcPr>
            <w:tcW w:w="1554" w:type="dxa"/>
            <w:vMerge/>
          </w:tcPr>
          <w:p w14:paraId="6DD67262"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p>
        </w:tc>
      </w:tr>
      <w:tr w:rsidR="00F82182" w:rsidRPr="005516CD" w14:paraId="5635C5BF" w14:textId="77777777" w:rsidTr="00DB1908">
        <w:tc>
          <w:tcPr>
            <w:tcW w:w="8217" w:type="dxa"/>
          </w:tcPr>
          <w:p w14:paraId="2E3F1FB1"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Lack of project support</w:t>
            </w:r>
          </w:p>
        </w:tc>
        <w:tc>
          <w:tcPr>
            <w:tcW w:w="1554" w:type="dxa"/>
            <w:vMerge w:val="restart"/>
          </w:tcPr>
          <w:p w14:paraId="46AF82B2"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r w:rsidRPr="005516CD">
              <w:rPr>
                <w:rFonts w:asciiTheme="majorHAnsi" w:hAnsiTheme="majorHAnsi" w:cstheme="majorHAnsi"/>
                <w:sz w:val="20"/>
                <w:szCs w:val="20"/>
              </w:rPr>
              <w:t>6</w:t>
            </w:r>
          </w:p>
        </w:tc>
      </w:tr>
      <w:tr w:rsidR="00F82182" w:rsidRPr="005516CD" w14:paraId="20CFB451" w14:textId="77777777" w:rsidTr="00DB1908">
        <w:tc>
          <w:tcPr>
            <w:tcW w:w="8217" w:type="dxa"/>
          </w:tcPr>
          <w:p w14:paraId="67F01D7B"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Pests and diseases</w:t>
            </w:r>
          </w:p>
        </w:tc>
        <w:tc>
          <w:tcPr>
            <w:tcW w:w="1554" w:type="dxa"/>
            <w:vMerge/>
          </w:tcPr>
          <w:p w14:paraId="01A7E382"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p>
        </w:tc>
      </w:tr>
      <w:tr w:rsidR="00F82182" w:rsidRPr="005516CD" w14:paraId="3BE66BC4" w14:textId="77777777" w:rsidTr="00DB1908">
        <w:tc>
          <w:tcPr>
            <w:tcW w:w="8217" w:type="dxa"/>
          </w:tcPr>
          <w:p w14:paraId="5B4542D8"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Climate change</w:t>
            </w:r>
          </w:p>
        </w:tc>
        <w:tc>
          <w:tcPr>
            <w:tcW w:w="1554" w:type="dxa"/>
            <w:vMerge w:val="restart"/>
          </w:tcPr>
          <w:p w14:paraId="0B223F63"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r w:rsidRPr="005516CD">
              <w:rPr>
                <w:rFonts w:asciiTheme="majorHAnsi" w:hAnsiTheme="majorHAnsi" w:cstheme="majorHAnsi"/>
                <w:sz w:val="20"/>
                <w:szCs w:val="20"/>
              </w:rPr>
              <w:t>7</w:t>
            </w:r>
          </w:p>
        </w:tc>
      </w:tr>
      <w:tr w:rsidR="00F82182" w:rsidRPr="005516CD" w14:paraId="15D9CFFC" w14:textId="77777777" w:rsidTr="00DB1908">
        <w:tc>
          <w:tcPr>
            <w:tcW w:w="8217" w:type="dxa"/>
          </w:tcPr>
          <w:p w14:paraId="11C11DE4"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Abandonment of processing facilities</w:t>
            </w:r>
          </w:p>
        </w:tc>
        <w:tc>
          <w:tcPr>
            <w:tcW w:w="1554" w:type="dxa"/>
            <w:vMerge/>
          </w:tcPr>
          <w:p w14:paraId="38A46595"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p>
        </w:tc>
      </w:tr>
      <w:tr w:rsidR="00F82182" w:rsidRPr="005516CD" w14:paraId="4C69ADE4" w14:textId="77777777" w:rsidTr="00DB1908">
        <w:tc>
          <w:tcPr>
            <w:tcW w:w="8217" w:type="dxa"/>
          </w:tcPr>
          <w:p w14:paraId="600CBBA1" w14:textId="77777777" w:rsidR="00F82182" w:rsidRPr="005516CD" w:rsidRDefault="00F82182" w:rsidP="00D95D5D">
            <w:pPr>
              <w:autoSpaceDE w:val="0"/>
              <w:autoSpaceDN w:val="0"/>
              <w:adjustRightInd w:val="0"/>
              <w:ind w:right="96"/>
              <w:rPr>
                <w:rFonts w:asciiTheme="majorHAnsi" w:hAnsiTheme="majorHAnsi" w:cstheme="majorHAnsi"/>
                <w:sz w:val="20"/>
                <w:szCs w:val="20"/>
              </w:rPr>
            </w:pPr>
            <w:r w:rsidRPr="005516CD">
              <w:rPr>
                <w:rFonts w:asciiTheme="majorHAnsi" w:hAnsiTheme="majorHAnsi" w:cstheme="majorHAnsi"/>
                <w:sz w:val="20"/>
                <w:szCs w:val="20"/>
              </w:rPr>
              <w:t>Limited structure and transparency of value chains, and ability of producers to influence prices</w:t>
            </w:r>
          </w:p>
        </w:tc>
        <w:tc>
          <w:tcPr>
            <w:tcW w:w="1554" w:type="dxa"/>
            <w:vMerge/>
          </w:tcPr>
          <w:p w14:paraId="6386FB75" w14:textId="77777777" w:rsidR="00F82182" w:rsidRPr="005516CD" w:rsidRDefault="00F82182" w:rsidP="00D95D5D">
            <w:pPr>
              <w:autoSpaceDE w:val="0"/>
              <w:autoSpaceDN w:val="0"/>
              <w:adjustRightInd w:val="0"/>
              <w:ind w:right="96"/>
              <w:jc w:val="center"/>
              <w:rPr>
                <w:rFonts w:asciiTheme="majorHAnsi" w:hAnsiTheme="majorHAnsi" w:cstheme="majorHAnsi"/>
                <w:sz w:val="20"/>
                <w:szCs w:val="20"/>
              </w:rPr>
            </w:pPr>
          </w:p>
        </w:tc>
      </w:tr>
    </w:tbl>
    <w:p w14:paraId="0D40DD5F" w14:textId="77777777" w:rsidR="00E63058" w:rsidRPr="005516CD" w:rsidRDefault="00423A29" w:rsidP="006B27F4">
      <w:pPr>
        <w:numPr>
          <w:ilvl w:val="0"/>
          <w:numId w:val="87"/>
        </w:numPr>
        <w:tabs>
          <w:tab w:val="clear" w:pos="720"/>
          <w:tab w:val="num" w:pos="-284"/>
          <w:tab w:val="left" w:pos="426"/>
        </w:tabs>
        <w:spacing w:before="120"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density of coffee in the region is not well known, but it varies according to the level of </w:t>
      </w:r>
      <w:r w:rsidR="001C689D" w:rsidRPr="005516CD">
        <w:rPr>
          <w:rFonts w:asciiTheme="majorHAnsi" w:hAnsiTheme="majorHAnsi" w:cstheme="majorHAnsi"/>
          <w:sz w:val="20"/>
          <w:szCs w:val="20"/>
        </w:rPr>
        <w:t xml:space="preserve">decline of the crop, </w:t>
      </w:r>
      <w:r w:rsidRPr="005516CD">
        <w:rPr>
          <w:rFonts w:asciiTheme="majorHAnsi" w:hAnsiTheme="majorHAnsi" w:cstheme="majorHAnsi"/>
          <w:sz w:val="20"/>
          <w:szCs w:val="20"/>
        </w:rPr>
        <w:t>from a few stems</w:t>
      </w:r>
      <w:r w:rsidR="001C689D" w:rsidRPr="005516CD">
        <w:rPr>
          <w:rFonts w:asciiTheme="majorHAnsi" w:hAnsiTheme="majorHAnsi" w:cstheme="majorHAnsi"/>
          <w:sz w:val="20"/>
          <w:szCs w:val="20"/>
        </w:rPr>
        <w:t>/ha</w:t>
      </w:r>
      <w:r w:rsidRPr="005516CD">
        <w:rPr>
          <w:rFonts w:asciiTheme="majorHAnsi" w:hAnsiTheme="majorHAnsi" w:cstheme="majorHAnsi"/>
          <w:sz w:val="20"/>
          <w:szCs w:val="20"/>
        </w:rPr>
        <w:t xml:space="preserve"> (in which case the plantation is effectively a </w:t>
      </w:r>
      <w:proofErr w:type="spellStart"/>
      <w:r w:rsidRPr="005516CD">
        <w:rPr>
          <w:rFonts w:asciiTheme="majorHAnsi" w:hAnsiTheme="majorHAnsi" w:cstheme="majorHAnsi"/>
          <w:sz w:val="20"/>
          <w:szCs w:val="20"/>
        </w:rPr>
        <w:t>rootcrop</w:t>
      </w:r>
      <w:proofErr w:type="spellEnd"/>
      <w:r w:rsidRPr="005516CD">
        <w:rPr>
          <w:rFonts w:asciiTheme="majorHAnsi" w:hAnsiTheme="majorHAnsi" w:cstheme="majorHAnsi"/>
          <w:sz w:val="20"/>
          <w:szCs w:val="20"/>
        </w:rPr>
        <w:t xml:space="preserve"> production area) to more than 1,000 stems/ha. The density of other crops is</w:t>
      </w:r>
      <w:r w:rsidR="001C689D" w:rsidRPr="005516CD">
        <w:rPr>
          <w:rFonts w:asciiTheme="majorHAnsi" w:hAnsiTheme="majorHAnsi" w:cstheme="majorHAnsi"/>
          <w:sz w:val="20"/>
          <w:szCs w:val="20"/>
        </w:rPr>
        <w:t xml:space="preserve"> typically</w:t>
      </w:r>
      <w:r w:rsidRPr="005516CD">
        <w:rPr>
          <w:rFonts w:asciiTheme="majorHAnsi" w:hAnsiTheme="majorHAnsi" w:cstheme="majorHAnsi"/>
          <w:sz w:val="20"/>
          <w:szCs w:val="20"/>
        </w:rPr>
        <w:t xml:space="preserve"> 700/ha in the case of banana, 500/ha for yam, 20-40 fruit trees/</w:t>
      </w:r>
      <w:r w:rsidR="001C689D" w:rsidRPr="005516CD">
        <w:rPr>
          <w:rFonts w:asciiTheme="majorHAnsi" w:hAnsiTheme="majorHAnsi" w:cstheme="majorHAnsi"/>
          <w:sz w:val="20"/>
          <w:szCs w:val="20"/>
        </w:rPr>
        <w:t>h</w:t>
      </w:r>
      <w:r w:rsidRPr="005516CD">
        <w:rPr>
          <w:rFonts w:asciiTheme="majorHAnsi" w:hAnsiTheme="majorHAnsi" w:cstheme="majorHAnsi"/>
          <w:sz w:val="20"/>
          <w:szCs w:val="20"/>
        </w:rPr>
        <w:t xml:space="preserve">a and more than 100 shade trees. The predominant variety of coffee in the zone is </w:t>
      </w:r>
      <w:r w:rsidRPr="005516CD">
        <w:rPr>
          <w:rFonts w:asciiTheme="majorHAnsi" w:hAnsiTheme="majorHAnsi" w:cstheme="majorHAnsi"/>
          <w:i/>
          <w:sz w:val="20"/>
          <w:szCs w:val="20"/>
        </w:rPr>
        <w:t>typica</w:t>
      </w:r>
      <w:r w:rsidRPr="005516CD">
        <w:rPr>
          <w:rFonts w:asciiTheme="majorHAnsi" w:hAnsiTheme="majorHAnsi" w:cstheme="majorHAnsi"/>
          <w:sz w:val="20"/>
          <w:szCs w:val="20"/>
        </w:rPr>
        <w:t xml:space="preserve">. </w:t>
      </w:r>
    </w:p>
    <w:p w14:paraId="0C793B50" w14:textId="77777777" w:rsidR="00E63058" w:rsidRPr="005516CD" w:rsidRDefault="00423A29" w:rsidP="0014463F">
      <w:pPr>
        <w:pStyle w:val="Heading7"/>
        <w:keepNext/>
        <w:spacing w:before="0"/>
        <w:ind w:left="0"/>
        <w:rPr>
          <w:rFonts w:asciiTheme="majorHAnsi" w:hAnsiTheme="majorHAnsi" w:cstheme="majorHAnsi"/>
          <w:i/>
        </w:rPr>
      </w:pPr>
      <w:bookmarkStart w:id="9" w:name="_Toc528227015"/>
      <w:r w:rsidRPr="005516CD">
        <w:rPr>
          <w:rFonts w:asciiTheme="majorHAnsi" w:hAnsiTheme="majorHAnsi" w:cstheme="majorHAnsi"/>
          <w:i/>
        </w:rPr>
        <w:t>Mixed cacao/coffee agroforestry systems</w:t>
      </w:r>
      <w:bookmarkEnd w:id="9"/>
    </w:p>
    <w:p w14:paraId="21E52F93" w14:textId="77777777" w:rsidR="00E63058" w:rsidRPr="005516CD" w:rsidRDefault="00423A2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2E74B5" w:themeColor="accent1" w:themeShade="BF"/>
          <w:sz w:val="20"/>
          <w:szCs w:val="20"/>
        </w:rPr>
      </w:pPr>
      <w:r w:rsidRPr="005516CD">
        <w:rPr>
          <w:rFonts w:asciiTheme="majorHAnsi" w:hAnsiTheme="majorHAnsi" w:cstheme="majorHAnsi"/>
          <w:sz w:val="20"/>
          <w:szCs w:val="20"/>
        </w:rPr>
        <w:t xml:space="preserve">This system is a variant of the two previous systems (cacao and coffee). It is mostly found at an altitude of between 400 and 500 m. Given the decline in the coffee sector, cacao is gradually taking over spaces previously occupied by coffee, </w:t>
      </w:r>
      <w:r w:rsidR="00A87C30" w:rsidRPr="005516CD">
        <w:rPr>
          <w:rFonts w:asciiTheme="majorHAnsi" w:hAnsiTheme="majorHAnsi" w:cstheme="majorHAnsi"/>
          <w:sz w:val="20"/>
          <w:szCs w:val="20"/>
        </w:rPr>
        <w:t>so long as farmers can overcome the different problems associated with the crop such as diseases and climatic and soil conditions</w:t>
      </w:r>
      <w:r w:rsidR="00E63058" w:rsidRPr="005516CD">
        <w:rPr>
          <w:rFonts w:asciiTheme="majorHAnsi" w:hAnsiTheme="majorHAnsi" w:cstheme="majorHAnsi"/>
          <w:color w:val="2E74B5" w:themeColor="accent1" w:themeShade="BF"/>
          <w:sz w:val="20"/>
          <w:szCs w:val="20"/>
        </w:rPr>
        <w:t xml:space="preserve">). </w:t>
      </w:r>
    </w:p>
    <w:p w14:paraId="705EE720" w14:textId="77777777" w:rsidR="00E63058" w:rsidRPr="005516CD" w:rsidRDefault="00423A2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This system has the same structure as the two previous ones: an overstorey of fruit and timber/shade trees, a middle level of coffee, cacao and banana, and an understorey of yam and taro, with the trees serving as trellises for the yams. The planting distances are the same as in plantations with the individua</w:t>
      </w:r>
      <w:r w:rsidR="006C67B7" w:rsidRPr="005516CD">
        <w:rPr>
          <w:rFonts w:asciiTheme="majorHAnsi" w:hAnsiTheme="majorHAnsi" w:cstheme="majorHAnsi"/>
          <w:sz w:val="20"/>
          <w:szCs w:val="20"/>
        </w:rPr>
        <w:t>l</w:t>
      </w:r>
      <w:r w:rsidRPr="005516CD">
        <w:rPr>
          <w:rFonts w:asciiTheme="majorHAnsi" w:hAnsiTheme="majorHAnsi" w:cstheme="majorHAnsi"/>
          <w:sz w:val="20"/>
          <w:szCs w:val="20"/>
        </w:rPr>
        <w:t xml:space="preserve"> crops</w:t>
      </w:r>
      <w:r w:rsidR="006C67B7" w:rsidRPr="005516CD">
        <w:rPr>
          <w:rFonts w:asciiTheme="majorHAnsi" w:hAnsiTheme="majorHAnsi" w:cstheme="majorHAnsi"/>
          <w:sz w:val="20"/>
          <w:szCs w:val="20"/>
        </w:rPr>
        <w:t>, but the densities of bananas, shade trees and even yams are rather lower. Inga is the main shade tree in this system, despite its susceptibility to rot.</w:t>
      </w:r>
    </w:p>
    <w:p w14:paraId="03D5B6D5" w14:textId="77777777" w:rsidR="00E63058" w:rsidRPr="005516CD" w:rsidRDefault="006C67B7" w:rsidP="00686A55">
      <w:pPr>
        <w:pStyle w:val="Heading7"/>
        <w:keepNext/>
        <w:spacing w:before="0"/>
        <w:ind w:left="0"/>
        <w:rPr>
          <w:rFonts w:asciiTheme="majorHAnsi" w:hAnsiTheme="majorHAnsi" w:cstheme="majorHAnsi"/>
          <w:i/>
        </w:rPr>
      </w:pPr>
      <w:bookmarkStart w:id="10" w:name="_Toc528227016"/>
      <w:r w:rsidRPr="005516CD">
        <w:rPr>
          <w:rFonts w:asciiTheme="majorHAnsi" w:hAnsiTheme="majorHAnsi" w:cstheme="majorHAnsi"/>
          <w:i/>
        </w:rPr>
        <w:t>Banana, yam and bean association</w:t>
      </w:r>
      <w:bookmarkEnd w:id="10"/>
    </w:p>
    <w:p w14:paraId="38D3B4C3" w14:textId="77777777" w:rsidR="00A87C30" w:rsidRPr="005516CD" w:rsidRDefault="006C67B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This association is found in spaces where coffee or cacao have disappeared: in some cases, one may find only yam and beans. </w:t>
      </w:r>
      <w:r w:rsidR="00A87C30" w:rsidRPr="005516CD">
        <w:rPr>
          <w:rFonts w:asciiTheme="majorHAnsi" w:hAnsiTheme="majorHAnsi" w:cstheme="majorHAnsi"/>
          <w:sz w:val="20"/>
          <w:szCs w:val="20"/>
        </w:rPr>
        <w:t xml:space="preserve">In this system, mounds are formed for planting yams or ginger. Beans are planted on the yam mounds, while bananas are intercropped between the mounds. When bananas are absent, beans are sown between the mounds. The </w:t>
      </w:r>
      <w:proofErr w:type="spellStart"/>
      <w:r w:rsidR="00A87C30" w:rsidRPr="005516CD">
        <w:rPr>
          <w:rFonts w:asciiTheme="majorHAnsi" w:hAnsiTheme="majorHAnsi" w:cstheme="majorHAnsi"/>
          <w:sz w:val="20"/>
          <w:szCs w:val="20"/>
        </w:rPr>
        <w:t>dentity</w:t>
      </w:r>
      <w:proofErr w:type="spellEnd"/>
      <w:r w:rsidR="00A87C30" w:rsidRPr="005516CD">
        <w:rPr>
          <w:rFonts w:asciiTheme="majorHAnsi" w:hAnsiTheme="majorHAnsi" w:cstheme="majorHAnsi"/>
          <w:sz w:val="20"/>
          <w:szCs w:val="20"/>
        </w:rPr>
        <w:t xml:space="preserve"> of beans varies between </w:t>
      </w:r>
      <w:proofErr w:type="gramStart"/>
      <w:r w:rsidR="00A87C30" w:rsidRPr="005516CD">
        <w:rPr>
          <w:rFonts w:asciiTheme="majorHAnsi" w:hAnsiTheme="majorHAnsi" w:cstheme="majorHAnsi"/>
          <w:sz w:val="20"/>
          <w:szCs w:val="20"/>
        </w:rPr>
        <w:t>farms, but</w:t>
      </w:r>
      <w:proofErr w:type="gramEnd"/>
      <w:r w:rsidR="00A87C30" w:rsidRPr="005516CD">
        <w:rPr>
          <w:rFonts w:asciiTheme="majorHAnsi" w:hAnsiTheme="majorHAnsi" w:cstheme="majorHAnsi"/>
          <w:sz w:val="20"/>
          <w:szCs w:val="20"/>
        </w:rPr>
        <w:t xml:space="preserve"> is of the order of 60-80 kg/ha.</w:t>
      </w:r>
    </w:p>
    <w:p w14:paraId="2CCA7D33" w14:textId="77777777" w:rsidR="00E63058" w:rsidRPr="005516CD" w:rsidRDefault="002C2903" w:rsidP="00F82182">
      <w:pPr>
        <w:pStyle w:val="Heading7"/>
        <w:spacing w:before="0"/>
        <w:ind w:left="0"/>
        <w:rPr>
          <w:rFonts w:asciiTheme="majorHAnsi" w:hAnsiTheme="majorHAnsi" w:cstheme="majorHAnsi"/>
          <w:i/>
        </w:rPr>
      </w:pPr>
      <w:r w:rsidRPr="005516CD">
        <w:rPr>
          <w:rFonts w:asciiTheme="majorHAnsi" w:hAnsiTheme="majorHAnsi" w:cstheme="majorHAnsi"/>
          <w:i/>
        </w:rPr>
        <w:t>Pure bean system</w:t>
      </w:r>
    </w:p>
    <w:p w14:paraId="6F31D7A1" w14:textId="77777777" w:rsidR="00E63058" w:rsidRPr="005516CD" w:rsidRDefault="002C290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Although the tree cover is relatively dense in most of the mountainous area, beans</w:t>
      </w:r>
      <w:r w:rsidR="00E63058" w:rsidRPr="005516CD">
        <w:rPr>
          <w:rFonts w:asciiTheme="majorHAnsi" w:hAnsiTheme="majorHAnsi" w:cstheme="majorHAnsi"/>
          <w:sz w:val="20"/>
          <w:szCs w:val="20"/>
        </w:rPr>
        <w:t xml:space="preserve"> </w:t>
      </w:r>
      <w:r w:rsidRPr="005516CD">
        <w:rPr>
          <w:rFonts w:asciiTheme="majorHAnsi" w:hAnsiTheme="majorHAnsi" w:cstheme="majorHAnsi"/>
          <w:sz w:val="20"/>
          <w:szCs w:val="20"/>
        </w:rPr>
        <w:t>are grown in clearings in low altitude zones</w:t>
      </w:r>
      <w:r w:rsidR="00E63058" w:rsidRPr="005516CD">
        <w:rPr>
          <w:rFonts w:asciiTheme="majorHAnsi" w:hAnsiTheme="majorHAnsi" w:cstheme="majorHAnsi"/>
          <w:sz w:val="20"/>
          <w:szCs w:val="20"/>
        </w:rPr>
        <w:t xml:space="preserve">. </w:t>
      </w:r>
      <w:r w:rsidRPr="005516CD">
        <w:rPr>
          <w:rFonts w:asciiTheme="majorHAnsi" w:hAnsiTheme="majorHAnsi" w:cstheme="majorHAnsi"/>
          <w:sz w:val="20"/>
          <w:szCs w:val="20"/>
        </w:rPr>
        <w:t>This is an evolving situation which has not yet reached the levels found in humid mountains in other parts of the country. If this process continues to intensify, beans may come to replace cacao and coffee plantations in the future.</w:t>
      </w:r>
    </w:p>
    <w:p w14:paraId="662A2DFA" w14:textId="77777777" w:rsidR="00E63058" w:rsidRPr="005516CD" w:rsidRDefault="002C290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Beans can be sown in three seasons. The first season starts in February/March, in areas cleared on sloping lands, and the harvest is carried out between April and May. In the second season, the beans are sown in July/August</w:t>
      </w:r>
      <w:r w:rsidR="006F37D5" w:rsidRPr="005516CD">
        <w:rPr>
          <w:rFonts w:asciiTheme="majorHAnsi" w:hAnsiTheme="majorHAnsi" w:cstheme="majorHAnsi"/>
          <w:sz w:val="20"/>
          <w:szCs w:val="20"/>
        </w:rPr>
        <w:t xml:space="preserve">, </w:t>
      </w:r>
      <w:r w:rsidRPr="005516CD">
        <w:rPr>
          <w:rFonts w:asciiTheme="majorHAnsi" w:hAnsiTheme="majorHAnsi" w:cstheme="majorHAnsi"/>
          <w:sz w:val="20"/>
          <w:szCs w:val="20"/>
        </w:rPr>
        <w:t>in cooler zones</w:t>
      </w:r>
      <w:r w:rsidR="006F37D5" w:rsidRPr="005516CD">
        <w:rPr>
          <w:rFonts w:asciiTheme="majorHAnsi" w:hAnsiTheme="majorHAnsi" w:cstheme="majorHAnsi"/>
          <w:sz w:val="20"/>
          <w:szCs w:val="20"/>
        </w:rPr>
        <w:t>, and the harvest is in October</w:t>
      </w:r>
      <w:r w:rsidR="00E63058" w:rsidRPr="005516CD">
        <w:rPr>
          <w:rFonts w:asciiTheme="majorHAnsi" w:hAnsiTheme="majorHAnsi" w:cstheme="majorHAnsi"/>
          <w:sz w:val="20"/>
          <w:szCs w:val="20"/>
        </w:rPr>
        <w:t xml:space="preserve">. </w:t>
      </w:r>
      <w:r w:rsidR="006F37D5" w:rsidRPr="005516CD">
        <w:rPr>
          <w:rFonts w:asciiTheme="majorHAnsi" w:hAnsiTheme="majorHAnsi" w:cstheme="majorHAnsi"/>
          <w:sz w:val="20"/>
          <w:szCs w:val="20"/>
        </w:rPr>
        <w:t xml:space="preserve">The third season is between </w:t>
      </w:r>
      <w:r w:rsidR="00E63058" w:rsidRPr="005516CD">
        <w:rPr>
          <w:rFonts w:asciiTheme="majorHAnsi" w:hAnsiTheme="majorHAnsi" w:cstheme="majorHAnsi"/>
          <w:sz w:val="20"/>
          <w:szCs w:val="20"/>
        </w:rPr>
        <w:t>Octob</w:t>
      </w:r>
      <w:r w:rsidR="006F37D5" w:rsidRPr="005516CD">
        <w:rPr>
          <w:rFonts w:asciiTheme="majorHAnsi" w:hAnsiTheme="majorHAnsi" w:cstheme="majorHAnsi"/>
          <w:sz w:val="20"/>
          <w:szCs w:val="20"/>
        </w:rPr>
        <w:t>e</w:t>
      </w:r>
      <w:r w:rsidR="00E63058" w:rsidRPr="005516CD">
        <w:rPr>
          <w:rFonts w:asciiTheme="majorHAnsi" w:hAnsiTheme="majorHAnsi" w:cstheme="majorHAnsi"/>
          <w:sz w:val="20"/>
          <w:szCs w:val="20"/>
        </w:rPr>
        <w:t xml:space="preserve">r </w:t>
      </w:r>
      <w:r w:rsidR="006F37D5" w:rsidRPr="005516CD">
        <w:rPr>
          <w:rFonts w:asciiTheme="majorHAnsi" w:hAnsiTheme="majorHAnsi" w:cstheme="majorHAnsi"/>
          <w:sz w:val="20"/>
          <w:szCs w:val="20"/>
        </w:rPr>
        <w:t xml:space="preserve">and </w:t>
      </w:r>
      <w:r w:rsidR="00E63058" w:rsidRPr="005516CD">
        <w:rPr>
          <w:rFonts w:asciiTheme="majorHAnsi" w:hAnsiTheme="majorHAnsi" w:cstheme="majorHAnsi"/>
          <w:sz w:val="20"/>
          <w:szCs w:val="20"/>
        </w:rPr>
        <w:t>D</w:t>
      </w:r>
      <w:r w:rsidR="006F37D5" w:rsidRPr="005516CD">
        <w:rPr>
          <w:rFonts w:asciiTheme="majorHAnsi" w:hAnsiTheme="majorHAnsi" w:cstheme="majorHAnsi"/>
          <w:sz w:val="20"/>
          <w:szCs w:val="20"/>
        </w:rPr>
        <w:t>e</w:t>
      </w:r>
      <w:r w:rsidR="00E63058" w:rsidRPr="005516CD">
        <w:rPr>
          <w:rFonts w:asciiTheme="majorHAnsi" w:hAnsiTheme="majorHAnsi" w:cstheme="majorHAnsi"/>
          <w:sz w:val="20"/>
          <w:szCs w:val="20"/>
        </w:rPr>
        <w:t>cembe</w:t>
      </w:r>
      <w:r w:rsidR="006F37D5" w:rsidRPr="005516CD">
        <w:rPr>
          <w:rFonts w:asciiTheme="majorHAnsi" w:hAnsiTheme="majorHAnsi" w:cstheme="majorHAnsi"/>
          <w:sz w:val="20"/>
          <w:szCs w:val="20"/>
        </w:rPr>
        <w:t>r</w:t>
      </w:r>
      <w:r w:rsidR="00E63058" w:rsidRPr="005516CD">
        <w:rPr>
          <w:rFonts w:asciiTheme="majorHAnsi" w:hAnsiTheme="majorHAnsi" w:cstheme="majorHAnsi"/>
          <w:sz w:val="20"/>
          <w:szCs w:val="20"/>
        </w:rPr>
        <w:t xml:space="preserve">. </w:t>
      </w:r>
      <w:r w:rsidR="006F37D5" w:rsidRPr="005516CD">
        <w:rPr>
          <w:rFonts w:asciiTheme="majorHAnsi" w:hAnsiTheme="majorHAnsi" w:cstheme="majorHAnsi"/>
          <w:sz w:val="20"/>
          <w:szCs w:val="20"/>
        </w:rPr>
        <w:t>In this season, beans are sown on summit plateaux and steep slopes.</w:t>
      </w:r>
    </w:p>
    <w:p w14:paraId="7B32BEA3" w14:textId="77777777" w:rsidR="00E63058" w:rsidRPr="005516CD" w:rsidRDefault="006F37D5" w:rsidP="00476CB0">
      <w:pPr>
        <w:pStyle w:val="Heading7"/>
        <w:keepNext/>
        <w:spacing w:before="0"/>
        <w:ind w:left="0"/>
        <w:rPr>
          <w:rFonts w:asciiTheme="majorHAnsi" w:hAnsiTheme="majorHAnsi" w:cstheme="majorHAnsi"/>
          <w:i/>
        </w:rPr>
      </w:pPr>
      <w:bookmarkStart w:id="11" w:name="_Toc528227018"/>
      <w:r w:rsidRPr="005516CD">
        <w:rPr>
          <w:rFonts w:asciiTheme="majorHAnsi" w:hAnsiTheme="majorHAnsi" w:cstheme="majorHAnsi"/>
          <w:i/>
        </w:rPr>
        <w:t>Bean-maize s</w:t>
      </w:r>
      <w:r w:rsidR="00E63058" w:rsidRPr="005516CD">
        <w:rPr>
          <w:rFonts w:asciiTheme="majorHAnsi" w:hAnsiTheme="majorHAnsi" w:cstheme="majorHAnsi"/>
          <w:i/>
        </w:rPr>
        <w:t>yst</w:t>
      </w:r>
      <w:r w:rsidRPr="005516CD">
        <w:rPr>
          <w:rFonts w:asciiTheme="majorHAnsi" w:hAnsiTheme="majorHAnsi" w:cstheme="majorHAnsi"/>
          <w:i/>
        </w:rPr>
        <w:t>e</w:t>
      </w:r>
      <w:r w:rsidR="00E63058" w:rsidRPr="005516CD">
        <w:rPr>
          <w:rFonts w:asciiTheme="majorHAnsi" w:hAnsiTheme="majorHAnsi" w:cstheme="majorHAnsi"/>
          <w:i/>
        </w:rPr>
        <w:t>m</w:t>
      </w:r>
      <w:bookmarkEnd w:id="11"/>
    </w:p>
    <w:p w14:paraId="64C865DA" w14:textId="77777777" w:rsidR="006F37D5" w:rsidRPr="005516CD" w:rsidRDefault="006F37D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In relatively degraded areas on slopes, in gorges and foothills, maize is associated with beans (mostly black beans) during the springtime: the seed are sown at the same time, in March. Beans are harvested in May and </w:t>
      </w:r>
      <w:r w:rsidR="00A87C30" w:rsidRPr="005516CD">
        <w:rPr>
          <w:rFonts w:asciiTheme="majorHAnsi" w:hAnsiTheme="majorHAnsi" w:cstheme="majorHAnsi"/>
          <w:sz w:val="20"/>
          <w:szCs w:val="20"/>
        </w:rPr>
        <w:t>m</w:t>
      </w:r>
      <w:r w:rsidRPr="005516CD">
        <w:rPr>
          <w:rFonts w:asciiTheme="majorHAnsi" w:hAnsiTheme="majorHAnsi" w:cstheme="majorHAnsi"/>
          <w:sz w:val="20"/>
          <w:szCs w:val="20"/>
        </w:rPr>
        <w:t xml:space="preserve">aize in June. </w:t>
      </w:r>
    </w:p>
    <w:p w14:paraId="76F85919" w14:textId="77777777" w:rsidR="00E63058" w:rsidRPr="005516CD" w:rsidRDefault="00F82182" w:rsidP="00976C82">
      <w:pPr>
        <w:pStyle w:val="Heading7"/>
        <w:spacing w:before="0"/>
        <w:ind w:left="0"/>
        <w:rPr>
          <w:rFonts w:asciiTheme="majorHAnsi" w:hAnsiTheme="majorHAnsi" w:cstheme="majorHAnsi"/>
          <w:color w:val="2E74B5" w:themeColor="accent1" w:themeShade="BF"/>
          <w:szCs w:val="20"/>
        </w:rPr>
      </w:pPr>
      <w:r w:rsidRPr="005516CD">
        <w:rPr>
          <w:rFonts w:asciiTheme="majorHAnsi" w:hAnsiTheme="majorHAnsi" w:cstheme="majorHAnsi"/>
          <w:i/>
        </w:rPr>
        <w:t>Créole garden (</w:t>
      </w:r>
      <w:proofErr w:type="spellStart"/>
      <w:r w:rsidRPr="005516CD">
        <w:rPr>
          <w:rFonts w:asciiTheme="majorHAnsi" w:hAnsiTheme="majorHAnsi" w:cstheme="majorHAnsi"/>
          <w:i/>
        </w:rPr>
        <w:t>jaden</w:t>
      </w:r>
      <w:proofErr w:type="spellEnd"/>
      <w:r w:rsidRPr="005516CD">
        <w:rPr>
          <w:rFonts w:asciiTheme="majorHAnsi" w:hAnsiTheme="majorHAnsi" w:cstheme="majorHAnsi"/>
          <w:i/>
        </w:rPr>
        <w:t xml:space="preserve"> </w:t>
      </w:r>
      <w:proofErr w:type="spellStart"/>
      <w:r w:rsidRPr="005516CD">
        <w:rPr>
          <w:rFonts w:asciiTheme="majorHAnsi" w:hAnsiTheme="majorHAnsi" w:cstheme="majorHAnsi"/>
          <w:i/>
        </w:rPr>
        <w:t>kreyol</w:t>
      </w:r>
      <w:proofErr w:type="spellEnd"/>
      <w:r w:rsidRPr="005516CD">
        <w:rPr>
          <w:rFonts w:asciiTheme="majorHAnsi" w:hAnsiTheme="majorHAnsi" w:cstheme="majorHAnsi"/>
          <w:i/>
        </w:rPr>
        <w:t xml:space="preserve">) agroforestry </w:t>
      </w:r>
      <w:proofErr w:type="spellStart"/>
      <w:r w:rsidRPr="005516CD">
        <w:rPr>
          <w:rFonts w:asciiTheme="majorHAnsi" w:hAnsiTheme="majorHAnsi" w:cstheme="majorHAnsi"/>
          <w:i/>
        </w:rPr>
        <w:t>sytems</w:t>
      </w:r>
      <w:proofErr w:type="spellEnd"/>
      <w:r w:rsidR="00D10372" w:rsidRPr="005516CD">
        <w:rPr>
          <w:rStyle w:val="FootnoteReference"/>
          <w:rFonts w:asciiTheme="majorHAnsi" w:hAnsiTheme="majorHAnsi" w:cstheme="majorHAnsi"/>
          <w:i/>
          <w:szCs w:val="20"/>
        </w:rPr>
        <w:footnoteReference w:id="15"/>
      </w:r>
    </w:p>
    <w:p w14:paraId="307F0C6B" w14:textId="77777777" w:rsidR="00A87C30" w:rsidRPr="005516CD" w:rsidRDefault="006F37D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traditional agrarian landscape in Haiti is characterised by the systematic presence of agroforestry gardens around the house. The first of these are </w:t>
      </w:r>
      <w:proofErr w:type="spellStart"/>
      <w:r w:rsidRPr="005516CD">
        <w:rPr>
          <w:rFonts w:asciiTheme="majorHAnsi" w:hAnsiTheme="majorHAnsi" w:cstheme="majorHAnsi"/>
          <w:i/>
          <w:sz w:val="20"/>
          <w:szCs w:val="20"/>
        </w:rPr>
        <w:t>jaden</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lakou</w:t>
      </w:r>
      <w:proofErr w:type="spellEnd"/>
      <w:r w:rsidRPr="005516CD">
        <w:rPr>
          <w:rFonts w:asciiTheme="majorHAnsi" w:hAnsiTheme="majorHAnsi" w:cstheme="majorHAnsi"/>
          <w:i/>
          <w:sz w:val="20"/>
          <w:szCs w:val="20"/>
        </w:rPr>
        <w:t xml:space="preserve"> </w:t>
      </w:r>
      <w:r w:rsidRPr="005516CD">
        <w:rPr>
          <w:rFonts w:asciiTheme="majorHAnsi" w:hAnsiTheme="majorHAnsi" w:cstheme="majorHAnsi"/>
          <w:sz w:val="20"/>
          <w:szCs w:val="20"/>
        </w:rPr>
        <w:t>(ho</w:t>
      </w:r>
      <w:r w:rsidR="00A87C30" w:rsidRPr="005516CD">
        <w:rPr>
          <w:rFonts w:asciiTheme="majorHAnsi" w:hAnsiTheme="majorHAnsi" w:cstheme="majorHAnsi"/>
          <w:sz w:val="20"/>
          <w:szCs w:val="20"/>
        </w:rPr>
        <w:t>m</w:t>
      </w:r>
      <w:r w:rsidRPr="005516CD">
        <w:rPr>
          <w:rFonts w:asciiTheme="majorHAnsi" w:hAnsiTheme="majorHAnsi" w:cstheme="majorHAnsi"/>
          <w:sz w:val="20"/>
          <w:szCs w:val="20"/>
        </w:rPr>
        <w:t>e gardens), which constitute the central nucleus of the farm</w:t>
      </w:r>
      <w:r w:rsidR="00EA5FAB" w:rsidRPr="005516CD">
        <w:rPr>
          <w:rFonts w:asciiTheme="majorHAnsi" w:hAnsiTheme="majorHAnsi" w:cstheme="majorHAnsi"/>
          <w:sz w:val="20"/>
          <w:szCs w:val="20"/>
        </w:rPr>
        <w:t>, in which farmers associate food crops (typically plantains, which have an arborescent form, and yams, which are climbers) with tree-based cash crops: surplus from these crops is sold in local markets or exported (principally coffee, avocado, citrus, mango etc.)</w:t>
      </w:r>
      <w:r w:rsidRPr="005516CD">
        <w:rPr>
          <w:rFonts w:asciiTheme="majorHAnsi" w:hAnsiTheme="majorHAnsi" w:cstheme="majorHAnsi"/>
          <w:sz w:val="20"/>
          <w:szCs w:val="20"/>
        </w:rPr>
        <w:t xml:space="preserve">. </w:t>
      </w:r>
      <w:r w:rsidR="001F6E4F" w:rsidRPr="005516CD">
        <w:rPr>
          <w:rFonts w:asciiTheme="majorHAnsi" w:hAnsiTheme="majorHAnsi" w:cstheme="majorHAnsi"/>
          <w:sz w:val="20"/>
          <w:szCs w:val="20"/>
        </w:rPr>
        <w:t xml:space="preserve">One study identified a total of 69 useful species growing in </w:t>
      </w:r>
      <w:proofErr w:type="spellStart"/>
      <w:r w:rsidR="001F6E4F" w:rsidRPr="005516CD">
        <w:rPr>
          <w:rFonts w:asciiTheme="majorHAnsi" w:hAnsiTheme="majorHAnsi" w:cstheme="majorHAnsi"/>
          <w:i/>
          <w:sz w:val="20"/>
          <w:szCs w:val="20"/>
        </w:rPr>
        <w:t>jaden</w:t>
      </w:r>
      <w:proofErr w:type="spellEnd"/>
      <w:r w:rsidR="001F6E4F" w:rsidRPr="005516CD">
        <w:rPr>
          <w:rFonts w:asciiTheme="majorHAnsi" w:hAnsiTheme="majorHAnsi" w:cstheme="majorHAnsi"/>
          <w:i/>
          <w:sz w:val="20"/>
          <w:szCs w:val="20"/>
        </w:rPr>
        <w:t xml:space="preserve"> </w:t>
      </w:r>
      <w:proofErr w:type="spellStart"/>
      <w:r w:rsidR="001F6E4F" w:rsidRPr="005516CD">
        <w:rPr>
          <w:rFonts w:asciiTheme="majorHAnsi" w:hAnsiTheme="majorHAnsi" w:cstheme="majorHAnsi"/>
          <w:i/>
          <w:sz w:val="20"/>
          <w:szCs w:val="20"/>
        </w:rPr>
        <w:t>lakou</w:t>
      </w:r>
      <w:proofErr w:type="spellEnd"/>
      <w:r w:rsidR="001F6E4F" w:rsidRPr="005516CD">
        <w:rPr>
          <w:rFonts w:asciiTheme="majorHAnsi" w:hAnsiTheme="majorHAnsi" w:cstheme="majorHAnsi"/>
          <w:sz w:val="20"/>
          <w:szCs w:val="20"/>
        </w:rPr>
        <w:t>, for food self-sufficiency and of non-food products for home consumption.</w:t>
      </w:r>
      <w:r w:rsidR="00A87C30" w:rsidRPr="005516CD">
        <w:rPr>
          <w:rFonts w:asciiTheme="majorHAnsi" w:hAnsiTheme="majorHAnsi" w:cstheme="majorHAnsi"/>
          <w:sz w:val="20"/>
          <w:szCs w:val="20"/>
        </w:rPr>
        <w:t xml:space="preserve"> </w:t>
      </w:r>
    </w:p>
    <w:p w14:paraId="150C33EC" w14:textId="77777777" w:rsidR="00A87C30" w:rsidRPr="005516CD" w:rsidRDefault="00A87C3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Moving further from the house, the next system is the </w:t>
      </w:r>
      <w:proofErr w:type="spellStart"/>
      <w:r w:rsidRPr="005516CD">
        <w:rPr>
          <w:rFonts w:asciiTheme="majorHAnsi" w:hAnsiTheme="majorHAnsi" w:cstheme="majorHAnsi"/>
          <w:i/>
          <w:sz w:val="20"/>
          <w:szCs w:val="20"/>
        </w:rPr>
        <w:t>jaden</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pré</w:t>
      </w:r>
      <w:proofErr w:type="spellEnd"/>
      <w:r w:rsidRPr="005516CD">
        <w:rPr>
          <w:rFonts w:asciiTheme="majorHAnsi" w:hAnsiTheme="majorHAnsi" w:cstheme="majorHAnsi"/>
          <w:i/>
          <w:sz w:val="20"/>
          <w:szCs w:val="20"/>
        </w:rPr>
        <w:t>-kay’</w:t>
      </w:r>
      <w:r w:rsidRPr="005516CD">
        <w:rPr>
          <w:rFonts w:asciiTheme="majorHAnsi" w:hAnsiTheme="majorHAnsi" w:cstheme="majorHAnsi"/>
          <w:sz w:val="20"/>
          <w:szCs w:val="20"/>
        </w:rPr>
        <w:t xml:space="preserve"> (“gardens close to the house”), in which trees occupy a lesser role (often relegated to the edges) in order to permit the production of light-demanding crops. The </w:t>
      </w:r>
      <w:proofErr w:type="spellStart"/>
      <w:r w:rsidRPr="005516CD">
        <w:rPr>
          <w:rFonts w:asciiTheme="majorHAnsi" w:hAnsiTheme="majorHAnsi" w:cstheme="majorHAnsi"/>
          <w:i/>
          <w:sz w:val="20"/>
          <w:szCs w:val="20"/>
        </w:rPr>
        <w:t>jaden</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pré</w:t>
      </w:r>
      <w:proofErr w:type="spellEnd"/>
      <w:r w:rsidRPr="005516CD">
        <w:rPr>
          <w:rFonts w:asciiTheme="majorHAnsi" w:hAnsiTheme="majorHAnsi" w:cstheme="majorHAnsi"/>
          <w:i/>
          <w:sz w:val="20"/>
          <w:szCs w:val="20"/>
        </w:rPr>
        <w:t xml:space="preserve">-kay </w:t>
      </w:r>
      <w:r w:rsidRPr="005516CD">
        <w:rPr>
          <w:rFonts w:asciiTheme="majorHAnsi" w:hAnsiTheme="majorHAnsi" w:cstheme="majorHAnsi"/>
          <w:sz w:val="20"/>
          <w:szCs w:val="20"/>
        </w:rPr>
        <w:t xml:space="preserve">are essentially dedicated to annual crops managed in association, either for subsistence or sale (maize, sorghum, beans, </w:t>
      </w:r>
      <w:proofErr w:type="spellStart"/>
      <w:r w:rsidRPr="005516CD">
        <w:rPr>
          <w:rFonts w:asciiTheme="majorHAnsi" w:hAnsiTheme="majorHAnsi" w:cstheme="majorHAnsi"/>
          <w:sz w:val="20"/>
          <w:szCs w:val="20"/>
        </w:rPr>
        <w:t>rootcrops</w:t>
      </w:r>
      <w:proofErr w:type="spellEnd"/>
      <w:r w:rsidRPr="005516CD">
        <w:rPr>
          <w:rFonts w:asciiTheme="majorHAnsi" w:hAnsiTheme="majorHAnsi" w:cstheme="majorHAnsi"/>
          <w:sz w:val="20"/>
          <w:szCs w:val="20"/>
        </w:rPr>
        <w:t xml:space="preserve">, vegetables), and complement the diversified production of the </w:t>
      </w:r>
      <w:proofErr w:type="spellStart"/>
      <w:r w:rsidRPr="005516CD">
        <w:rPr>
          <w:rFonts w:asciiTheme="majorHAnsi" w:hAnsiTheme="majorHAnsi" w:cstheme="majorHAnsi"/>
          <w:i/>
          <w:sz w:val="20"/>
          <w:szCs w:val="20"/>
        </w:rPr>
        <w:t>jaden</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lakou</w:t>
      </w:r>
      <w:proofErr w:type="spellEnd"/>
      <w:r w:rsidRPr="005516CD">
        <w:rPr>
          <w:rFonts w:asciiTheme="majorHAnsi" w:hAnsiTheme="majorHAnsi" w:cstheme="majorHAnsi"/>
          <w:i/>
          <w:sz w:val="20"/>
          <w:szCs w:val="20"/>
        </w:rPr>
        <w:t>.</w:t>
      </w:r>
      <w:r w:rsidRPr="005516CD">
        <w:rPr>
          <w:rFonts w:asciiTheme="majorHAnsi" w:hAnsiTheme="majorHAnsi" w:cstheme="majorHAnsi"/>
          <w:sz w:val="20"/>
          <w:szCs w:val="20"/>
        </w:rPr>
        <w:t xml:space="preserve"> These different cropping systems are normally associated with extensive animal production systems (</w:t>
      </w:r>
      <w:proofErr w:type="spellStart"/>
      <w:r w:rsidRPr="005516CD">
        <w:rPr>
          <w:rFonts w:asciiTheme="majorHAnsi" w:hAnsiTheme="majorHAnsi" w:cstheme="majorHAnsi"/>
          <w:sz w:val="20"/>
          <w:szCs w:val="20"/>
        </w:rPr>
        <w:t>poulty</w:t>
      </w:r>
      <w:proofErr w:type="spellEnd"/>
      <w:r w:rsidRPr="005516CD">
        <w:rPr>
          <w:rFonts w:asciiTheme="majorHAnsi" w:hAnsiTheme="majorHAnsi" w:cstheme="majorHAnsi"/>
          <w:sz w:val="20"/>
          <w:szCs w:val="20"/>
        </w:rPr>
        <w:t>, goats, horses, donkeys, sheep, pigs and cattle), which provide farmers with a vital means of saving and, to a lesser extent, income generation.</w:t>
      </w:r>
    </w:p>
    <w:p w14:paraId="1030B06A" w14:textId="77777777" w:rsidR="00EA5FAB" w:rsidRPr="005516CD" w:rsidRDefault="00A87C3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Further away still, and on less fertile land, the </w:t>
      </w:r>
      <w:proofErr w:type="spellStart"/>
      <w:r w:rsidRPr="005516CD">
        <w:rPr>
          <w:rFonts w:asciiTheme="majorHAnsi" w:hAnsiTheme="majorHAnsi" w:cstheme="majorHAnsi"/>
          <w:i/>
          <w:sz w:val="20"/>
          <w:szCs w:val="20"/>
        </w:rPr>
        <w:t>jaden</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lwen</w:t>
      </w:r>
      <w:proofErr w:type="spellEnd"/>
      <w:r w:rsidRPr="005516CD">
        <w:rPr>
          <w:rFonts w:asciiTheme="majorHAnsi" w:hAnsiTheme="majorHAnsi" w:cstheme="majorHAnsi"/>
          <w:i/>
          <w:sz w:val="20"/>
          <w:szCs w:val="20"/>
        </w:rPr>
        <w:t xml:space="preserve"> kay</w:t>
      </w:r>
      <w:r w:rsidRPr="005516CD">
        <w:rPr>
          <w:rFonts w:asciiTheme="majorHAnsi" w:hAnsiTheme="majorHAnsi" w:cstheme="majorHAnsi"/>
          <w:sz w:val="20"/>
          <w:szCs w:val="20"/>
        </w:rPr>
        <w:t xml:space="preserve"> (“gardens far from the house”) and </w:t>
      </w:r>
      <w:r w:rsidRPr="005516CD">
        <w:rPr>
          <w:rFonts w:asciiTheme="majorHAnsi" w:hAnsiTheme="majorHAnsi" w:cstheme="majorHAnsi"/>
          <w:i/>
          <w:sz w:val="20"/>
          <w:szCs w:val="20"/>
        </w:rPr>
        <w:t>rack</w:t>
      </w:r>
      <w:r w:rsidRPr="005516CD">
        <w:rPr>
          <w:rFonts w:asciiTheme="majorHAnsi" w:hAnsiTheme="majorHAnsi" w:cstheme="majorHAnsi"/>
          <w:sz w:val="20"/>
          <w:szCs w:val="20"/>
        </w:rPr>
        <w:t xml:space="preserve"> (uncultivated thicket area). The former are open areas (generally cultivated under rental or sharecropping arrangements), </w:t>
      </w:r>
      <w:proofErr w:type="spellStart"/>
      <w:r w:rsidRPr="005516CD">
        <w:rPr>
          <w:rFonts w:asciiTheme="majorHAnsi" w:hAnsiTheme="majorHAnsi" w:cstheme="majorHAnsi"/>
          <w:sz w:val="20"/>
          <w:szCs w:val="20"/>
        </w:rPr>
        <w:t>commony</w:t>
      </w:r>
      <w:proofErr w:type="spellEnd"/>
      <w:r w:rsidRPr="005516CD">
        <w:rPr>
          <w:rFonts w:asciiTheme="majorHAnsi" w:hAnsiTheme="majorHAnsi" w:cstheme="majorHAnsi"/>
          <w:sz w:val="20"/>
          <w:szCs w:val="20"/>
        </w:rPr>
        <w:t xml:space="preserve"> between 5 and 15 km from the house, which are used for annual, light-demanding cash crops (e.g. maize, sweet potato, sorghum and vegetables). The latter (</w:t>
      </w:r>
      <w:r w:rsidRPr="005516CD">
        <w:rPr>
          <w:rFonts w:asciiTheme="majorHAnsi" w:hAnsiTheme="majorHAnsi" w:cstheme="majorHAnsi"/>
          <w:i/>
          <w:sz w:val="20"/>
          <w:szCs w:val="20"/>
        </w:rPr>
        <w:t>rack</w:t>
      </w:r>
      <w:r w:rsidRPr="005516CD">
        <w:rPr>
          <w:rFonts w:asciiTheme="majorHAnsi" w:hAnsiTheme="majorHAnsi" w:cstheme="majorHAnsi"/>
          <w:sz w:val="20"/>
          <w:szCs w:val="20"/>
        </w:rPr>
        <w:t>) are long-term forest fallows which act as important reserves of wood (charcoal, fuelwood, tools etc.), and which alternate with short slash and burn cycles of crops with low fertility demands.</w:t>
      </w:r>
    </w:p>
    <w:p w14:paraId="36EC9785" w14:textId="77777777" w:rsidR="009446BE" w:rsidRPr="005516CD" w:rsidRDefault="009446BE"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hAnsiTheme="majorHAnsi" w:cstheme="majorHAnsi"/>
          <w:b/>
          <w:sz w:val="20"/>
          <w:szCs w:val="20"/>
        </w:rPr>
      </w:pPr>
      <w:r w:rsidRPr="005516CD">
        <w:rPr>
          <w:rFonts w:asciiTheme="majorHAnsi" w:hAnsiTheme="majorHAnsi" w:cstheme="majorHAnsi"/>
          <w:b/>
          <w:sz w:val="20"/>
          <w:szCs w:val="20"/>
        </w:rPr>
        <w:t xml:space="preserve">Typical configuration of </w:t>
      </w:r>
      <w:proofErr w:type="spellStart"/>
      <w:r w:rsidRPr="005516CD">
        <w:rPr>
          <w:rFonts w:asciiTheme="majorHAnsi" w:hAnsiTheme="majorHAnsi" w:cstheme="majorHAnsi"/>
          <w:b/>
          <w:sz w:val="20"/>
          <w:szCs w:val="20"/>
        </w:rPr>
        <w:t>créole</w:t>
      </w:r>
      <w:proofErr w:type="spellEnd"/>
      <w:r w:rsidRPr="005516CD">
        <w:rPr>
          <w:rFonts w:asciiTheme="majorHAnsi" w:hAnsiTheme="majorHAnsi" w:cstheme="majorHAnsi"/>
          <w:b/>
          <w:sz w:val="20"/>
          <w:szCs w:val="20"/>
        </w:rPr>
        <w:t xml:space="preserve"> garden farming systems</w:t>
      </w:r>
      <w:r w:rsidR="00D10372" w:rsidRPr="005516CD">
        <w:rPr>
          <w:rFonts w:asciiTheme="majorHAnsi" w:hAnsiTheme="majorHAnsi" w:cstheme="majorHAnsi"/>
          <w:b/>
          <w:sz w:val="20"/>
          <w:szCs w:val="20"/>
        </w:rPr>
        <w:t xml:space="preserve"> in function of distance from the house</w:t>
      </w:r>
      <w:r w:rsidRPr="005516CD">
        <w:rPr>
          <w:rFonts w:asciiTheme="majorHAnsi" w:hAnsiTheme="majorHAnsi" w:cstheme="majorHAnsi"/>
          <w:b/>
          <w:sz w:val="20"/>
          <w:szCs w:val="20"/>
        </w:rPr>
        <w:t xml:space="preserve">: A = </w:t>
      </w:r>
      <w:proofErr w:type="spellStart"/>
      <w:r w:rsidRPr="005516CD">
        <w:rPr>
          <w:rFonts w:asciiTheme="majorHAnsi" w:hAnsiTheme="majorHAnsi" w:cstheme="majorHAnsi"/>
          <w:b/>
          <w:i/>
          <w:sz w:val="20"/>
          <w:szCs w:val="20"/>
        </w:rPr>
        <w:t>jaden</w:t>
      </w:r>
      <w:proofErr w:type="spellEnd"/>
      <w:r w:rsidRPr="005516CD">
        <w:rPr>
          <w:rFonts w:asciiTheme="majorHAnsi" w:hAnsiTheme="majorHAnsi" w:cstheme="majorHAnsi"/>
          <w:b/>
          <w:i/>
          <w:sz w:val="20"/>
          <w:szCs w:val="20"/>
        </w:rPr>
        <w:t xml:space="preserve"> </w:t>
      </w:r>
      <w:proofErr w:type="spellStart"/>
      <w:r w:rsidRPr="005516CD">
        <w:rPr>
          <w:rFonts w:asciiTheme="majorHAnsi" w:hAnsiTheme="majorHAnsi" w:cstheme="majorHAnsi"/>
          <w:b/>
          <w:i/>
          <w:sz w:val="20"/>
          <w:szCs w:val="20"/>
        </w:rPr>
        <w:t>lakou</w:t>
      </w:r>
      <w:proofErr w:type="spellEnd"/>
      <w:r w:rsidRPr="005516CD">
        <w:rPr>
          <w:rFonts w:asciiTheme="majorHAnsi" w:hAnsiTheme="majorHAnsi" w:cstheme="majorHAnsi"/>
          <w:b/>
          <w:i/>
          <w:sz w:val="20"/>
          <w:szCs w:val="20"/>
        </w:rPr>
        <w:t xml:space="preserve">, </w:t>
      </w:r>
      <w:r w:rsidRPr="005516CD">
        <w:rPr>
          <w:rFonts w:asciiTheme="majorHAnsi" w:hAnsiTheme="majorHAnsi" w:cstheme="majorHAnsi"/>
          <w:b/>
          <w:sz w:val="20"/>
          <w:szCs w:val="20"/>
        </w:rPr>
        <w:t xml:space="preserve">B = </w:t>
      </w:r>
      <w:proofErr w:type="spellStart"/>
      <w:r w:rsidRPr="005516CD">
        <w:rPr>
          <w:rFonts w:asciiTheme="majorHAnsi" w:hAnsiTheme="majorHAnsi" w:cstheme="majorHAnsi"/>
          <w:b/>
          <w:i/>
          <w:sz w:val="20"/>
          <w:szCs w:val="20"/>
        </w:rPr>
        <w:t>jaden</w:t>
      </w:r>
      <w:proofErr w:type="spellEnd"/>
      <w:r w:rsidRPr="005516CD">
        <w:rPr>
          <w:rFonts w:asciiTheme="majorHAnsi" w:hAnsiTheme="majorHAnsi" w:cstheme="majorHAnsi"/>
          <w:b/>
          <w:i/>
          <w:sz w:val="20"/>
          <w:szCs w:val="20"/>
        </w:rPr>
        <w:t xml:space="preserve"> pre-kay</w:t>
      </w:r>
      <w:r w:rsidRPr="005516CD">
        <w:rPr>
          <w:rFonts w:asciiTheme="majorHAnsi" w:hAnsiTheme="majorHAnsi" w:cstheme="majorHAnsi"/>
          <w:b/>
          <w:sz w:val="20"/>
          <w:szCs w:val="20"/>
        </w:rPr>
        <w:t xml:space="preserve">, C = </w:t>
      </w:r>
      <w:proofErr w:type="spellStart"/>
      <w:r w:rsidRPr="005516CD">
        <w:rPr>
          <w:rFonts w:asciiTheme="majorHAnsi" w:hAnsiTheme="majorHAnsi" w:cstheme="majorHAnsi"/>
          <w:b/>
          <w:i/>
          <w:sz w:val="20"/>
          <w:szCs w:val="20"/>
        </w:rPr>
        <w:t>jaden</w:t>
      </w:r>
      <w:proofErr w:type="spellEnd"/>
      <w:r w:rsidRPr="005516CD">
        <w:rPr>
          <w:rFonts w:asciiTheme="majorHAnsi" w:hAnsiTheme="majorHAnsi" w:cstheme="majorHAnsi"/>
          <w:b/>
          <w:i/>
          <w:sz w:val="20"/>
          <w:szCs w:val="20"/>
        </w:rPr>
        <w:t xml:space="preserve"> </w:t>
      </w:r>
      <w:proofErr w:type="spellStart"/>
      <w:r w:rsidRPr="005516CD">
        <w:rPr>
          <w:rFonts w:asciiTheme="majorHAnsi" w:hAnsiTheme="majorHAnsi" w:cstheme="majorHAnsi"/>
          <w:b/>
          <w:i/>
          <w:sz w:val="20"/>
          <w:szCs w:val="20"/>
        </w:rPr>
        <w:t>lwen</w:t>
      </w:r>
      <w:proofErr w:type="spellEnd"/>
      <w:r w:rsidRPr="005516CD">
        <w:rPr>
          <w:rFonts w:asciiTheme="majorHAnsi" w:hAnsiTheme="majorHAnsi" w:cstheme="majorHAnsi"/>
          <w:b/>
          <w:i/>
          <w:sz w:val="20"/>
          <w:szCs w:val="20"/>
        </w:rPr>
        <w:t xml:space="preserve"> kay, </w:t>
      </w:r>
      <w:r w:rsidRPr="005516CD">
        <w:rPr>
          <w:rFonts w:asciiTheme="majorHAnsi" w:hAnsiTheme="majorHAnsi" w:cstheme="majorHAnsi"/>
          <w:b/>
          <w:sz w:val="20"/>
          <w:szCs w:val="20"/>
        </w:rPr>
        <w:t>D = rack</w:t>
      </w:r>
    </w:p>
    <w:p w14:paraId="2D7D87F5" w14:textId="77777777" w:rsidR="00EA5FAB" w:rsidRPr="005516CD" w:rsidRDefault="009446BE" w:rsidP="009446BE">
      <w:pPr>
        <w:tabs>
          <w:tab w:val="num" w:pos="-284"/>
          <w:tab w:val="left" w:pos="426"/>
        </w:tabs>
        <w:spacing w:after="120"/>
        <w:ind w:right="96"/>
        <w:jc w:val="center"/>
        <w:rPr>
          <w:rFonts w:asciiTheme="majorHAnsi" w:hAnsiTheme="majorHAnsi" w:cstheme="majorHAnsi"/>
          <w:sz w:val="20"/>
          <w:szCs w:val="20"/>
        </w:rPr>
      </w:pPr>
      <w:r w:rsidRPr="005516CD">
        <w:rPr>
          <w:rFonts w:asciiTheme="majorHAnsi" w:hAnsiTheme="majorHAnsi" w:cstheme="majorHAnsi"/>
          <w:i/>
          <w:noProof/>
          <w:sz w:val="20"/>
          <w:szCs w:val="20"/>
          <w:lang w:val="en-US" w:eastAsia="en-US"/>
        </w:rPr>
        <w:drawing>
          <wp:inline distT="0" distB="0" distL="0" distR="0" wp14:anchorId="4C4E3B69" wp14:editId="704A00C9">
            <wp:extent cx="3831590" cy="2258695"/>
            <wp:effectExtent l="0" t="0" r="0" b="825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31590" cy="2258695"/>
                    </a:xfrm>
                    <a:prstGeom prst="rect">
                      <a:avLst/>
                    </a:prstGeom>
                    <a:noFill/>
                    <a:ln>
                      <a:noFill/>
                    </a:ln>
                  </pic:spPr>
                </pic:pic>
              </a:graphicData>
            </a:graphic>
          </wp:inline>
        </w:drawing>
      </w:r>
    </w:p>
    <w:p w14:paraId="43D59626" w14:textId="77777777" w:rsidR="00661F56" w:rsidRPr="005516CD" w:rsidRDefault="00661F56" w:rsidP="006B27F4">
      <w:pPr>
        <w:pStyle w:val="ListParagraph"/>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bookmarkStart w:id="12" w:name="_Toc528227025"/>
      <w:bookmarkStart w:id="13" w:name="_Toc528227020"/>
      <w:r w:rsidRPr="005516CD">
        <w:rPr>
          <w:rFonts w:asciiTheme="majorHAnsi" w:eastAsiaTheme="minorHAnsi" w:hAnsiTheme="majorHAnsi" w:cstheme="majorHAnsi"/>
          <w:color w:val="auto"/>
          <w:sz w:val="20"/>
          <w:szCs w:val="20"/>
          <w:bdr w:val="none" w:sz="0" w:space="0" w:color="auto"/>
          <w:lang w:val="en-GB"/>
        </w:rPr>
        <w:t xml:space="preserve">The number of </w:t>
      </w:r>
      <w:proofErr w:type="spellStart"/>
      <w:r w:rsidRPr="005516CD">
        <w:rPr>
          <w:rFonts w:asciiTheme="majorHAnsi" w:eastAsiaTheme="minorHAnsi" w:hAnsiTheme="majorHAnsi" w:cstheme="majorHAnsi"/>
          <w:i/>
          <w:color w:val="auto"/>
          <w:sz w:val="20"/>
          <w:szCs w:val="20"/>
          <w:bdr w:val="none" w:sz="0" w:space="0" w:color="auto"/>
          <w:lang w:val="en-GB"/>
        </w:rPr>
        <w:t>jaden</w:t>
      </w:r>
      <w:proofErr w:type="spellEnd"/>
      <w:r w:rsidRPr="005516CD">
        <w:rPr>
          <w:rFonts w:asciiTheme="majorHAnsi" w:eastAsiaTheme="minorHAnsi" w:hAnsiTheme="majorHAnsi" w:cstheme="majorHAnsi"/>
          <w:i/>
          <w:color w:val="auto"/>
          <w:sz w:val="20"/>
          <w:szCs w:val="20"/>
          <w:bdr w:val="none" w:sz="0" w:space="0" w:color="auto"/>
          <w:lang w:val="en-GB"/>
        </w:rPr>
        <w:t xml:space="preserve"> </w:t>
      </w:r>
      <w:proofErr w:type="spellStart"/>
      <w:r w:rsidRPr="005516CD">
        <w:rPr>
          <w:rFonts w:asciiTheme="majorHAnsi" w:eastAsiaTheme="minorHAnsi" w:hAnsiTheme="majorHAnsi" w:cstheme="majorHAnsi"/>
          <w:i/>
          <w:color w:val="auto"/>
          <w:sz w:val="20"/>
          <w:szCs w:val="20"/>
          <w:bdr w:val="none" w:sz="0" w:space="0" w:color="auto"/>
          <w:lang w:val="en-GB"/>
        </w:rPr>
        <w:t>lwen</w:t>
      </w:r>
      <w:proofErr w:type="spellEnd"/>
      <w:r w:rsidRPr="005516CD">
        <w:rPr>
          <w:rFonts w:asciiTheme="majorHAnsi" w:eastAsiaTheme="minorHAnsi" w:hAnsiTheme="majorHAnsi" w:cstheme="majorHAnsi"/>
          <w:i/>
          <w:color w:val="auto"/>
          <w:sz w:val="20"/>
          <w:szCs w:val="20"/>
          <w:bdr w:val="none" w:sz="0" w:space="0" w:color="auto"/>
          <w:lang w:val="en-GB"/>
        </w:rPr>
        <w:t xml:space="preserve"> kay</w:t>
      </w:r>
      <w:r w:rsidRPr="005516CD">
        <w:rPr>
          <w:rFonts w:asciiTheme="majorHAnsi" w:eastAsiaTheme="minorHAnsi" w:hAnsiTheme="majorHAnsi" w:cstheme="majorHAnsi"/>
          <w:color w:val="auto"/>
          <w:sz w:val="20"/>
          <w:szCs w:val="20"/>
          <w:bdr w:val="none" w:sz="0" w:space="0" w:color="auto"/>
          <w:lang w:val="en-GB"/>
        </w:rPr>
        <w:t xml:space="preserve"> held by different farmers depends to some extent on their socioeconomic status: it varies between 3 and 6 for the better off farmers (category I), 2-3 for category 2, and 0-1 for category 3; very few of the poorest farmers have this kind of garden </w:t>
      </w:r>
      <w:r w:rsidR="001004A2" w:rsidRPr="005516CD">
        <w:rPr>
          <w:rFonts w:asciiTheme="majorHAnsi" w:eastAsiaTheme="minorHAnsi" w:hAnsiTheme="majorHAnsi" w:cstheme="majorHAnsi"/>
          <w:color w:val="auto"/>
          <w:sz w:val="20"/>
          <w:szCs w:val="20"/>
          <w:bdr w:val="none" w:sz="0" w:space="0" w:color="auto"/>
          <w:lang w:val="en-GB"/>
        </w:rPr>
        <w:t>unless acquired through inheritance or accessed through squatting or usufruct.</w:t>
      </w:r>
    </w:p>
    <w:p w14:paraId="73EE08F7" w14:textId="77777777" w:rsidR="00A03089" w:rsidRPr="005516CD" w:rsidRDefault="00A03089" w:rsidP="00A03089">
      <w:pPr>
        <w:pStyle w:val="Heading7"/>
        <w:keepNext/>
        <w:ind w:left="0"/>
        <w:rPr>
          <w:rFonts w:asciiTheme="majorHAnsi" w:hAnsiTheme="majorHAnsi" w:cstheme="majorHAnsi"/>
          <w:i/>
        </w:rPr>
      </w:pPr>
      <w:r w:rsidRPr="005516CD">
        <w:rPr>
          <w:rFonts w:asciiTheme="majorHAnsi" w:hAnsiTheme="majorHAnsi" w:cstheme="majorHAnsi"/>
          <w:i/>
        </w:rPr>
        <w:t xml:space="preserve">Fruit </w:t>
      </w:r>
      <w:r w:rsidR="00E24F1C" w:rsidRPr="005516CD">
        <w:rPr>
          <w:rFonts w:asciiTheme="majorHAnsi" w:hAnsiTheme="majorHAnsi" w:cstheme="majorHAnsi"/>
          <w:i/>
        </w:rPr>
        <w:t xml:space="preserve">and non-timber products </w:t>
      </w:r>
    </w:p>
    <w:p w14:paraId="0DDAF1C8" w14:textId="77777777" w:rsidR="00A03089" w:rsidRPr="005516CD" w:rsidRDefault="00A0308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communes of Mont-</w:t>
      </w:r>
      <w:proofErr w:type="spellStart"/>
      <w:r w:rsidRPr="005516CD">
        <w:rPr>
          <w:rFonts w:asciiTheme="majorHAnsi" w:hAnsiTheme="majorHAnsi" w:cstheme="majorHAnsi"/>
          <w:sz w:val="20"/>
          <w:szCs w:val="20"/>
        </w:rPr>
        <w:t>Organisé</w:t>
      </w:r>
      <w:proofErr w:type="spellEnd"/>
      <w:r w:rsidRPr="005516CD">
        <w:rPr>
          <w:rFonts w:asciiTheme="majorHAnsi" w:hAnsiTheme="majorHAnsi" w:cstheme="majorHAnsi"/>
          <w:sz w:val="20"/>
          <w:szCs w:val="20"/>
        </w:rPr>
        <w:t xml:space="preserve">, Carice and </w:t>
      </w:r>
      <w:proofErr w:type="spellStart"/>
      <w:r w:rsidRPr="005516CD">
        <w:rPr>
          <w:rFonts w:asciiTheme="majorHAnsi" w:hAnsiTheme="majorHAnsi" w:cstheme="majorHAnsi"/>
          <w:sz w:val="20"/>
          <w:szCs w:val="20"/>
        </w:rPr>
        <w:t>Mombin</w:t>
      </w:r>
      <w:proofErr w:type="spellEnd"/>
      <w:r w:rsidRPr="005516CD">
        <w:rPr>
          <w:rFonts w:asciiTheme="majorHAnsi" w:hAnsiTheme="majorHAnsi" w:cstheme="majorHAnsi"/>
          <w:sz w:val="20"/>
          <w:szCs w:val="20"/>
        </w:rPr>
        <w:t>-Crochu are notable for the production of mangoes</w:t>
      </w:r>
      <w:r w:rsidR="00E24F1C" w:rsidRPr="005516CD">
        <w:rPr>
          <w:rFonts w:asciiTheme="majorHAnsi" w:hAnsiTheme="majorHAnsi" w:cstheme="majorHAnsi"/>
          <w:sz w:val="20"/>
          <w:szCs w:val="20"/>
        </w:rPr>
        <w:t xml:space="preserve"> (</w:t>
      </w:r>
      <w:r w:rsidRPr="005516CD">
        <w:rPr>
          <w:rFonts w:asciiTheme="majorHAnsi" w:hAnsiTheme="majorHAnsi" w:cstheme="majorHAnsi"/>
          <w:sz w:val="20"/>
          <w:szCs w:val="20"/>
        </w:rPr>
        <w:t>with more than 15 different varieties</w:t>
      </w:r>
      <w:r w:rsidR="00E24F1C" w:rsidRPr="005516CD">
        <w:rPr>
          <w:rFonts w:asciiTheme="majorHAnsi" w:hAnsiTheme="majorHAnsi" w:cstheme="majorHAnsi"/>
          <w:sz w:val="20"/>
          <w:szCs w:val="20"/>
        </w:rPr>
        <w:t>)</w:t>
      </w:r>
      <w:r w:rsidRPr="005516CD">
        <w:rPr>
          <w:rFonts w:asciiTheme="majorHAnsi" w:hAnsiTheme="majorHAnsi" w:cstheme="majorHAnsi"/>
          <w:sz w:val="20"/>
          <w:szCs w:val="20"/>
        </w:rPr>
        <w:t xml:space="preserve">, avocado, </w:t>
      </w:r>
      <w:r w:rsidR="00E24F1C" w:rsidRPr="005516CD">
        <w:rPr>
          <w:rFonts w:asciiTheme="majorHAnsi" w:hAnsiTheme="majorHAnsi" w:cstheme="majorHAnsi"/>
          <w:sz w:val="20"/>
          <w:szCs w:val="20"/>
        </w:rPr>
        <w:t xml:space="preserve">charcoal, </w:t>
      </w:r>
      <w:r w:rsidRPr="005516CD">
        <w:rPr>
          <w:rFonts w:asciiTheme="majorHAnsi" w:hAnsiTheme="majorHAnsi" w:cstheme="majorHAnsi"/>
          <w:sz w:val="20"/>
          <w:szCs w:val="20"/>
        </w:rPr>
        <w:t xml:space="preserve">citrus, </w:t>
      </w:r>
      <w:r w:rsidR="00E24F1C" w:rsidRPr="005516CD">
        <w:rPr>
          <w:rFonts w:asciiTheme="majorHAnsi" w:hAnsiTheme="majorHAnsi" w:cstheme="majorHAnsi"/>
          <w:sz w:val="20"/>
          <w:szCs w:val="20"/>
        </w:rPr>
        <w:t xml:space="preserve">black mushrooms </w:t>
      </w:r>
      <w:r w:rsidRPr="005516CD">
        <w:rPr>
          <w:rFonts w:asciiTheme="majorHAnsi" w:hAnsiTheme="majorHAnsi" w:cstheme="majorHAnsi"/>
          <w:sz w:val="20"/>
          <w:szCs w:val="20"/>
        </w:rPr>
        <w:t>(</w:t>
      </w:r>
      <w:proofErr w:type="spellStart"/>
      <w:r w:rsidRPr="005516CD">
        <w:rPr>
          <w:rFonts w:asciiTheme="majorHAnsi" w:hAnsiTheme="majorHAnsi" w:cstheme="majorHAnsi"/>
          <w:i/>
          <w:sz w:val="20"/>
          <w:szCs w:val="20"/>
        </w:rPr>
        <w:t>djondjon</w:t>
      </w:r>
      <w:proofErr w:type="spellEnd"/>
      <w:r w:rsidRPr="005516CD">
        <w:rPr>
          <w:rFonts w:asciiTheme="majorHAnsi" w:hAnsiTheme="majorHAnsi" w:cstheme="majorHAnsi"/>
          <w:sz w:val="20"/>
          <w:szCs w:val="20"/>
        </w:rPr>
        <w:t xml:space="preserve">) </w:t>
      </w:r>
      <w:r w:rsidR="00E24F1C" w:rsidRPr="005516CD">
        <w:rPr>
          <w:rFonts w:asciiTheme="majorHAnsi" w:hAnsiTheme="majorHAnsi" w:cstheme="majorHAnsi"/>
          <w:sz w:val="20"/>
          <w:szCs w:val="20"/>
        </w:rPr>
        <w:t>and poultry (principally chickens</w:t>
      </w:r>
      <w:r w:rsidRPr="005516CD">
        <w:rPr>
          <w:rFonts w:asciiTheme="majorHAnsi" w:hAnsiTheme="majorHAnsi" w:cstheme="majorHAnsi"/>
          <w:sz w:val="20"/>
          <w:szCs w:val="20"/>
        </w:rPr>
        <w:t xml:space="preserve">). </w:t>
      </w:r>
      <w:r w:rsidR="00E24F1C" w:rsidRPr="005516CD">
        <w:rPr>
          <w:rFonts w:asciiTheme="majorHAnsi" w:hAnsiTheme="majorHAnsi" w:cstheme="majorHAnsi"/>
          <w:sz w:val="20"/>
          <w:szCs w:val="20"/>
        </w:rPr>
        <w:t>Mango production is particularly important in these communes</w:t>
      </w:r>
      <w:r w:rsidR="00546160" w:rsidRPr="005516CD">
        <w:rPr>
          <w:rFonts w:asciiTheme="majorHAnsi" w:hAnsiTheme="majorHAnsi" w:cstheme="majorHAnsi"/>
          <w:sz w:val="20"/>
          <w:szCs w:val="20"/>
        </w:rPr>
        <w:t>:</w:t>
      </w:r>
      <w:r w:rsidR="00E24F1C" w:rsidRPr="005516CD">
        <w:rPr>
          <w:rFonts w:asciiTheme="majorHAnsi" w:hAnsiTheme="majorHAnsi" w:cstheme="majorHAnsi"/>
          <w:sz w:val="20"/>
          <w:szCs w:val="20"/>
        </w:rPr>
        <w:t xml:space="preserve"> in recent years</w:t>
      </w:r>
      <w:r w:rsidR="00546160" w:rsidRPr="005516CD">
        <w:rPr>
          <w:rFonts w:asciiTheme="majorHAnsi" w:hAnsiTheme="majorHAnsi" w:cstheme="majorHAnsi"/>
          <w:sz w:val="20"/>
          <w:szCs w:val="20"/>
        </w:rPr>
        <w:t>, however,</w:t>
      </w:r>
      <w:r w:rsidR="00E24F1C" w:rsidRPr="005516CD">
        <w:rPr>
          <w:rFonts w:asciiTheme="majorHAnsi" w:hAnsiTheme="majorHAnsi" w:cstheme="majorHAnsi"/>
          <w:sz w:val="20"/>
          <w:szCs w:val="20"/>
        </w:rPr>
        <w:t xml:space="preserve"> many mango trees have been felled</w:t>
      </w:r>
      <w:r w:rsidR="00C26AF2" w:rsidRPr="005516CD">
        <w:rPr>
          <w:rFonts w:asciiTheme="majorHAnsi" w:hAnsiTheme="majorHAnsi" w:cstheme="majorHAnsi"/>
          <w:sz w:val="20"/>
          <w:szCs w:val="20"/>
        </w:rPr>
        <w:t xml:space="preserve">, principally for the production of charcoal and as fuel for limekilns. Due in large part to the isolation of the production areas, post-harvest losses of fruit are very high: farmers and representatives of BAC estimate that around 60% of mango production is wasted, and fruit production greatly exceeds current demand. </w:t>
      </w:r>
      <w:r w:rsidR="00054FE9" w:rsidRPr="005516CD">
        <w:rPr>
          <w:rFonts w:asciiTheme="majorHAnsi" w:hAnsiTheme="majorHAnsi" w:cstheme="majorHAnsi"/>
          <w:sz w:val="20"/>
          <w:szCs w:val="20"/>
        </w:rPr>
        <w:t xml:space="preserve">Results from focus groups indicate that in addition to losses during transport and handling, which often exceed 15%, more than 35% of production (of fruit in general) is abandoned in the field due to lack of markets and/or lack of knowledge </w:t>
      </w:r>
      <w:r w:rsidR="000C032D" w:rsidRPr="005516CD">
        <w:rPr>
          <w:rFonts w:asciiTheme="majorHAnsi" w:hAnsiTheme="majorHAnsi" w:cstheme="majorHAnsi"/>
          <w:sz w:val="20"/>
          <w:szCs w:val="20"/>
        </w:rPr>
        <w:t>of effective methods for increasing product life.</w:t>
      </w:r>
      <w:r w:rsidR="00054FE9" w:rsidRPr="005516CD">
        <w:rPr>
          <w:rFonts w:asciiTheme="majorHAnsi" w:hAnsiTheme="majorHAnsi" w:cstheme="majorHAnsi"/>
          <w:sz w:val="20"/>
          <w:szCs w:val="20"/>
        </w:rPr>
        <w:t xml:space="preserve"> </w:t>
      </w:r>
    </w:p>
    <w:p w14:paraId="237A377C" w14:textId="77777777" w:rsidR="003B0FAD" w:rsidRPr="005516CD" w:rsidRDefault="003B0FAD" w:rsidP="003B0FAD">
      <w:pPr>
        <w:pStyle w:val="Heading7"/>
        <w:spacing w:before="0"/>
        <w:ind w:left="0"/>
        <w:rPr>
          <w:rFonts w:asciiTheme="majorHAnsi" w:hAnsiTheme="majorHAnsi" w:cstheme="majorHAnsi"/>
          <w:i/>
        </w:rPr>
      </w:pPr>
      <w:r w:rsidRPr="005516CD">
        <w:rPr>
          <w:rFonts w:asciiTheme="majorHAnsi" w:hAnsiTheme="majorHAnsi" w:cstheme="majorHAnsi"/>
          <w:i/>
        </w:rPr>
        <w:t xml:space="preserve">Structure </w:t>
      </w:r>
      <w:r w:rsidR="00F63A3A" w:rsidRPr="005516CD">
        <w:rPr>
          <w:rFonts w:asciiTheme="majorHAnsi" w:hAnsiTheme="majorHAnsi" w:cstheme="majorHAnsi"/>
          <w:i/>
        </w:rPr>
        <w:t xml:space="preserve">and management </w:t>
      </w:r>
      <w:r w:rsidRPr="005516CD">
        <w:rPr>
          <w:rFonts w:asciiTheme="majorHAnsi" w:hAnsiTheme="majorHAnsi" w:cstheme="majorHAnsi"/>
          <w:i/>
        </w:rPr>
        <w:t>of agroforestry systems</w:t>
      </w:r>
    </w:p>
    <w:bookmarkEnd w:id="12"/>
    <w:p w14:paraId="22AF61DF" w14:textId="77777777" w:rsidR="00976C82" w:rsidRPr="005516CD" w:rsidRDefault="003B0FA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Especially in the areas of </w:t>
      </w:r>
      <w:r w:rsidR="00976C82" w:rsidRPr="005516CD">
        <w:rPr>
          <w:rFonts w:asciiTheme="majorHAnsi" w:hAnsiTheme="majorHAnsi" w:cstheme="majorHAnsi"/>
          <w:sz w:val="20"/>
          <w:szCs w:val="20"/>
        </w:rPr>
        <w:t>Pilate</w:t>
      </w:r>
      <w:r w:rsidRPr="005516CD">
        <w:rPr>
          <w:rFonts w:asciiTheme="majorHAnsi" w:hAnsiTheme="majorHAnsi" w:cstheme="majorHAnsi"/>
          <w:sz w:val="20"/>
          <w:szCs w:val="20"/>
        </w:rPr>
        <w:t>,</w:t>
      </w:r>
      <w:r w:rsidR="00976C82" w:rsidRPr="005516CD">
        <w:rPr>
          <w:rFonts w:asciiTheme="majorHAnsi" w:hAnsiTheme="majorHAnsi" w:cstheme="majorHAnsi"/>
          <w:sz w:val="20"/>
          <w:szCs w:val="20"/>
        </w:rPr>
        <w:t xml:space="preserve"> Port-Margot, </w:t>
      </w:r>
      <w:proofErr w:type="spellStart"/>
      <w:r w:rsidR="00976C82" w:rsidRPr="005516CD">
        <w:rPr>
          <w:rFonts w:asciiTheme="majorHAnsi" w:hAnsiTheme="majorHAnsi" w:cstheme="majorHAnsi"/>
          <w:sz w:val="20"/>
          <w:szCs w:val="20"/>
        </w:rPr>
        <w:t>Mombin</w:t>
      </w:r>
      <w:proofErr w:type="spellEnd"/>
      <w:r w:rsidR="00976C82" w:rsidRPr="005516CD">
        <w:rPr>
          <w:rFonts w:asciiTheme="majorHAnsi" w:hAnsiTheme="majorHAnsi" w:cstheme="majorHAnsi"/>
          <w:sz w:val="20"/>
          <w:szCs w:val="20"/>
        </w:rPr>
        <w:t>-Crochu, Borgne</w:t>
      </w:r>
      <w:r w:rsidRPr="005516CD">
        <w:rPr>
          <w:rFonts w:asciiTheme="majorHAnsi" w:hAnsiTheme="majorHAnsi" w:cstheme="majorHAnsi"/>
          <w:sz w:val="20"/>
          <w:szCs w:val="20"/>
        </w:rPr>
        <w:t xml:space="preserve"> and </w:t>
      </w:r>
      <w:r w:rsidR="00976C82" w:rsidRPr="005516CD">
        <w:rPr>
          <w:rFonts w:asciiTheme="majorHAnsi" w:hAnsiTheme="majorHAnsi" w:cstheme="majorHAnsi"/>
          <w:sz w:val="20"/>
          <w:szCs w:val="20"/>
        </w:rPr>
        <w:t>Grande-Rivière</w:t>
      </w:r>
      <w:r w:rsidRPr="005516CD">
        <w:rPr>
          <w:rFonts w:asciiTheme="majorHAnsi" w:hAnsiTheme="majorHAnsi" w:cstheme="majorHAnsi"/>
          <w:sz w:val="20"/>
          <w:szCs w:val="20"/>
        </w:rPr>
        <w:t xml:space="preserve"> du Nord</w:t>
      </w:r>
      <w:r w:rsidR="00976C82" w:rsidRPr="005516CD">
        <w:rPr>
          <w:rFonts w:asciiTheme="majorHAnsi" w:hAnsiTheme="majorHAnsi" w:cstheme="majorHAnsi"/>
          <w:sz w:val="20"/>
          <w:szCs w:val="20"/>
        </w:rPr>
        <w:t xml:space="preserve">, </w:t>
      </w:r>
      <w:r w:rsidRPr="005516CD">
        <w:rPr>
          <w:rFonts w:asciiTheme="majorHAnsi" w:hAnsiTheme="majorHAnsi" w:cstheme="majorHAnsi"/>
          <w:sz w:val="20"/>
          <w:szCs w:val="20"/>
        </w:rPr>
        <w:t>at least four strata of vegetation are recognisable in the agroforestry systems</w:t>
      </w:r>
      <w:r w:rsidR="00976C82" w:rsidRPr="005516CD">
        <w:rPr>
          <w:rFonts w:asciiTheme="majorHAnsi" w:hAnsiTheme="majorHAnsi" w:cstheme="majorHAnsi"/>
          <w:sz w:val="20"/>
          <w:szCs w:val="20"/>
        </w:rPr>
        <w:t>:</w:t>
      </w:r>
    </w:p>
    <w:p w14:paraId="3D4A68FA" w14:textId="77777777" w:rsidR="00976C82" w:rsidRPr="005516CD" w:rsidRDefault="003B0FAD" w:rsidP="006B27F4">
      <w:pPr>
        <w:pStyle w:val="ListParagraph"/>
        <w:numPr>
          <w:ilvl w:val="0"/>
          <w:numId w:val="99"/>
        </w:numPr>
        <w:pBdr>
          <w:top w:val="none" w:sz="0" w:space="0" w:color="auto"/>
          <w:left w:val="none" w:sz="0" w:space="0" w:color="auto"/>
          <w:bottom w:val="none" w:sz="0" w:space="0" w:color="auto"/>
          <w:right w:val="none" w:sz="0" w:space="0" w:color="auto"/>
          <w:between w:val="none" w:sz="0" w:space="0" w:color="auto"/>
          <w:bar w:val="none" w:sz="0" w:color="auto"/>
        </w:pBdr>
        <w:spacing w:after="120"/>
        <w:ind w:left="714" w:hanging="357"/>
        <w:contextualSpacing/>
        <w:jc w:val="both"/>
        <w:rPr>
          <w:rFonts w:asciiTheme="majorHAnsi" w:hAnsiTheme="majorHAnsi" w:cstheme="majorHAnsi"/>
          <w:color w:val="auto"/>
          <w:sz w:val="20"/>
          <w:szCs w:val="20"/>
        </w:rPr>
      </w:pPr>
      <w:r w:rsidRPr="005516CD">
        <w:rPr>
          <w:rFonts w:asciiTheme="majorHAnsi" w:hAnsiTheme="majorHAnsi" w:cstheme="majorHAnsi"/>
          <w:b/>
          <w:color w:val="auto"/>
          <w:sz w:val="20"/>
          <w:szCs w:val="20"/>
        </w:rPr>
        <w:t>Herbaceous stratum</w:t>
      </w:r>
      <w:r w:rsidR="00976C82" w:rsidRPr="005516CD">
        <w:rPr>
          <w:rFonts w:asciiTheme="majorHAnsi" w:hAnsiTheme="majorHAnsi" w:cstheme="majorHAnsi"/>
          <w:color w:val="auto"/>
          <w:sz w:val="20"/>
          <w:szCs w:val="20"/>
        </w:rPr>
        <w:t>: in</w:t>
      </w:r>
      <w:r w:rsidRPr="005516CD">
        <w:rPr>
          <w:rFonts w:asciiTheme="majorHAnsi" w:hAnsiTheme="majorHAnsi" w:cstheme="majorHAnsi"/>
          <w:color w:val="auto"/>
          <w:sz w:val="20"/>
          <w:szCs w:val="20"/>
        </w:rPr>
        <w:t xml:space="preserve"> some cases</w:t>
      </w:r>
      <w:r w:rsidR="00EE6324" w:rsidRPr="005516CD">
        <w:rPr>
          <w:rFonts w:asciiTheme="majorHAnsi" w:hAnsiTheme="majorHAnsi" w:cstheme="majorHAnsi"/>
          <w:color w:val="auto"/>
          <w:sz w:val="20"/>
          <w:szCs w:val="20"/>
        </w:rPr>
        <w:t>,</w:t>
      </w:r>
      <w:r w:rsidRPr="005516CD">
        <w:rPr>
          <w:rFonts w:asciiTheme="majorHAnsi" w:hAnsiTheme="majorHAnsi" w:cstheme="majorHAnsi"/>
          <w:color w:val="auto"/>
          <w:sz w:val="20"/>
          <w:szCs w:val="20"/>
        </w:rPr>
        <w:t xml:space="preserve"> including ginger as a basic cash crop, and composed essentially of grasses and </w:t>
      </w:r>
      <w:r w:rsidR="0064451C" w:rsidRPr="005516CD">
        <w:rPr>
          <w:rFonts w:asciiTheme="majorHAnsi" w:hAnsiTheme="majorHAnsi" w:cstheme="majorHAnsi"/>
          <w:color w:val="auto"/>
          <w:sz w:val="20"/>
          <w:szCs w:val="20"/>
        </w:rPr>
        <w:t xml:space="preserve">adventitious species. This stratum provides habitat for fauna such as </w:t>
      </w:r>
      <w:r w:rsidR="002D107C" w:rsidRPr="005516CD">
        <w:rPr>
          <w:rFonts w:asciiTheme="majorHAnsi" w:hAnsiTheme="majorHAnsi" w:cstheme="majorHAnsi"/>
          <w:color w:val="auto"/>
          <w:sz w:val="20"/>
          <w:szCs w:val="20"/>
        </w:rPr>
        <w:t>mongooses</w:t>
      </w:r>
      <w:r w:rsidR="00EA6C83" w:rsidRPr="005516CD">
        <w:rPr>
          <w:rStyle w:val="FootnoteReference"/>
          <w:rFonts w:asciiTheme="majorHAnsi" w:hAnsiTheme="majorHAnsi" w:cstheme="majorHAnsi"/>
          <w:color w:val="auto"/>
          <w:sz w:val="20"/>
          <w:szCs w:val="20"/>
        </w:rPr>
        <w:footnoteReference w:id="16"/>
      </w:r>
      <w:r w:rsidR="002D107C" w:rsidRPr="005516CD">
        <w:rPr>
          <w:rFonts w:asciiTheme="majorHAnsi" w:hAnsiTheme="majorHAnsi" w:cstheme="majorHAnsi"/>
          <w:color w:val="auto"/>
          <w:sz w:val="20"/>
          <w:szCs w:val="20"/>
        </w:rPr>
        <w:t xml:space="preserve">, rodents, reptiles and insects. </w:t>
      </w:r>
    </w:p>
    <w:p w14:paraId="6AAA04CD" w14:textId="77777777" w:rsidR="00EA6C83" w:rsidRPr="005516CD" w:rsidRDefault="00EA6C83" w:rsidP="006B27F4">
      <w:pPr>
        <w:pStyle w:val="ListParagraph"/>
        <w:numPr>
          <w:ilvl w:val="0"/>
          <w:numId w:val="99"/>
        </w:numPr>
        <w:pBdr>
          <w:top w:val="none" w:sz="0" w:space="0" w:color="auto"/>
          <w:left w:val="none" w:sz="0" w:space="0" w:color="auto"/>
          <w:bottom w:val="none" w:sz="0" w:space="0" w:color="auto"/>
          <w:right w:val="none" w:sz="0" w:space="0" w:color="auto"/>
          <w:between w:val="none" w:sz="0" w:space="0" w:color="auto"/>
          <w:bar w:val="none" w:sz="0" w:color="auto"/>
        </w:pBdr>
        <w:spacing w:after="120"/>
        <w:ind w:left="714" w:hanging="357"/>
        <w:contextualSpacing/>
        <w:jc w:val="both"/>
        <w:rPr>
          <w:rFonts w:asciiTheme="majorHAnsi" w:hAnsiTheme="majorHAnsi" w:cstheme="majorHAnsi"/>
          <w:color w:val="auto"/>
          <w:sz w:val="20"/>
          <w:szCs w:val="20"/>
        </w:rPr>
      </w:pPr>
      <w:r w:rsidRPr="005516CD">
        <w:rPr>
          <w:rFonts w:asciiTheme="majorHAnsi" w:hAnsiTheme="majorHAnsi" w:cstheme="majorHAnsi"/>
          <w:b/>
          <w:color w:val="auto"/>
          <w:sz w:val="20"/>
          <w:szCs w:val="20"/>
        </w:rPr>
        <w:t>A stratum of cultivated plants</w:t>
      </w:r>
    </w:p>
    <w:p w14:paraId="17871F57" w14:textId="77777777" w:rsidR="00EA6C83" w:rsidRPr="005516CD" w:rsidRDefault="00EA6C83" w:rsidP="006B27F4">
      <w:pPr>
        <w:pStyle w:val="ListParagraph"/>
        <w:numPr>
          <w:ilvl w:val="0"/>
          <w:numId w:val="99"/>
        </w:numPr>
        <w:pBdr>
          <w:top w:val="none" w:sz="0" w:space="0" w:color="auto"/>
          <w:left w:val="none" w:sz="0" w:space="0" w:color="auto"/>
          <w:bottom w:val="none" w:sz="0" w:space="0" w:color="auto"/>
          <w:right w:val="none" w:sz="0" w:space="0" w:color="auto"/>
          <w:between w:val="none" w:sz="0" w:space="0" w:color="auto"/>
          <w:bar w:val="none" w:sz="0" w:color="auto"/>
        </w:pBdr>
        <w:spacing w:after="120"/>
        <w:ind w:left="714" w:hanging="357"/>
        <w:contextualSpacing/>
        <w:jc w:val="both"/>
        <w:rPr>
          <w:rFonts w:asciiTheme="majorHAnsi" w:hAnsiTheme="majorHAnsi" w:cstheme="majorHAnsi"/>
          <w:color w:val="auto"/>
          <w:sz w:val="20"/>
          <w:szCs w:val="20"/>
        </w:rPr>
      </w:pPr>
      <w:r w:rsidRPr="005516CD">
        <w:rPr>
          <w:rFonts w:asciiTheme="majorHAnsi" w:hAnsiTheme="majorHAnsi" w:cstheme="majorHAnsi"/>
          <w:b/>
          <w:color w:val="auto"/>
          <w:sz w:val="20"/>
          <w:szCs w:val="20"/>
        </w:rPr>
        <w:t>A cacao/coffee stratum</w:t>
      </w:r>
      <w:r w:rsidRPr="005516CD">
        <w:rPr>
          <w:rFonts w:asciiTheme="majorHAnsi" w:hAnsiTheme="majorHAnsi" w:cstheme="majorHAnsi"/>
          <w:color w:val="auto"/>
          <w:sz w:val="20"/>
          <w:szCs w:val="20"/>
        </w:rPr>
        <w:t>,</w:t>
      </w:r>
      <w:r w:rsidRPr="005516CD">
        <w:rPr>
          <w:rFonts w:asciiTheme="majorHAnsi" w:hAnsiTheme="majorHAnsi" w:cstheme="majorHAnsi"/>
          <w:b/>
          <w:color w:val="auto"/>
          <w:sz w:val="20"/>
          <w:szCs w:val="20"/>
        </w:rPr>
        <w:t xml:space="preserve"> </w:t>
      </w:r>
      <w:r w:rsidRPr="005516CD">
        <w:rPr>
          <w:rFonts w:asciiTheme="majorHAnsi" w:hAnsiTheme="majorHAnsi" w:cstheme="majorHAnsi"/>
          <w:color w:val="auto"/>
          <w:sz w:val="20"/>
          <w:szCs w:val="20"/>
        </w:rPr>
        <w:t>which also contains bananas and sometimes sugar cane, yams and citrus</w:t>
      </w:r>
    </w:p>
    <w:p w14:paraId="35CA118A" w14:textId="77777777" w:rsidR="00976C82" w:rsidRPr="005516CD" w:rsidRDefault="00DB1908" w:rsidP="006B27F4">
      <w:pPr>
        <w:pStyle w:val="ListParagraph"/>
        <w:numPr>
          <w:ilvl w:val="0"/>
          <w:numId w:val="99"/>
        </w:numPr>
        <w:pBdr>
          <w:top w:val="none" w:sz="0" w:space="0" w:color="auto"/>
          <w:left w:val="none" w:sz="0" w:space="0" w:color="auto"/>
          <w:bottom w:val="none" w:sz="0" w:space="0" w:color="auto"/>
          <w:right w:val="none" w:sz="0" w:space="0" w:color="auto"/>
          <w:between w:val="none" w:sz="0" w:space="0" w:color="auto"/>
          <w:bar w:val="none" w:sz="0" w:color="auto"/>
        </w:pBdr>
        <w:spacing w:after="120"/>
        <w:ind w:left="714" w:hanging="357"/>
        <w:contextualSpacing/>
        <w:jc w:val="both"/>
        <w:rPr>
          <w:rFonts w:asciiTheme="majorHAnsi" w:hAnsiTheme="majorHAnsi" w:cstheme="majorHAnsi"/>
          <w:color w:val="auto"/>
          <w:sz w:val="20"/>
          <w:szCs w:val="20"/>
        </w:rPr>
      </w:pPr>
      <w:r w:rsidRPr="005516CD">
        <w:rPr>
          <w:rFonts w:asciiTheme="majorHAnsi" w:hAnsiTheme="majorHAnsi" w:cstheme="majorHAnsi"/>
          <w:b/>
          <w:color w:val="auto"/>
          <w:sz w:val="20"/>
          <w:szCs w:val="20"/>
        </w:rPr>
        <w:t xml:space="preserve">A tree stratum, </w:t>
      </w:r>
      <w:r w:rsidRPr="005516CD">
        <w:rPr>
          <w:rFonts w:asciiTheme="majorHAnsi" w:hAnsiTheme="majorHAnsi" w:cstheme="majorHAnsi"/>
          <w:color w:val="auto"/>
          <w:sz w:val="20"/>
          <w:szCs w:val="20"/>
        </w:rPr>
        <w:t xml:space="preserve">made of relatively large trees including fruit species </w:t>
      </w:r>
      <w:r w:rsidR="00976C82" w:rsidRPr="005516CD">
        <w:rPr>
          <w:rFonts w:asciiTheme="majorHAnsi" w:hAnsiTheme="majorHAnsi" w:cstheme="majorHAnsi"/>
          <w:color w:val="auto"/>
          <w:sz w:val="20"/>
          <w:szCs w:val="20"/>
        </w:rPr>
        <w:t>(</w:t>
      </w:r>
      <w:r w:rsidRPr="005516CD">
        <w:rPr>
          <w:rFonts w:asciiTheme="majorHAnsi" w:hAnsiTheme="majorHAnsi" w:cstheme="majorHAnsi"/>
          <w:color w:val="auto"/>
          <w:sz w:val="20"/>
          <w:szCs w:val="20"/>
        </w:rPr>
        <w:t xml:space="preserve">mango, avocado) and </w:t>
      </w:r>
      <w:r w:rsidR="00046D91" w:rsidRPr="005516CD">
        <w:rPr>
          <w:rFonts w:asciiTheme="majorHAnsi" w:hAnsiTheme="majorHAnsi" w:cstheme="majorHAnsi"/>
          <w:color w:val="auto"/>
          <w:sz w:val="20"/>
          <w:szCs w:val="20"/>
        </w:rPr>
        <w:t xml:space="preserve">others, both native and </w:t>
      </w:r>
      <w:proofErr w:type="spellStart"/>
      <w:r w:rsidR="00046D91" w:rsidRPr="005516CD">
        <w:rPr>
          <w:rFonts w:asciiTheme="majorHAnsi" w:hAnsiTheme="majorHAnsi" w:cstheme="majorHAnsi"/>
          <w:color w:val="auto"/>
          <w:sz w:val="20"/>
          <w:szCs w:val="20"/>
        </w:rPr>
        <w:t>naturalised</w:t>
      </w:r>
      <w:proofErr w:type="spellEnd"/>
      <w:r w:rsidR="00046D91" w:rsidRPr="005516CD">
        <w:rPr>
          <w:rFonts w:asciiTheme="majorHAnsi" w:hAnsiTheme="majorHAnsi" w:cstheme="majorHAnsi"/>
          <w:color w:val="auto"/>
          <w:sz w:val="20"/>
          <w:szCs w:val="20"/>
        </w:rPr>
        <w:t xml:space="preserve"> (</w:t>
      </w:r>
      <w:r w:rsidR="00046D91" w:rsidRPr="005516CD">
        <w:rPr>
          <w:rFonts w:asciiTheme="majorHAnsi" w:hAnsiTheme="majorHAnsi" w:cstheme="majorHAnsi"/>
          <w:i/>
          <w:color w:val="auto"/>
          <w:sz w:val="20"/>
          <w:szCs w:val="20"/>
        </w:rPr>
        <w:t xml:space="preserve">Inga, </w:t>
      </w:r>
      <w:proofErr w:type="spellStart"/>
      <w:r w:rsidR="00976C82" w:rsidRPr="005516CD">
        <w:rPr>
          <w:rFonts w:asciiTheme="majorHAnsi" w:hAnsiTheme="majorHAnsi" w:cstheme="majorHAnsi"/>
          <w:color w:val="auto"/>
          <w:sz w:val="20"/>
          <w:szCs w:val="20"/>
        </w:rPr>
        <w:t>Chêne</w:t>
      </w:r>
      <w:proofErr w:type="spellEnd"/>
      <w:r w:rsidR="00976C82" w:rsidRPr="005516CD">
        <w:rPr>
          <w:rFonts w:asciiTheme="majorHAnsi" w:hAnsiTheme="majorHAnsi" w:cstheme="majorHAnsi"/>
          <w:color w:val="auto"/>
          <w:sz w:val="20"/>
          <w:szCs w:val="20"/>
        </w:rPr>
        <w:t xml:space="preserve">, Acajou Venezuela, </w:t>
      </w:r>
      <w:proofErr w:type="spellStart"/>
      <w:r w:rsidR="00976C82" w:rsidRPr="005516CD">
        <w:rPr>
          <w:rFonts w:asciiTheme="majorHAnsi" w:hAnsiTheme="majorHAnsi" w:cstheme="majorHAnsi"/>
          <w:color w:val="auto"/>
          <w:sz w:val="20"/>
          <w:szCs w:val="20"/>
        </w:rPr>
        <w:t>Frêne</w:t>
      </w:r>
      <w:proofErr w:type="spellEnd"/>
      <w:r w:rsidR="00976C82" w:rsidRPr="005516CD">
        <w:rPr>
          <w:rFonts w:asciiTheme="majorHAnsi" w:hAnsiTheme="majorHAnsi" w:cstheme="majorHAnsi"/>
          <w:color w:val="auto"/>
          <w:sz w:val="20"/>
          <w:szCs w:val="20"/>
        </w:rPr>
        <w:t xml:space="preserve">, </w:t>
      </w:r>
      <w:proofErr w:type="spellStart"/>
      <w:r w:rsidR="00976C82" w:rsidRPr="005516CD">
        <w:rPr>
          <w:rFonts w:asciiTheme="majorHAnsi" w:hAnsiTheme="majorHAnsi" w:cstheme="majorHAnsi"/>
          <w:color w:val="auto"/>
          <w:sz w:val="20"/>
          <w:szCs w:val="20"/>
        </w:rPr>
        <w:t>Bois</w:t>
      </w:r>
      <w:proofErr w:type="spellEnd"/>
      <w:r w:rsidR="00976C82" w:rsidRPr="005516CD">
        <w:rPr>
          <w:rFonts w:asciiTheme="majorHAnsi" w:hAnsiTheme="majorHAnsi" w:cstheme="majorHAnsi"/>
          <w:color w:val="auto"/>
          <w:sz w:val="20"/>
          <w:szCs w:val="20"/>
        </w:rPr>
        <w:t>-Blanc, Le</w:t>
      </w:r>
      <w:r w:rsidR="00046D91" w:rsidRPr="005516CD">
        <w:rPr>
          <w:rFonts w:asciiTheme="majorHAnsi" w:hAnsiTheme="majorHAnsi" w:cstheme="majorHAnsi"/>
          <w:color w:val="auto"/>
          <w:sz w:val="20"/>
          <w:szCs w:val="20"/>
        </w:rPr>
        <w:t>u</w:t>
      </w:r>
      <w:r w:rsidR="00976C82" w:rsidRPr="005516CD">
        <w:rPr>
          <w:rFonts w:asciiTheme="majorHAnsi" w:hAnsiTheme="majorHAnsi" w:cstheme="majorHAnsi"/>
          <w:color w:val="auto"/>
          <w:sz w:val="20"/>
          <w:szCs w:val="20"/>
        </w:rPr>
        <w:t>caena, etc.)</w:t>
      </w:r>
      <w:r w:rsidR="00046D91" w:rsidRPr="005516CD">
        <w:rPr>
          <w:rFonts w:asciiTheme="majorHAnsi" w:hAnsiTheme="majorHAnsi" w:cstheme="majorHAnsi"/>
          <w:color w:val="auto"/>
          <w:sz w:val="20"/>
          <w:szCs w:val="20"/>
        </w:rPr>
        <w:t>.</w:t>
      </w:r>
    </w:p>
    <w:p w14:paraId="240FB92B" w14:textId="77777777" w:rsidR="002A2731" w:rsidRPr="005516CD" w:rsidRDefault="00F63A3A"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management of these agroforestry systems is not solely determined by market factors: it also seeks to minimise agroclimatic risks and also to meet several objectives in the same plot </w:t>
      </w:r>
      <w:r w:rsidR="00976C82" w:rsidRPr="005516CD">
        <w:rPr>
          <w:rFonts w:asciiTheme="majorHAnsi" w:hAnsiTheme="majorHAnsi" w:cstheme="majorHAnsi"/>
          <w:sz w:val="20"/>
          <w:szCs w:val="20"/>
        </w:rPr>
        <w:t>(</w:t>
      </w:r>
      <w:r w:rsidRPr="005516CD">
        <w:rPr>
          <w:rFonts w:asciiTheme="majorHAnsi" w:hAnsiTheme="majorHAnsi" w:cstheme="majorHAnsi"/>
          <w:sz w:val="20"/>
          <w:szCs w:val="20"/>
        </w:rPr>
        <w:t>food security</w:t>
      </w:r>
      <w:r w:rsidR="00976C82" w:rsidRPr="005516CD">
        <w:rPr>
          <w:rFonts w:asciiTheme="majorHAnsi" w:hAnsiTheme="majorHAnsi" w:cstheme="majorHAnsi"/>
          <w:sz w:val="20"/>
          <w:szCs w:val="20"/>
        </w:rPr>
        <w:t xml:space="preserve">, </w:t>
      </w:r>
      <w:r w:rsidRPr="005516CD">
        <w:rPr>
          <w:rFonts w:asciiTheme="majorHAnsi" w:hAnsiTheme="majorHAnsi" w:cstheme="majorHAnsi"/>
          <w:sz w:val="20"/>
          <w:szCs w:val="20"/>
        </w:rPr>
        <w:t>herd enlargement</w:t>
      </w:r>
      <w:r w:rsidR="00976C82" w:rsidRPr="005516CD">
        <w:rPr>
          <w:rFonts w:asciiTheme="majorHAnsi" w:hAnsiTheme="majorHAnsi" w:cstheme="majorHAnsi"/>
          <w:sz w:val="20"/>
          <w:szCs w:val="20"/>
        </w:rPr>
        <w:t xml:space="preserve">, </w:t>
      </w:r>
      <w:r w:rsidRPr="005516CD">
        <w:rPr>
          <w:rFonts w:asciiTheme="majorHAnsi" w:hAnsiTheme="majorHAnsi" w:cstheme="majorHAnsi"/>
          <w:sz w:val="20"/>
          <w:szCs w:val="20"/>
        </w:rPr>
        <w:t>and response to other socioeconomic and livelihood needs</w:t>
      </w:r>
      <w:r w:rsidR="00976C82" w:rsidRPr="005516CD">
        <w:rPr>
          <w:rFonts w:asciiTheme="majorHAnsi" w:hAnsiTheme="majorHAnsi" w:cstheme="majorHAnsi"/>
          <w:sz w:val="20"/>
          <w:szCs w:val="20"/>
        </w:rPr>
        <w:t>).</w:t>
      </w:r>
      <w:r w:rsidRPr="005516CD">
        <w:rPr>
          <w:rFonts w:asciiTheme="majorHAnsi" w:hAnsiTheme="majorHAnsi" w:cstheme="majorHAnsi"/>
          <w:sz w:val="20"/>
          <w:szCs w:val="20"/>
        </w:rPr>
        <w:t xml:space="preserve"> Most farmers (around 80%, according to indications from focus groups) use these systems principally through ‘foraging’ rather than applying active management such as thinning, soil management or variety selection. </w:t>
      </w:r>
      <w:r w:rsidR="00D80D5D" w:rsidRPr="005516CD">
        <w:rPr>
          <w:rFonts w:asciiTheme="majorHAnsi" w:hAnsiTheme="majorHAnsi" w:cstheme="majorHAnsi"/>
          <w:sz w:val="20"/>
          <w:szCs w:val="20"/>
        </w:rPr>
        <w:t xml:space="preserve">Over much of the project area, </w:t>
      </w:r>
      <w:r w:rsidR="005728C4" w:rsidRPr="005516CD">
        <w:rPr>
          <w:rFonts w:asciiTheme="majorHAnsi" w:hAnsiTheme="majorHAnsi" w:cstheme="majorHAnsi"/>
          <w:sz w:val="20"/>
          <w:szCs w:val="20"/>
        </w:rPr>
        <w:t xml:space="preserve">degradation has led to the canopy of these agroforestry systems becoming fragmented, resulting in a series of patches and strips. </w:t>
      </w:r>
      <w:r w:rsidR="002A2731" w:rsidRPr="005516CD">
        <w:rPr>
          <w:rFonts w:asciiTheme="majorHAnsi" w:hAnsiTheme="majorHAnsi" w:cstheme="majorHAnsi"/>
          <w:sz w:val="20"/>
          <w:szCs w:val="20"/>
        </w:rPr>
        <w:t>The degradation of the traditional agroforestry systems and their progressive replacement by annual cropping systems is leading in many cases to plots being fenced off, which affects traditional patterns of access and use across the landscape.</w:t>
      </w:r>
    </w:p>
    <w:p w14:paraId="0A3F7EE4" w14:textId="77777777" w:rsidR="00594A14" w:rsidRPr="005516CD" w:rsidRDefault="00594A14" w:rsidP="00594A14">
      <w:pPr>
        <w:pStyle w:val="Heading7"/>
        <w:spacing w:before="0"/>
        <w:ind w:left="0"/>
        <w:rPr>
          <w:rFonts w:asciiTheme="majorHAnsi" w:hAnsiTheme="majorHAnsi" w:cstheme="majorHAnsi"/>
          <w:i/>
        </w:rPr>
      </w:pPr>
      <w:bookmarkStart w:id="14" w:name="_Toc528227029"/>
      <w:r w:rsidRPr="005516CD">
        <w:rPr>
          <w:rFonts w:asciiTheme="majorHAnsi" w:hAnsiTheme="majorHAnsi" w:cstheme="majorHAnsi"/>
          <w:i/>
        </w:rPr>
        <w:t>Factors determining the choice of woody species in the agroforestry system</w:t>
      </w:r>
      <w:bookmarkEnd w:id="14"/>
    </w:p>
    <w:p w14:paraId="40F3A341" w14:textId="77777777" w:rsidR="00594A14" w:rsidRPr="005516CD" w:rsidRDefault="006C7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PPG f</w:t>
      </w:r>
      <w:r w:rsidR="00594A14" w:rsidRPr="005516CD">
        <w:rPr>
          <w:rFonts w:asciiTheme="majorHAnsi" w:hAnsiTheme="majorHAnsi" w:cstheme="majorHAnsi"/>
          <w:sz w:val="20"/>
          <w:szCs w:val="20"/>
        </w:rPr>
        <w:t>ocus group participants highlighted six main factors that determine the selection of the woody species that they include in their agroforestry systems:</w:t>
      </w:r>
    </w:p>
    <w:p w14:paraId="5DCAD7D1" w14:textId="77777777" w:rsidR="00594A14" w:rsidRPr="005516CD" w:rsidRDefault="00594A14" w:rsidP="006B27F4">
      <w:pPr>
        <w:pStyle w:val="ListParagraph"/>
        <w:numPr>
          <w:ilvl w:val="0"/>
          <w:numId w:val="100"/>
        </w:numPr>
        <w:pBdr>
          <w:top w:val="none" w:sz="0" w:space="0" w:color="auto"/>
          <w:left w:val="none" w:sz="0" w:space="0" w:color="auto"/>
          <w:bottom w:val="none" w:sz="0" w:space="0" w:color="auto"/>
          <w:right w:val="none" w:sz="0" w:space="0" w:color="auto"/>
          <w:between w:val="none" w:sz="0" w:space="0" w:color="auto"/>
          <w:bar w:val="none" w:sz="0" w:color="auto"/>
        </w:pBd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Economic importance (for utility timber, energy or construction) compared to other species</w:t>
      </w:r>
    </w:p>
    <w:p w14:paraId="49C659A5" w14:textId="77777777" w:rsidR="00594A14" w:rsidRPr="005516CD" w:rsidRDefault="00594A14" w:rsidP="006B27F4">
      <w:pPr>
        <w:pStyle w:val="ListParagraph"/>
        <w:numPr>
          <w:ilvl w:val="0"/>
          <w:numId w:val="100"/>
        </w:numPr>
        <w:pBdr>
          <w:top w:val="none" w:sz="0" w:space="0" w:color="auto"/>
          <w:left w:val="none" w:sz="0" w:space="0" w:color="auto"/>
          <w:bottom w:val="none" w:sz="0" w:space="0" w:color="auto"/>
          <w:right w:val="none" w:sz="0" w:space="0" w:color="auto"/>
          <w:between w:val="none" w:sz="0" w:space="0" w:color="auto"/>
          <w:bar w:val="none" w:sz="0" w:color="auto"/>
        </w:pBd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The utility of the species in relation to the agronomic requirements of crops in the systems (e.g. cacao, coffee, ginger, yams)</w:t>
      </w:r>
    </w:p>
    <w:p w14:paraId="5969FE49" w14:textId="77777777" w:rsidR="00594A14" w:rsidRPr="005516CD" w:rsidRDefault="00256E3E" w:rsidP="006B27F4">
      <w:pPr>
        <w:pStyle w:val="ListParagraph"/>
        <w:numPr>
          <w:ilvl w:val="0"/>
          <w:numId w:val="100"/>
        </w:numPr>
        <w:pBdr>
          <w:top w:val="none" w:sz="0" w:space="0" w:color="auto"/>
          <w:left w:val="none" w:sz="0" w:space="0" w:color="auto"/>
          <w:bottom w:val="none" w:sz="0" w:space="0" w:color="auto"/>
          <w:right w:val="none" w:sz="0" w:space="0" w:color="auto"/>
          <w:between w:val="none" w:sz="0" w:space="0" w:color="auto"/>
          <w:bar w:val="none" w:sz="0" w:color="auto"/>
        </w:pBd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The ability of the species to </w:t>
      </w:r>
      <w:r w:rsidR="00A36F9A" w:rsidRPr="005516CD">
        <w:rPr>
          <w:rFonts w:asciiTheme="majorHAnsi" w:hAnsiTheme="majorHAnsi" w:cstheme="majorHAnsi"/>
          <w:color w:val="auto"/>
          <w:sz w:val="20"/>
          <w:szCs w:val="20"/>
        </w:rPr>
        <w:t xml:space="preserve">develop with the other components of their cropping systems (competition for light and nutrition, phytosociological </w:t>
      </w:r>
      <w:r w:rsidR="00594A14" w:rsidRPr="005516CD">
        <w:rPr>
          <w:rFonts w:asciiTheme="majorHAnsi" w:hAnsiTheme="majorHAnsi" w:cstheme="majorHAnsi"/>
          <w:color w:val="auto"/>
          <w:sz w:val="20"/>
          <w:szCs w:val="20"/>
        </w:rPr>
        <w:t>aspects</w:t>
      </w:r>
      <w:r w:rsidR="00A36F9A" w:rsidRPr="005516CD">
        <w:rPr>
          <w:rFonts w:asciiTheme="majorHAnsi" w:hAnsiTheme="majorHAnsi" w:cstheme="majorHAnsi"/>
          <w:color w:val="auto"/>
          <w:sz w:val="20"/>
          <w:szCs w:val="20"/>
        </w:rPr>
        <w:t>, non-invasiveness</w:t>
      </w:r>
      <w:r w:rsidR="00594A14" w:rsidRPr="005516CD">
        <w:rPr>
          <w:rFonts w:asciiTheme="majorHAnsi" w:hAnsiTheme="majorHAnsi" w:cstheme="majorHAnsi"/>
          <w:color w:val="auto"/>
          <w:sz w:val="20"/>
          <w:szCs w:val="20"/>
        </w:rPr>
        <w:t xml:space="preserve">), </w:t>
      </w:r>
      <w:r w:rsidR="00A36F9A" w:rsidRPr="005516CD">
        <w:rPr>
          <w:rFonts w:asciiTheme="majorHAnsi" w:hAnsiTheme="majorHAnsi" w:cstheme="majorHAnsi"/>
          <w:color w:val="auto"/>
          <w:sz w:val="20"/>
          <w:szCs w:val="20"/>
        </w:rPr>
        <w:t xml:space="preserve">especially food crops that are of importance for meeting socioeconomic needs </w:t>
      </w:r>
    </w:p>
    <w:p w14:paraId="524D0D36" w14:textId="77777777" w:rsidR="00594A14" w:rsidRPr="005516CD" w:rsidRDefault="00A36F9A" w:rsidP="006B27F4">
      <w:pPr>
        <w:pStyle w:val="ListParagraph"/>
        <w:numPr>
          <w:ilvl w:val="0"/>
          <w:numId w:val="100"/>
        </w:numPr>
        <w:pBdr>
          <w:top w:val="none" w:sz="0" w:space="0" w:color="auto"/>
          <w:left w:val="none" w:sz="0" w:space="0" w:color="auto"/>
          <w:bottom w:val="none" w:sz="0" w:space="0" w:color="auto"/>
          <w:right w:val="none" w:sz="0" w:space="0" w:color="auto"/>
          <w:between w:val="none" w:sz="0" w:space="0" w:color="auto"/>
          <w:bar w:val="none" w:sz="0" w:color="auto"/>
        </w:pBd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The adaptability of the species in relation to the agroecosystem conditions in the land holding</w:t>
      </w:r>
      <w:r w:rsidR="00594A14" w:rsidRPr="005516CD">
        <w:rPr>
          <w:rFonts w:asciiTheme="majorHAnsi" w:hAnsiTheme="majorHAnsi" w:cstheme="majorHAnsi"/>
          <w:color w:val="auto"/>
          <w:sz w:val="20"/>
          <w:szCs w:val="20"/>
        </w:rPr>
        <w:t xml:space="preserve"> </w:t>
      </w:r>
    </w:p>
    <w:p w14:paraId="7100B086" w14:textId="77777777" w:rsidR="00594A14" w:rsidRPr="005516CD" w:rsidRDefault="00A36F9A" w:rsidP="006B27F4">
      <w:pPr>
        <w:pStyle w:val="ListParagraph"/>
        <w:numPr>
          <w:ilvl w:val="0"/>
          <w:numId w:val="100"/>
        </w:numPr>
        <w:pBdr>
          <w:top w:val="none" w:sz="0" w:space="0" w:color="auto"/>
          <w:left w:val="none" w:sz="0" w:space="0" w:color="auto"/>
          <w:bottom w:val="none" w:sz="0" w:space="0" w:color="auto"/>
          <w:right w:val="none" w:sz="0" w:space="0" w:color="auto"/>
          <w:between w:val="none" w:sz="0" w:space="0" w:color="auto"/>
          <w:bar w:val="none" w:sz="0" w:color="auto"/>
        </w:pBd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Contribution to the renewal of agricultural fertility and soil protection</w:t>
      </w:r>
    </w:p>
    <w:p w14:paraId="4280F1B3" w14:textId="77777777" w:rsidR="00594A14" w:rsidRPr="005516CD" w:rsidRDefault="00A36F9A" w:rsidP="006B27F4">
      <w:pPr>
        <w:pStyle w:val="ListParagraph"/>
        <w:numPr>
          <w:ilvl w:val="0"/>
          <w:numId w:val="100"/>
        </w:numPr>
        <w:pBdr>
          <w:top w:val="none" w:sz="0" w:space="0" w:color="auto"/>
          <w:left w:val="none" w:sz="0" w:space="0" w:color="auto"/>
          <w:bottom w:val="none" w:sz="0" w:space="0" w:color="auto"/>
          <w:right w:val="none" w:sz="0" w:space="0" w:color="auto"/>
          <w:between w:val="none" w:sz="0" w:space="0" w:color="auto"/>
          <w:bar w:val="none" w:sz="0" w:color="auto"/>
        </w:pBdr>
        <w:spacing w:after="120"/>
        <w:contextualSpacing/>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Tenure conditions.</w:t>
      </w:r>
      <w:r w:rsidR="00594A14" w:rsidRPr="005516CD">
        <w:rPr>
          <w:rFonts w:asciiTheme="majorHAnsi" w:hAnsiTheme="majorHAnsi" w:cstheme="majorHAnsi"/>
          <w:color w:val="auto"/>
          <w:sz w:val="20"/>
          <w:szCs w:val="20"/>
        </w:rPr>
        <w:t xml:space="preserve"> </w:t>
      </w:r>
    </w:p>
    <w:p w14:paraId="67C544F4" w14:textId="77777777" w:rsidR="000C032D" w:rsidRPr="005516CD" w:rsidRDefault="000C032D" w:rsidP="00A36F9A">
      <w:pPr>
        <w:pStyle w:val="Heading6"/>
        <w:keepNext/>
        <w:spacing w:before="120" w:after="120"/>
        <w:rPr>
          <w:rFonts w:asciiTheme="majorHAnsi" w:eastAsia="Calibri" w:hAnsiTheme="majorHAnsi" w:cstheme="majorHAnsi"/>
          <w:b/>
          <w:sz w:val="20"/>
          <w:lang w:val="en-US"/>
        </w:rPr>
      </w:pPr>
      <w:bookmarkStart w:id="15" w:name="_Toc528227021"/>
      <w:bookmarkEnd w:id="13"/>
      <w:r w:rsidRPr="005516CD">
        <w:rPr>
          <w:rFonts w:asciiTheme="majorHAnsi" w:eastAsia="Calibri" w:hAnsiTheme="majorHAnsi" w:cstheme="majorHAnsi"/>
          <w:b/>
          <w:sz w:val="20"/>
          <w:lang w:val="en-US"/>
        </w:rPr>
        <w:t>Economies of agricultural holdings</w:t>
      </w:r>
    </w:p>
    <w:p w14:paraId="15F3382F" w14:textId="77777777" w:rsidR="00B87188" w:rsidRPr="005516CD" w:rsidRDefault="0047292E" w:rsidP="0047292E">
      <w:pPr>
        <w:pStyle w:val="Heading7"/>
        <w:spacing w:before="0"/>
        <w:ind w:left="0"/>
        <w:rPr>
          <w:rFonts w:asciiTheme="majorHAnsi" w:hAnsiTheme="majorHAnsi" w:cstheme="majorHAnsi"/>
          <w:i/>
        </w:rPr>
      </w:pPr>
      <w:r w:rsidRPr="005516CD">
        <w:rPr>
          <w:rFonts w:asciiTheme="majorHAnsi" w:hAnsiTheme="majorHAnsi" w:cstheme="majorHAnsi"/>
          <w:i/>
        </w:rPr>
        <w:t>Factors of production</w:t>
      </w:r>
      <w:bookmarkEnd w:id="15"/>
    </w:p>
    <w:p w14:paraId="2EBF19FF" w14:textId="77777777" w:rsidR="00B87188" w:rsidRPr="005516CD" w:rsidRDefault="001B663F"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2E74B5" w:themeColor="accent1" w:themeShade="BF"/>
          <w:sz w:val="20"/>
          <w:szCs w:val="20"/>
        </w:rPr>
      </w:pPr>
      <w:r w:rsidRPr="005516CD">
        <w:rPr>
          <w:rFonts w:asciiTheme="majorHAnsi" w:hAnsiTheme="majorHAnsi" w:cstheme="majorHAnsi"/>
          <w:sz w:val="20"/>
          <w:szCs w:val="20"/>
        </w:rPr>
        <w:t xml:space="preserve">Labour demands are particularly high in the periods of site preparation, planting, maintenance and harvesting. </w:t>
      </w:r>
      <w:r w:rsidR="0047292E" w:rsidRPr="005516CD">
        <w:rPr>
          <w:rFonts w:asciiTheme="majorHAnsi" w:hAnsiTheme="majorHAnsi" w:cstheme="majorHAnsi"/>
          <w:sz w:val="20"/>
          <w:szCs w:val="20"/>
        </w:rPr>
        <w:t>The availability of farm labour is determined by the number of people in the household, their age, their occupation and their level of dedication to agricultural activities. Generally, all family members participate in agricultural operations: women tend to participate in sowing, weeding and harvesting</w:t>
      </w:r>
      <w:r w:rsidRPr="005516CD">
        <w:rPr>
          <w:rFonts w:asciiTheme="majorHAnsi" w:hAnsiTheme="majorHAnsi" w:cstheme="majorHAnsi"/>
          <w:sz w:val="20"/>
          <w:szCs w:val="20"/>
        </w:rPr>
        <w:t>, and c</w:t>
      </w:r>
      <w:r w:rsidR="005A174B" w:rsidRPr="005516CD">
        <w:rPr>
          <w:rFonts w:asciiTheme="majorHAnsi" w:hAnsiTheme="majorHAnsi" w:cstheme="majorHAnsi"/>
          <w:sz w:val="20"/>
          <w:szCs w:val="20"/>
        </w:rPr>
        <w:t xml:space="preserve">hildren of school age also participate part-time. </w:t>
      </w:r>
      <w:r w:rsidRPr="005516CD">
        <w:rPr>
          <w:rFonts w:asciiTheme="majorHAnsi" w:hAnsiTheme="majorHAnsi" w:cstheme="majorHAnsi"/>
          <w:sz w:val="20"/>
          <w:szCs w:val="20"/>
        </w:rPr>
        <w:t xml:space="preserve">Labour availability is increasingly limited due to emigration in search of more attractive opportunities, and the lack of interest among young people in engaging in agricultural labour which they consider unprofitable and degrading. </w:t>
      </w:r>
      <w:r w:rsidR="005A174B" w:rsidRPr="005516CD">
        <w:rPr>
          <w:rFonts w:asciiTheme="majorHAnsi" w:hAnsiTheme="majorHAnsi" w:cstheme="majorHAnsi"/>
          <w:sz w:val="20"/>
          <w:szCs w:val="20"/>
        </w:rPr>
        <w:t xml:space="preserve">In order to address labour shortages, some farmers contract daily labourers. </w:t>
      </w:r>
      <w:r w:rsidRPr="005516CD">
        <w:rPr>
          <w:rFonts w:asciiTheme="majorHAnsi" w:hAnsiTheme="majorHAnsi" w:cstheme="majorHAnsi"/>
          <w:sz w:val="20"/>
          <w:szCs w:val="20"/>
        </w:rPr>
        <w:t>Farmers typically only have access to very basic agricultural implements, which limits their ability to intensify management.</w:t>
      </w:r>
    </w:p>
    <w:p w14:paraId="74552AF1" w14:textId="77777777" w:rsidR="00250356" w:rsidRPr="005516CD" w:rsidRDefault="00250356" w:rsidP="000C032D">
      <w:pPr>
        <w:pStyle w:val="Heading7"/>
        <w:keepNext/>
        <w:spacing w:before="0"/>
        <w:ind w:left="0"/>
        <w:rPr>
          <w:rFonts w:asciiTheme="majorHAnsi" w:hAnsiTheme="majorHAnsi" w:cstheme="majorHAnsi"/>
          <w:i/>
        </w:rPr>
      </w:pPr>
      <w:r w:rsidRPr="005516CD">
        <w:rPr>
          <w:rFonts w:asciiTheme="majorHAnsi" w:hAnsiTheme="majorHAnsi" w:cstheme="majorHAnsi"/>
          <w:i/>
        </w:rPr>
        <w:t>Categories of community stakeholders</w:t>
      </w:r>
    </w:p>
    <w:p w14:paraId="025D618E" w14:textId="7AF159CF" w:rsidR="00250356" w:rsidRPr="005516CD" w:rsidRDefault="00250356"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fldChar w:fldCharType="begin"/>
      </w:r>
      <w:r w:rsidRPr="005516CD">
        <w:rPr>
          <w:rFonts w:asciiTheme="majorHAnsi" w:hAnsiTheme="majorHAnsi" w:cstheme="majorHAnsi"/>
          <w:sz w:val="20"/>
          <w:szCs w:val="20"/>
        </w:rPr>
        <w:instrText xml:space="preserve"> REF _Ref529877807 \r \h </w:instrText>
      </w:r>
      <w:r w:rsidR="005516CD">
        <w:rPr>
          <w:rFonts w:asciiTheme="majorHAnsi" w:hAnsiTheme="majorHAnsi" w:cstheme="majorHAnsi"/>
          <w:sz w:val="20"/>
          <w:szCs w:val="20"/>
        </w:rPr>
        <w:instrText xml:space="preserve"> \* MERGEFORMAT </w:instrText>
      </w:r>
      <w:r w:rsidRPr="005516CD">
        <w:rPr>
          <w:rFonts w:asciiTheme="majorHAnsi" w:hAnsiTheme="majorHAnsi" w:cstheme="majorHAnsi"/>
          <w:sz w:val="20"/>
          <w:szCs w:val="20"/>
        </w:rPr>
      </w:r>
      <w:r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Table 4</w:t>
      </w:r>
      <w:r w:rsidRPr="005516CD">
        <w:rPr>
          <w:rFonts w:asciiTheme="majorHAnsi" w:hAnsiTheme="majorHAnsi" w:cstheme="majorHAnsi"/>
          <w:sz w:val="20"/>
          <w:szCs w:val="20"/>
        </w:rPr>
        <w:fldChar w:fldCharType="end"/>
      </w:r>
      <w:r w:rsidRPr="005516CD">
        <w:rPr>
          <w:rFonts w:asciiTheme="majorHAnsi" w:hAnsiTheme="majorHAnsi" w:cstheme="majorHAnsi"/>
          <w:sz w:val="20"/>
          <w:szCs w:val="20"/>
        </w:rPr>
        <w:t xml:space="preserve"> summarizes the principal categories of stakeholders who make up the population of the target communities</w:t>
      </w:r>
      <w:r w:rsidR="00883DEC" w:rsidRPr="005516CD">
        <w:rPr>
          <w:rFonts w:asciiTheme="majorHAnsi" w:hAnsiTheme="majorHAnsi" w:cstheme="majorHAnsi"/>
          <w:sz w:val="20"/>
          <w:szCs w:val="20"/>
        </w:rPr>
        <w:t xml:space="preserve">, and </w:t>
      </w:r>
      <w:r w:rsidR="00883DEC" w:rsidRPr="005516CD">
        <w:rPr>
          <w:rFonts w:asciiTheme="majorHAnsi" w:hAnsiTheme="majorHAnsi" w:cstheme="majorHAnsi"/>
          <w:sz w:val="20"/>
          <w:szCs w:val="20"/>
        </w:rPr>
        <w:fldChar w:fldCharType="begin"/>
      </w:r>
      <w:r w:rsidR="00883DEC" w:rsidRPr="005516CD">
        <w:rPr>
          <w:rFonts w:asciiTheme="majorHAnsi" w:hAnsiTheme="majorHAnsi" w:cstheme="majorHAnsi"/>
          <w:sz w:val="20"/>
          <w:szCs w:val="20"/>
        </w:rPr>
        <w:instrText xml:space="preserve"> REF _Ref530049398 \r \h </w:instrText>
      </w:r>
      <w:r w:rsidR="005516CD">
        <w:rPr>
          <w:rFonts w:asciiTheme="majorHAnsi" w:hAnsiTheme="majorHAnsi" w:cstheme="majorHAnsi"/>
          <w:sz w:val="20"/>
          <w:szCs w:val="20"/>
        </w:rPr>
        <w:instrText xml:space="preserve"> \* MERGEFORMAT </w:instrText>
      </w:r>
      <w:r w:rsidR="00883DEC" w:rsidRPr="005516CD">
        <w:rPr>
          <w:rFonts w:asciiTheme="majorHAnsi" w:hAnsiTheme="majorHAnsi" w:cstheme="majorHAnsi"/>
          <w:sz w:val="20"/>
          <w:szCs w:val="20"/>
        </w:rPr>
      </w:r>
      <w:r w:rsidR="00883DEC"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Table 5</w:t>
      </w:r>
      <w:r w:rsidR="00883DEC" w:rsidRPr="005516CD">
        <w:rPr>
          <w:rFonts w:asciiTheme="majorHAnsi" w:hAnsiTheme="majorHAnsi" w:cstheme="majorHAnsi"/>
          <w:sz w:val="20"/>
          <w:szCs w:val="20"/>
        </w:rPr>
        <w:fldChar w:fldCharType="end"/>
      </w:r>
      <w:r w:rsidR="00883DEC" w:rsidRPr="005516CD">
        <w:rPr>
          <w:rFonts w:asciiTheme="majorHAnsi" w:hAnsiTheme="majorHAnsi" w:cstheme="majorHAnsi"/>
          <w:sz w:val="20"/>
          <w:szCs w:val="20"/>
        </w:rPr>
        <w:t xml:space="preserve"> presents a classification of farmers, by socioeconomic category</w:t>
      </w:r>
      <w:r w:rsidRPr="005516CD">
        <w:rPr>
          <w:rFonts w:asciiTheme="majorHAnsi" w:hAnsiTheme="majorHAnsi" w:cstheme="majorHAnsi"/>
          <w:sz w:val="20"/>
          <w:szCs w:val="20"/>
        </w:rPr>
        <w:t>. The predominant group is made up of medium-scale farmers and herders.</w:t>
      </w:r>
    </w:p>
    <w:p w14:paraId="53743DC1" w14:textId="77777777" w:rsidR="00250356" w:rsidRPr="005516CD" w:rsidRDefault="00250356" w:rsidP="006B27F4">
      <w:pPr>
        <w:pStyle w:val="ListParagraph"/>
        <w:keepNext/>
        <w:numPr>
          <w:ilvl w:val="3"/>
          <w:numId w:val="90"/>
        </w:numPr>
        <w:spacing w:after="60"/>
        <w:ind w:left="851" w:right="96" w:hanging="851"/>
        <w:contextualSpacing/>
        <w:jc w:val="both"/>
        <w:rPr>
          <w:rFonts w:asciiTheme="majorHAnsi" w:hAnsiTheme="majorHAnsi" w:cstheme="majorHAnsi"/>
          <w:b/>
          <w:sz w:val="20"/>
          <w:szCs w:val="20"/>
        </w:rPr>
      </w:pPr>
      <w:bookmarkStart w:id="16" w:name="_Ref529877807"/>
      <w:r w:rsidRPr="005516CD">
        <w:rPr>
          <w:rFonts w:asciiTheme="majorHAnsi" w:hAnsiTheme="majorHAnsi" w:cstheme="majorHAnsi"/>
          <w:b/>
          <w:sz w:val="20"/>
          <w:szCs w:val="20"/>
        </w:rPr>
        <w:t>Principal stakeholder categories in the project area, by economic status and activities, as defined in focus groups during project formulation.</w:t>
      </w:r>
      <w:bookmarkEnd w:id="16"/>
      <w:r w:rsidRPr="005516CD">
        <w:rPr>
          <w:rFonts w:asciiTheme="majorHAnsi" w:hAnsiTheme="majorHAnsi" w:cstheme="majorHAnsi"/>
          <w:b/>
          <w:sz w:val="20"/>
          <w:szCs w:val="20"/>
        </w:rPr>
        <w:t xml:space="preserve"> </w:t>
      </w:r>
    </w:p>
    <w:tbl>
      <w:tblPr>
        <w:tblStyle w:val="TableGrid"/>
        <w:tblW w:w="8931" w:type="dxa"/>
        <w:tblInd w:w="-5" w:type="dxa"/>
        <w:tblLayout w:type="fixed"/>
        <w:tblLook w:val="04A0" w:firstRow="1" w:lastRow="0" w:firstColumn="1" w:lastColumn="0" w:noHBand="0" w:noVBand="1"/>
      </w:tblPr>
      <w:tblGrid>
        <w:gridCol w:w="1701"/>
        <w:gridCol w:w="6096"/>
        <w:gridCol w:w="1134"/>
      </w:tblGrid>
      <w:tr w:rsidR="00250356" w:rsidRPr="005516CD" w14:paraId="44F5703D" w14:textId="77777777" w:rsidTr="00D95D5D">
        <w:trPr>
          <w:tblHeader/>
        </w:trPr>
        <w:tc>
          <w:tcPr>
            <w:tcW w:w="1701" w:type="dxa"/>
            <w:shd w:val="clear" w:color="auto" w:fill="D9D9D9" w:themeFill="background1" w:themeFillShade="D9"/>
          </w:tcPr>
          <w:p w14:paraId="2D7205A9" w14:textId="77777777" w:rsidR="00250356" w:rsidRPr="005516CD" w:rsidRDefault="00250356" w:rsidP="002D5D42">
            <w:pPr>
              <w:jc w:val="center"/>
              <w:rPr>
                <w:rFonts w:asciiTheme="majorHAnsi" w:hAnsiTheme="majorHAnsi" w:cstheme="majorHAnsi"/>
                <w:sz w:val="20"/>
                <w:szCs w:val="20"/>
              </w:rPr>
            </w:pPr>
            <w:r w:rsidRPr="005516CD">
              <w:rPr>
                <w:rFonts w:asciiTheme="majorHAnsi" w:eastAsia="Times New Roman" w:hAnsiTheme="majorHAnsi" w:cstheme="majorHAnsi"/>
                <w:b/>
                <w:bCs/>
                <w:kern w:val="3"/>
                <w:sz w:val="20"/>
                <w:szCs w:val="20"/>
              </w:rPr>
              <w:t>Category</w:t>
            </w:r>
          </w:p>
        </w:tc>
        <w:tc>
          <w:tcPr>
            <w:tcW w:w="6096" w:type="dxa"/>
            <w:shd w:val="clear" w:color="auto" w:fill="D9D9D9" w:themeFill="background1" w:themeFillShade="D9"/>
          </w:tcPr>
          <w:p w14:paraId="0A4FE822" w14:textId="77777777" w:rsidR="00250356" w:rsidRPr="005516CD" w:rsidRDefault="00250356" w:rsidP="002D5D42">
            <w:pPr>
              <w:jc w:val="center"/>
              <w:rPr>
                <w:rFonts w:asciiTheme="majorHAnsi" w:hAnsiTheme="majorHAnsi" w:cstheme="majorHAnsi"/>
                <w:sz w:val="20"/>
                <w:szCs w:val="20"/>
              </w:rPr>
            </w:pPr>
            <w:r w:rsidRPr="005516CD">
              <w:rPr>
                <w:rFonts w:asciiTheme="majorHAnsi" w:eastAsia="Times New Roman" w:hAnsiTheme="majorHAnsi" w:cstheme="majorHAnsi"/>
                <w:b/>
                <w:bCs/>
                <w:kern w:val="3"/>
                <w:sz w:val="20"/>
                <w:szCs w:val="20"/>
              </w:rPr>
              <w:t>Examples of productive activities</w:t>
            </w:r>
          </w:p>
        </w:tc>
        <w:tc>
          <w:tcPr>
            <w:tcW w:w="1134" w:type="dxa"/>
            <w:shd w:val="clear" w:color="auto" w:fill="D9D9D9" w:themeFill="background1" w:themeFillShade="D9"/>
          </w:tcPr>
          <w:p w14:paraId="36891B9F" w14:textId="77777777" w:rsidR="00250356" w:rsidRPr="005516CD" w:rsidRDefault="00250356" w:rsidP="00D95D5D">
            <w:pPr>
              <w:spacing w:after="40"/>
              <w:ind w:left="-104" w:right="-103"/>
              <w:jc w:val="center"/>
              <w:rPr>
                <w:rFonts w:asciiTheme="majorHAnsi" w:eastAsia="Times New Roman" w:hAnsiTheme="majorHAnsi" w:cstheme="majorHAnsi"/>
                <w:b/>
                <w:bCs/>
                <w:kern w:val="3"/>
                <w:sz w:val="20"/>
                <w:szCs w:val="20"/>
              </w:rPr>
            </w:pPr>
            <w:r w:rsidRPr="005516CD">
              <w:rPr>
                <w:rFonts w:asciiTheme="majorHAnsi" w:eastAsia="Times New Roman" w:hAnsiTheme="majorHAnsi" w:cstheme="majorHAnsi"/>
                <w:b/>
                <w:bCs/>
                <w:kern w:val="3"/>
                <w:sz w:val="20"/>
                <w:szCs w:val="20"/>
              </w:rPr>
              <w:t>Approximate proportion of total</w:t>
            </w:r>
          </w:p>
        </w:tc>
      </w:tr>
      <w:tr w:rsidR="00250356" w:rsidRPr="005516CD" w14:paraId="3C762E8A" w14:textId="77777777" w:rsidTr="00D95D5D">
        <w:tc>
          <w:tcPr>
            <w:tcW w:w="1701" w:type="dxa"/>
          </w:tcPr>
          <w:p w14:paraId="16DFA6F5" w14:textId="77777777" w:rsidR="00250356" w:rsidRPr="005516CD" w:rsidRDefault="00250356" w:rsidP="002D5D42">
            <w:pP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 xml:space="preserve">Small farmers with &lt;0.5 </w:t>
            </w:r>
            <w:proofErr w:type="spellStart"/>
            <w:r w:rsidRPr="005516CD">
              <w:rPr>
                <w:rFonts w:asciiTheme="majorHAnsi" w:eastAsia="Times New Roman" w:hAnsiTheme="majorHAnsi" w:cstheme="majorHAnsi"/>
                <w:bCs/>
                <w:kern w:val="3"/>
                <w:sz w:val="20"/>
                <w:szCs w:val="20"/>
              </w:rPr>
              <w:t>Cx</w:t>
            </w:r>
            <w:proofErr w:type="spellEnd"/>
            <w:r w:rsidR="00F73FC0" w:rsidRPr="005516CD">
              <w:rPr>
                <w:rStyle w:val="FootnoteReference"/>
                <w:rFonts w:asciiTheme="majorHAnsi" w:eastAsia="Times New Roman" w:hAnsiTheme="majorHAnsi" w:cstheme="majorHAnsi"/>
                <w:bCs/>
                <w:kern w:val="3"/>
                <w:sz w:val="20"/>
                <w:szCs w:val="20"/>
              </w:rPr>
              <w:footnoteReference w:id="17"/>
            </w:r>
            <w:r w:rsidRPr="005516CD">
              <w:rPr>
                <w:rFonts w:asciiTheme="majorHAnsi" w:eastAsia="Times New Roman" w:hAnsiTheme="majorHAnsi" w:cstheme="majorHAnsi"/>
                <w:bCs/>
                <w:kern w:val="3"/>
                <w:sz w:val="20"/>
                <w:szCs w:val="20"/>
              </w:rPr>
              <w:t xml:space="preserve"> of land in use, and landless</w:t>
            </w:r>
          </w:p>
        </w:tc>
        <w:tc>
          <w:tcPr>
            <w:tcW w:w="6096" w:type="dxa"/>
          </w:tcPr>
          <w:p w14:paraId="1D14D3D5" w14:textId="77777777" w:rsidR="00250356" w:rsidRPr="005516CD" w:rsidRDefault="00250356" w:rsidP="002D5D42">
            <w:pPr>
              <w:rPr>
                <w:rFonts w:asciiTheme="majorHAnsi" w:hAnsiTheme="majorHAnsi" w:cstheme="majorHAnsi"/>
                <w:sz w:val="20"/>
                <w:szCs w:val="20"/>
              </w:rPr>
            </w:pPr>
            <w:r w:rsidRPr="005516CD">
              <w:rPr>
                <w:rFonts w:asciiTheme="majorHAnsi" w:eastAsia="Times New Roman" w:hAnsiTheme="majorHAnsi" w:cstheme="majorHAnsi"/>
                <w:kern w:val="3"/>
                <w:sz w:val="20"/>
                <w:szCs w:val="20"/>
              </w:rPr>
              <w:t xml:space="preserve">Collection and sale of fuelwood faggots; production of mats, ropes and handicrafts; sale of water; protection of gardens for those in higher socio-economic categories; urban labour; work as porters; building labourers; laundry; millet and sorghum milling; collection and transport of sand from rivers, for construction; agricultural labour (decreasingly) picking coffee, cacao and other crops; cropping and raising of small </w:t>
            </w:r>
            <w:proofErr w:type="spellStart"/>
            <w:r w:rsidRPr="005516CD">
              <w:rPr>
                <w:rFonts w:asciiTheme="majorHAnsi" w:eastAsia="Times New Roman" w:hAnsiTheme="majorHAnsi" w:cstheme="majorHAnsi"/>
                <w:kern w:val="3"/>
                <w:sz w:val="20"/>
                <w:szCs w:val="20"/>
              </w:rPr>
              <w:t>livetock</w:t>
            </w:r>
            <w:proofErr w:type="spellEnd"/>
            <w:r w:rsidRPr="005516CD">
              <w:rPr>
                <w:rFonts w:asciiTheme="majorHAnsi" w:eastAsia="Times New Roman" w:hAnsiTheme="majorHAnsi" w:cstheme="majorHAnsi"/>
                <w:kern w:val="3"/>
                <w:sz w:val="20"/>
                <w:szCs w:val="20"/>
              </w:rPr>
              <w:t xml:space="preserve">; operating rented motorcycle taxis. </w:t>
            </w:r>
          </w:p>
        </w:tc>
        <w:tc>
          <w:tcPr>
            <w:tcW w:w="1134" w:type="dxa"/>
          </w:tcPr>
          <w:p w14:paraId="430F4927" w14:textId="77777777" w:rsidR="00250356" w:rsidRPr="005516CD" w:rsidRDefault="00250356" w:rsidP="002D5D42">
            <w:pPr>
              <w:spacing w:after="40"/>
              <w:jc w:val="cente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10 - 15%</w:t>
            </w:r>
          </w:p>
        </w:tc>
      </w:tr>
      <w:tr w:rsidR="00250356" w:rsidRPr="005516CD" w14:paraId="3139F4B6" w14:textId="77777777" w:rsidTr="00D95D5D">
        <w:tc>
          <w:tcPr>
            <w:tcW w:w="1701" w:type="dxa"/>
          </w:tcPr>
          <w:p w14:paraId="1CE44804" w14:textId="77777777" w:rsidR="00250356" w:rsidRPr="005516CD" w:rsidRDefault="00250356" w:rsidP="002D5D42">
            <w:pPr>
              <w:rPr>
                <w:rFonts w:asciiTheme="majorHAnsi" w:hAnsiTheme="majorHAnsi" w:cstheme="majorHAnsi"/>
                <w:sz w:val="20"/>
                <w:szCs w:val="20"/>
              </w:rPr>
            </w:pPr>
            <w:r w:rsidRPr="005516CD">
              <w:rPr>
                <w:rFonts w:asciiTheme="majorHAnsi" w:eastAsia="Times New Roman" w:hAnsiTheme="majorHAnsi" w:cstheme="majorHAnsi"/>
                <w:bCs/>
                <w:kern w:val="3"/>
                <w:sz w:val="20"/>
                <w:szCs w:val="20"/>
              </w:rPr>
              <w:t xml:space="preserve">Medium-scale farmers/herders of 0.5- 2.5 </w:t>
            </w:r>
            <w:proofErr w:type="spellStart"/>
            <w:r w:rsidRPr="005516CD">
              <w:rPr>
                <w:rFonts w:asciiTheme="majorHAnsi" w:eastAsia="Times New Roman" w:hAnsiTheme="majorHAnsi" w:cstheme="majorHAnsi"/>
                <w:bCs/>
                <w:kern w:val="3"/>
                <w:sz w:val="20"/>
                <w:szCs w:val="20"/>
              </w:rPr>
              <w:t>Cx</w:t>
            </w:r>
            <w:proofErr w:type="spellEnd"/>
          </w:p>
        </w:tc>
        <w:tc>
          <w:tcPr>
            <w:tcW w:w="6096" w:type="dxa"/>
          </w:tcPr>
          <w:p w14:paraId="7CAB79CC" w14:textId="77777777" w:rsidR="00250356" w:rsidRPr="005516CD" w:rsidRDefault="00250356" w:rsidP="002D5D42">
            <w:pPr>
              <w:jc w:val="both"/>
              <w:rPr>
                <w:rFonts w:asciiTheme="majorHAnsi" w:hAnsiTheme="majorHAnsi" w:cstheme="majorHAnsi"/>
                <w:sz w:val="20"/>
                <w:szCs w:val="20"/>
              </w:rPr>
            </w:pPr>
            <w:r w:rsidRPr="005516CD">
              <w:rPr>
                <w:rFonts w:asciiTheme="majorHAnsi" w:eastAsia="Times New Roman" w:hAnsiTheme="majorHAnsi" w:cstheme="majorHAnsi"/>
                <w:kern w:val="3"/>
                <w:sz w:val="20"/>
                <w:szCs w:val="20"/>
              </w:rPr>
              <w:t>Dominance of agricultural activities (medium scale livestock and agroforestry systems; seasonal trading of livestock; school teachers; roadside fuel sales; sale of used clothes in towns; owners of motorcycle taxis</w:t>
            </w:r>
          </w:p>
        </w:tc>
        <w:tc>
          <w:tcPr>
            <w:tcW w:w="1134" w:type="dxa"/>
          </w:tcPr>
          <w:p w14:paraId="596C77BA" w14:textId="77777777" w:rsidR="00250356" w:rsidRPr="005516CD" w:rsidRDefault="00250356" w:rsidP="002D5D42">
            <w:pPr>
              <w:spacing w:after="40"/>
              <w:jc w:val="cente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30 – 35%</w:t>
            </w:r>
          </w:p>
        </w:tc>
      </w:tr>
      <w:tr w:rsidR="00250356" w:rsidRPr="005516CD" w14:paraId="561E74E5" w14:textId="77777777" w:rsidTr="00D95D5D">
        <w:tc>
          <w:tcPr>
            <w:tcW w:w="1701" w:type="dxa"/>
          </w:tcPr>
          <w:p w14:paraId="176DB14D" w14:textId="77777777" w:rsidR="00250356" w:rsidRPr="005516CD" w:rsidRDefault="00250356" w:rsidP="002D5D42">
            <w:pP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 xml:space="preserve">Manual skills </w:t>
            </w:r>
          </w:p>
        </w:tc>
        <w:tc>
          <w:tcPr>
            <w:tcW w:w="6096" w:type="dxa"/>
          </w:tcPr>
          <w:p w14:paraId="66379FE0" w14:textId="77777777" w:rsidR="00250356" w:rsidRPr="005516CD" w:rsidRDefault="00250356" w:rsidP="002D5D42">
            <w:pPr>
              <w:jc w:val="both"/>
              <w:rPr>
                <w:rFonts w:asciiTheme="majorHAnsi" w:eastAsia="Times New Roman" w:hAnsiTheme="majorHAnsi" w:cstheme="majorHAnsi"/>
                <w:kern w:val="3"/>
                <w:sz w:val="20"/>
                <w:szCs w:val="20"/>
              </w:rPr>
            </w:pPr>
            <w:r w:rsidRPr="005516CD">
              <w:rPr>
                <w:rFonts w:asciiTheme="majorHAnsi" w:eastAsia="Times New Roman" w:hAnsiTheme="majorHAnsi" w:cstheme="majorHAnsi"/>
                <w:kern w:val="3"/>
                <w:sz w:val="20"/>
                <w:szCs w:val="20"/>
              </w:rPr>
              <w:t xml:space="preserve">Tailoring dressmaking, hairdressing, stonemasons, </w:t>
            </w:r>
            <w:proofErr w:type="spellStart"/>
            <w:r w:rsidRPr="005516CD">
              <w:rPr>
                <w:rFonts w:asciiTheme="majorHAnsi" w:eastAsia="Times New Roman" w:hAnsiTheme="majorHAnsi" w:cstheme="majorHAnsi"/>
                <w:kern w:val="3"/>
                <w:sz w:val="20"/>
                <w:szCs w:val="20"/>
              </w:rPr>
              <w:t>carpintery</w:t>
            </w:r>
            <w:proofErr w:type="spellEnd"/>
            <w:r w:rsidRPr="005516CD">
              <w:rPr>
                <w:rFonts w:asciiTheme="majorHAnsi" w:eastAsia="Times New Roman" w:hAnsiTheme="majorHAnsi" w:cstheme="majorHAnsi"/>
                <w:kern w:val="3"/>
                <w:sz w:val="20"/>
                <w:szCs w:val="20"/>
              </w:rPr>
              <w:t xml:space="preserve"> and cabinet-making, brickmaking, blacksmithing and metalwork, agriculture. </w:t>
            </w:r>
          </w:p>
        </w:tc>
        <w:tc>
          <w:tcPr>
            <w:tcW w:w="1134" w:type="dxa"/>
          </w:tcPr>
          <w:p w14:paraId="7EFD4A75" w14:textId="77777777" w:rsidR="00250356" w:rsidRPr="005516CD" w:rsidRDefault="00250356" w:rsidP="002D5D42">
            <w:pPr>
              <w:spacing w:after="40"/>
              <w:jc w:val="cente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10 – 15%</w:t>
            </w:r>
          </w:p>
        </w:tc>
      </w:tr>
      <w:tr w:rsidR="00250356" w:rsidRPr="005516CD" w14:paraId="5DF6F9DA" w14:textId="77777777" w:rsidTr="00D95D5D">
        <w:tc>
          <w:tcPr>
            <w:tcW w:w="1701" w:type="dxa"/>
          </w:tcPr>
          <w:p w14:paraId="697761E9" w14:textId="77777777" w:rsidR="00250356" w:rsidRPr="005516CD" w:rsidRDefault="00250356" w:rsidP="002D5D42">
            <w:pP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 xml:space="preserve">Employees of public and private institutions </w:t>
            </w:r>
          </w:p>
        </w:tc>
        <w:tc>
          <w:tcPr>
            <w:tcW w:w="6096" w:type="dxa"/>
          </w:tcPr>
          <w:p w14:paraId="23F416FD" w14:textId="77777777" w:rsidR="00250356" w:rsidRPr="005516CD" w:rsidRDefault="00250356" w:rsidP="002D5D42">
            <w:pPr>
              <w:jc w:val="both"/>
              <w:rPr>
                <w:rFonts w:asciiTheme="majorHAnsi" w:hAnsiTheme="majorHAnsi" w:cstheme="majorHAnsi"/>
                <w:sz w:val="20"/>
                <w:szCs w:val="20"/>
              </w:rPr>
            </w:pPr>
            <w:r w:rsidRPr="005516CD">
              <w:rPr>
                <w:rFonts w:asciiTheme="majorHAnsi" w:eastAsia="Times New Roman" w:hAnsiTheme="majorHAnsi" w:cstheme="majorHAnsi"/>
                <w:kern w:val="3"/>
                <w:sz w:val="20"/>
                <w:szCs w:val="20"/>
              </w:rPr>
              <w:t xml:space="preserve">Civil servants, NGO employees, schoolteachers, traders (stores in urban centres), owners of trucks, pickups and multiple motorcycle taxis. </w:t>
            </w:r>
          </w:p>
        </w:tc>
        <w:tc>
          <w:tcPr>
            <w:tcW w:w="1134" w:type="dxa"/>
          </w:tcPr>
          <w:p w14:paraId="6622BE9A" w14:textId="77777777" w:rsidR="00250356" w:rsidRPr="005516CD" w:rsidRDefault="00250356" w:rsidP="002D5D42">
            <w:pPr>
              <w:spacing w:after="40"/>
              <w:jc w:val="cente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10 – 15%</w:t>
            </w:r>
          </w:p>
        </w:tc>
      </w:tr>
      <w:tr w:rsidR="00250356" w:rsidRPr="005516CD" w14:paraId="018B59B0" w14:textId="77777777" w:rsidTr="00D95D5D">
        <w:tc>
          <w:tcPr>
            <w:tcW w:w="1701" w:type="dxa"/>
          </w:tcPr>
          <w:p w14:paraId="66DC0D37" w14:textId="77777777" w:rsidR="00250356" w:rsidRPr="005516CD" w:rsidRDefault="00250356" w:rsidP="002D5D42">
            <w:pP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Agricultural traders</w:t>
            </w:r>
          </w:p>
        </w:tc>
        <w:tc>
          <w:tcPr>
            <w:tcW w:w="6096" w:type="dxa"/>
          </w:tcPr>
          <w:p w14:paraId="22F3DBD6" w14:textId="77777777" w:rsidR="00250356" w:rsidRPr="005516CD" w:rsidRDefault="00250356" w:rsidP="002D5D42">
            <w:pPr>
              <w:jc w:val="both"/>
              <w:rPr>
                <w:rFonts w:asciiTheme="majorHAnsi" w:hAnsiTheme="majorHAnsi" w:cstheme="majorHAnsi"/>
                <w:sz w:val="20"/>
                <w:szCs w:val="20"/>
              </w:rPr>
            </w:pPr>
            <w:r w:rsidRPr="005516CD">
              <w:rPr>
                <w:rFonts w:asciiTheme="majorHAnsi" w:eastAsia="Times New Roman" w:hAnsiTheme="majorHAnsi" w:cstheme="majorHAnsi"/>
                <w:kern w:val="3"/>
                <w:sz w:val="20"/>
                <w:szCs w:val="20"/>
              </w:rPr>
              <w:t>Purchase and sale of foodstuffs and animals, butchery, agricultural activities (occasionally)</w:t>
            </w:r>
          </w:p>
        </w:tc>
        <w:tc>
          <w:tcPr>
            <w:tcW w:w="1134" w:type="dxa"/>
          </w:tcPr>
          <w:p w14:paraId="004566F4" w14:textId="77777777" w:rsidR="00250356" w:rsidRPr="005516CD" w:rsidRDefault="00250356" w:rsidP="002D5D42">
            <w:pPr>
              <w:spacing w:after="40"/>
              <w:jc w:val="cente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20 – 25%</w:t>
            </w:r>
          </w:p>
        </w:tc>
      </w:tr>
      <w:tr w:rsidR="00250356" w:rsidRPr="005516CD" w14:paraId="532CA8C4" w14:textId="77777777" w:rsidTr="00D95D5D">
        <w:tc>
          <w:tcPr>
            <w:tcW w:w="1701" w:type="dxa"/>
          </w:tcPr>
          <w:p w14:paraId="59FC6D82" w14:textId="77777777" w:rsidR="00250356" w:rsidRPr="005516CD" w:rsidRDefault="00250356" w:rsidP="002D5D42">
            <w:pP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 xml:space="preserve">Better-off farmers (3-5 </w:t>
            </w:r>
            <w:proofErr w:type="spellStart"/>
            <w:r w:rsidRPr="005516CD">
              <w:rPr>
                <w:rFonts w:asciiTheme="majorHAnsi" w:eastAsia="Times New Roman" w:hAnsiTheme="majorHAnsi" w:cstheme="majorHAnsi"/>
                <w:bCs/>
                <w:kern w:val="3"/>
                <w:sz w:val="20"/>
                <w:szCs w:val="20"/>
              </w:rPr>
              <w:t>Cx</w:t>
            </w:r>
            <w:proofErr w:type="spellEnd"/>
            <w:r w:rsidRPr="005516CD">
              <w:rPr>
                <w:rFonts w:asciiTheme="majorHAnsi" w:eastAsia="Times New Roman" w:hAnsiTheme="majorHAnsi" w:cstheme="majorHAnsi"/>
                <w:bCs/>
                <w:kern w:val="3"/>
                <w:sz w:val="20"/>
                <w:szCs w:val="20"/>
              </w:rPr>
              <w:t>)</w:t>
            </w:r>
          </w:p>
        </w:tc>
        <w:tc>
          <w:tcPr>
            <w:tcW w:w="6096" w:type="dxa"/>
          </w:tcPr>
          <w:p w14:paraId="440201C2" w14:textId="77777777" w:rsidR="00250356" w:rsidRPr="005516CD" w:rsidRDefault="00250356" w:rsidP="002D5D42">
            <w:pPr>
              <w:jc w:val="both"/>
              <w:rPr>
                <w:rFonts w:asciiTheme="majorHAnsi" w:hAnsiTheme="majorHAnsi" w:cstheme="majorHAnsi"/>
                <w:sz w:val="20"/>
                <w:szCs w:val="20"/>
              </w:rPr>
            </w:pPr>
            <w:r w:rsidRPr="005516CD">
              <w:rPr>
                <w:rFonts w:asciiTheme="majorHAnsi" w:eastAsia="Times New Roman" w:hAnsiTheme="majorHAnsi" w:cstheme="majorHAnsi"/>
                <w:kern w:val="3"/>
                <w:sz w:val="20"/>
                <w:szCs w:val="20"/>
              </w:rPr>
              <w:t>Livestock rearing (cattle, goats, sheep, horses),</w:t>
            </w:r>
            <w:r w:rsidRPr="005516CD">
              <w:rPr>
                <w:rFonts w:asciiTheme="majorHAnsi" w:eastAsia="Times New Roman" w:hAnsiTheme="majorHAnsi" w:cstheme="majorHAnsi"/>
                <w:bCs/>
                <w:kern w:val="3"/>
                <w:sz w:val="20"/>
                <w:szCs w:val="20"/>
              </w:rPr>
              <w:t xml:space="preserve"> agroforestry (ginger, cacao, coffee, yams, bananas, beans, maize, sorghum, </w:t>
            </w:r>
            <w:r w:rsidR="000D1903" w:rsidRPr="005516CD">
              <w:rPr>
                <w:rFonts w:asciiTheme="majorHAnsi" w:eastAsia="Times New Roman" w:hAnsiTheme="majorHAnsi" w:cstheme="majorHAnsi"/>
                <w:bCs/>
                <w:kern w:val="3"/>
                <w:sz w:val="20"/>
                <w:szCs w:val="20"/>
              </w:rPr>
              <w:t>pigeon</w:t>
            </w:r>
            <w:r w:rsidRPr="005516CD">
              <w:rPr>
                <w:rFonts w:asciiTheme="majorHAnsi" w:eastAsia="Times New Roman" w:hAnsiTheme="majorHAnsi" w:cstheme="majorHAnsi"/>
                <w:bCs/>
                <w:kern w:val="3"/>
                <w:sz w:val="20"/>
                <w:szCs w:val="20"/>
              </w:rPr>
              <w:t xml:space="preserve"> beans, sugarcane etc.); stores in villages and sometimes in towns;</w:t>
            </w:r>
            <w:r w:rsidRPr="005516CD">
              <w:rPr>
                <w:rFonts w:asciiTheme="majorHAnsi" w:eastAsia="Times New Roman" w:hAnsiTheme="majorHAnsi" w:cstheme="majorHAnsi"/>
                <w:kern w:val="3"/>
                <w:sz w:val="20"/>
                <w:szCs w:val="20"/>
              </w:rPr>
              <w:t xml:space="preserve"> owners of trucks, pickups and multiple motorcycle taxis.</w:t>
            </w:r>
          </w:p>
        </w:tc>
        <w:tc>
          <w:tcPr>
            <w:tcW w:w="1134" w:type="dxa"/>
          </w:tcPr>
          <w:p w14:paraId="1C0A535C" w14:textId="77777777" w:rsidR="00250356" w:rsidRPr="005516CD" w:rsidRDefault="00250356" w:rsidP="002D5D42">
            <w:pPr>
              <w:spacing w:after="40"/>
              <w:jc w:val="center"/>
              <w:rPr>
                <w:rFonts w:asciiTheme="majorHAnsi" w:eastAsia="Times New Roman" w:hAnsiTheme="majorHAnsi" w:cstheme="majorHAnsi"/>
                <w:bCs/>
                <w:kern w:val="3"/>
                <w:sz w:val="20"/>
                <w:szCs w:val="20"/>
              </w:rPr>
            </w:pPr>
            <w:r w:rsidRPr="005516CD">
              <w:rPr>
                <w:rFonts w:asciiTheme="majorHAnsi" w:eastAsia="Times New Roman" w:hAnsiTheme="majorHAnsi" w:cstheme="majorHAnsi"/>
                <w:bCs/>
                <w:kern w:val="3"/>
                <w:sz w:val="20"/>
                <w:szCs w:val="20"/>
              </w:rPr>
              <w:t>20 – 25%</w:t>
            </w:r>
          </w:p>
        </w:tc>
      </w:tr>
    </w:tbl>
    <w:p w14:paraId="735357D1" w14:textId="77777777" w:rsidR="00250356" w:rsidRPr="005516CD" w:rsidRDefault="00250356" w:rsidP="00250356">
      <w:pPr>
        <w:tabs>
          <w:tab w:val="left" w:pos="426"/>
        </w:tabs>
        <w:spacing w:after="120"/>
        <w:ind w:right="96"/>
        <w:jc w:val="both"/>
        <w:rPr>
          <w:rFonts w:asciiTheme="majorHAnsi" w:hAnsiTheme="majorHAnsi" w:cstheme="majorHAnsi"/>
          <w:color w:val="2E74B5" w:themeColor="accent1" w:themeShade="BF"/>
          <w:sz w:val="20"/>
          <w:szCs w:val="20"/>
        </w:rPr>
      </w:pPr>
    </w:p>
    <w:p w14:paraId="5F5CED5A" w14:textId="77777777" w:rsidR="003927A1" w:rsidRPr="005516CD" w:rsidRDefault="003927A1" w:rsidP="006B27F4">
      <w:pPr>
        <w:pStyle w:val="ListParagraph"/>
        <w:keepNext/>
        <w:numPr>
          <w:ilvl w:val="3"/>
          <w:numId w:val="90"/>
        </w:numPr>
        <w:spacing w:after="60"/>
        <w:ind w:left="851" w:right="96" w:hanging="851"/>
        <w:contextualSpacing/>
        <w:jc w:val="both"/>
        <w:rPr>
          <w:rFonts w:asciiTheme="majorHAnsi" w:hAnsiTheme="majorHAnsi" w:cstheme="majorHAnsi"/>
          <w:b/>
          <w:sz w:val="20"/>
          <w:szCs w:val="20"/>
        </w:rPr>
      </w:pPr>
      <w:bookmarkStart w:id="17" w:name="_Ref530049398"/>
      <w:r w:rsidRPr="005516CD">
        <w:rPr>
          <w:rFonts w:asciiTheme="majorHAnsi" w:hAnsiTheme="majorHAnsi" w:cstheme="majorHAnsi"/>
          <w:b/>
          <w:sz w:val="20"/>
          <w:szCs w:val="20"/>
        </w:rPr>
        <w:t>Principal categories of farmers, by socioeconomic status, identified in focus groups</w:t>
      </w:r>
      <w:bookmarkEnd w:id="17"/>
    </w:p>
    <w:tbl>
      <w:tblPr>
        <w:tblStyle w:val="TableGrid"/>
        <w:tblW w:w="0" w:type="auto"/>
        <w:tblLook w:val="04A0" w:firstRow="1" w:lastRow="0" w:firstColumn="1" w:lastColumn="0" w:noHBand="0" w:noVBand="1"/>
      </w:tblPr>
      <w:tblGrid>
        <w:gridCol w:w="1087"/>
        <w:gridCol w:w="7923"/>
      </w:tblGrid>
      <w:tr w:rsidR="003E7FA2" w:rsidRPr="005516CD" w14:paraId="30E469A3" w14:textId="77777777" w:rsidTr="003E7FA2">
        <w:trPr>
          <w:tblHeader/>
        </w:trPr>
        <w:tc>
          <w:tcPr>
            <w:tcW w:w="1087" w:type="dxa"/>
            <w:shd w:val="clear" w:color="auto" w:fill="D9D9D9" w:themeFill="background1" w:themeFillShade="D9"/>
          </w:tcPr>
          <w:p w14:paraId="0B0A7C6D" w14:textId="77777777" w:rsidR="003354C9" w:rsidRPr="005516CD" w:rsidRDefault="003E7FA2" w:rsidP="003E7FA2">
            <w:pPr>
              <w:tabs>
                <w:tab w:val="left" w:pos="426"/>
              </w:tabs>
              <w:ind w:right="96"/>
              <w:jc w:val="center"/>
              <w:rPr>
                <w:rFonts w:asciiTheme="majorHAnsi" w:hAnsiTheme="majorHAnsi" w:cstheme="majorHAnsi"/>
                <w:b/>
                <w:sz w:val="20"/>
                <w:szCs w:val="20"/>
              </w:rPr>
            </w:pPr>
            <w:r w:rsidRPr="005516CD">
              <w:rPr>
                <w:rFonts w:asciiTheme="majorHAnsi" w:hAnsiTheme="majorHAnsi" w:cstheme="majorHAnsi"/>
                <w:b/>
                <w:sz w:val="20"/>
                <w:szCs w:val="20"/>
              </w:rPr>
              <w:t>Category</w:t>
            </w:r>
          </w:p>
        </w:tc>
        <w:tc>
          <w:tcPr>
            <w:tcW w:w="7923" w:type="dxa"/>
            <w:shd w:val="clear" w:color="auto" w:fill="D9D9D9" w:themeFill="background1" w:themeFillShade="D9"/>
          </w:tcPr>
          <w:p w14:paraId="2C541633" w14:textId="77777777" w:rsidR="003354C9" w:rsidRPr="005516CD" w:rsidRDefault="003E7FA2" w:rsidP="003E7FA2">
            <w:pPr>
              <w:tabs>
                <w:tab w:val="left" w:pos="426"/>
              </w:tabs>
              <w:ind w:right="96"/>
              <w:jc w:val="center"/>
              <w:rPr>
                <w:rFonts w:asciiTheme="majorHAnsi" w:hAnsiTheme="majorHAnsi" w:cstheme="majorHAnsi"/>
                <w:b/>
                <w:sz w:val="20"/>
                <w:szCs w:val="20"/>
              </w:rPr>
            </w:pPr>
            <w:r w:rsidRPr="005516CD">
              <w:rPr>
                <w:rFonts w:asciiTheme="majorHAnsi" w:hAnsiTheme="majorHAnsi" w:cstheme="majorHAnsi"/>
                <w:b/>
                <w:sz w:val="20"/>
                <w:szCs w:val="20"/>
              </w:rPr>
              <w:t>Characteristics</w:t>
            </w:r>
          </w:p>
        </w:tc>
      </w:tr>
      <w:tr w:rsidR="003E7FA2" w:rsidRPr="005516CD" w14:paraId="244BD49B" w14:textId="77777777" w:rsidTr="003E7FA2">
        <w:tc>
          <w:tcPr>
            <w:tcW w:w="1087" w:type="dxa"/>
          </w:tcPr>
          <w:p w14:paraId="45B55427" w14:textId="77777777" w:rsidR="003354C9" w:rsidRPr="005516CD" w:rsidRDefault="003354C9" w:rsidP="003354C9">
            <w:pPr>
              <w:tabs>
                <w:tab w:val="left" w:pos="426"/>
              </w:tabs>
              <w:ind w:right="96"/>
              <w:jc w:val="center"/>
              <w:rPr>
                <w:rFonts w:asciiTheme="majorHAnsi" w:hAnsiTheme="majorHAnsi" w:cstheme="majorHAnsi"/>
                <w:b/>
                <w:sz w:val="20"/>
                <w:szCs w:val="20"/>
              </w:rPr>
            </w:pPr>
            <w:r w:rsidRPr="005516CD">
              <w:rPr>
                <w:rFonts w:asciiTheme="majorHAnsi" w:hAnsiTheme="majorHAnsi" w:cstheme="majorHAnsi"/>
                <w:b/>
                <w:sz w:val="20"/>
                <w:szCs w:val="20"/>
              </w:rPr>
              <w:t xml:space="preserve">I </w:t>
            </w:r>
          </w:p>
          <w:p w14:paraId="586A3003" w14:textId="77777777" w:rsidR="003354C9" w:rsidRPr="005516CD" w:rsidRDefault="003354C9" w:rsidP="003354C9">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Larger-scale farmers</w:t>
            </w:r>
          </w:p>
        </w:tc>
        <w:tc>
          <w:tcPr>
            <w:tcW w:w="7923" w:type="dxa"/>
          </w:tcPr>
          <w:p w14:paraId="7CC0C6BE" w14:textId="77777777" w:rsidR="003354C9" w:rsidRPr="005516CD" w:rsidRDefault="003354C9" w:rsidP="006B27F4">
            <w:pPr>
              <w:pStyle w:val="ListParagraph"/>
              <w:numPr>
                <w:ilvl w:val="0"/>
                <w:numId w:val="103"/>
              </w:numP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Well-built houses in urban </w:t>
            </w:r>
            <w:proofErr w:type="spellStart"/>
            <w:r w:rsidRPr="005516CD">
              <w:rPr>
                <w:rFonts w:asciiTheme="majorHAnsi" w:hAnsiTheme="majorHAnsi" w:cstheme="majorHAnsi"/>
                <w:color w:val="auto"/>
                <w:sz w:val="20"/>
                <w:szCs w:val="20"/>
              </w:rPr>
              <w:t>centre</w:t>
            </w:r>
            <w:proofErr w:type="spellEnd"/>
          </w:p>
          <w:p w14:paraId="0A955732" w14:textId="77777777" w:rsidR="003354C9" w:rsidRPr="005516CD" w:rsidRDefault="003354C9" w:rsidP="006B27F4">
            <w:pPr>
              <w:pStyle w:val="ListParagraph"/>
              <w:numPr>
                <w:ilvl w:val="0"/>
                <w:numId w:val="103"/>
              </w:numP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Farm ≥5 ha in ≥2 agroecological zones; at least 3 plots with coffee, cacao and/or ginger</w:t>
            </w:r>
          </w:p>
          <w:p w14:paraId="1E3EC97F" w14:textId="77777777" w:rsidR="003354C9" w:rsidRPr="005516CD" w:rsidRDefault="003354C9" w:rsidP="006B27F4">
            <w:pPr>
              <w:pStyle w:val="ListParagraph"/>
              <w:numPr>
                <w:ilvl w:val="0"/>
                <w:numId w:val="103"/>
              </w:numP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Use animal traction (≥4 yoke of oxen)</w:t>
            </w:r>
          </w:p>
          <w:p w14:paraId="69C4C6AE" w14:textId="77777777" w:rsidR="003354C9" w:rsidRPr="005516CD" w:rsidRDefault="003354C9" w:rsidP="006B27F4">
            <w:pPr>
              <w:pStyle w:val="ListParagraph"/>
              <w:numPr>
                <w:ilvl w:val="0"/>
                <w:numId w:val="103"/>
              </w:numP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Transport: pickups/trucks, carts, motorcycles</w:t>
            </w:r>
          </w:p>
          <w:p w14:paraId="3D06EE3B" w14:textId="77777777" w:rsidR="003354C9" w:rsidRPr="005516CD" w:rsidRDefault="003354C9" w:rsidP="006B27F4">
            <w:pPr>
              <w:pStyle w:val="ListParagraph"/>
              <w:numPr>
                <w:ilvl w:val="0"/>
                <w:numId w:val="103"/>
              </w:numP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Hold ≥10 cattle, 20 sheep, 30 goats, 30 poultry</w:t>
            </w:r>
          </w:p>
          <w:p w14:paraId="4DEE3249" w14:textId="77777777" w:rsidR="003354C9" w:rsidRPr="005516CD" w:rsidRDefault="003354C9" w:rsidP="006B27F4">
            <w:pPr>
              <w:pStyle w:val="ListParagraph"/>
              <w:numPr>
                <w:ilvl w:val="0"/>
                <w:numId w:val="103"/>
              </w:numP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Well and crop drying facilities</w:t>
            </w:r>
          </w:p>
          <w:p w14:paraId="460C0717" w14:textId="77777777" w:rsidR="003354C9" w:rsidRPr="005516CD" w:rsidRDefault="003354C9" w:rsidP="006B27F4">
            <w:pPr>
              <w:pStyle w:val="ListParagraph"/>
              <w:numPr>
                <w:ilvl w:val="0"/>
                <w:numId w:val="103"/>
              </w:numP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Able to lend crops or money to others as needed</w:t>
            </w:r>
          </w:p>
          <w:p w14:paraId="5678DEC3" w14:textId="77777777" w:rsidR="003354C9" w:rsidRPr="005516CD" w:rsidRDefault="003354C9"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Contract </w:t>
            </w:r>
            <w:proofErr w:type="spellStart"/>
            <w:r w:rsidRPr="005516CD">
              <w:rPr>
                <w:rFonts w:asciiTheme="majorHAnsi" w:hAnsiTheme="majorHAnsi" w:cstheme="majorHAnsi"/>
                <w:color w:val="auto"/>
                <w:sz w:val="20"/>
                <w:szCs w:val="20"/>
              </w:rPr>
              <w:t>labour</w:t>
            </w:r>
            <w:proofErr w:type="spellEnd"/>
            <w:r w:rsidRPr="005516CD">
              <w:rPr>
                <w:rFonts w:asciiTheme="majorHAnsi" w:hAnsiTheme="majorHAnsi" w:cstheme="majorHAnsi"/>
                <w:color w:val="auto"/>
                <w:sz w:val="20"/>
                <w:szCs w:val="20"/>
              </w:rPr>
              <w:t xml:space="preserve"> for most agricultural activities</w:t>
            </w:r>
          </w:p>
          <w:p w14:paraId="7606BDC5" w14:textId="77777777" w:rsidR="003354C9" w:rsidRPr="005516CD" w:rsidRDefault="003354C9"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Economic system composed of self-consumption (20-30%), investment/renewal/expansion (20%) and marketing (up to 80%).</w:t>
            </w:r>
          </w:p>
          <w:p w14:paraId="7BAB3416" w14:textId="77777777" w:rsidR="003354C9" w:rsidRPr="005516CD" w:rsidRDefault="003354C9"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Well inserted into markets, but vulnerable to variations in global markets</w:t>
            </w:r>
          </w:p>
          <w:p w14:paraId="71FA2434" w14:textId="77777777" w:rsidR="003354C9" w:rsidRPr="005516CD" w:rsidRDefault="003354C9"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Generally resilient</w:t>
            </w:r>
          </w:p>
        </w:tc>
      </w:tr>
      <w:tr w:rsidR="003E7FA2" w:rsidRPr="005516CD" w14:paraId="64C70F61" w14:textId="77777777" w:rsidTr="003E7FA2">
        <w:tc>
          <w:tcPr>
            <w:tcW w:w="1087" w:type="dxa"/>
          </w:tcPr>
          <w:p w14:paraId="0C27FF93" w14:textId="77777777" w:rsidR="003354C9" w:rsidRPr="005516CD" w:rsidRDefault="003354C9" w:rsidP="003354C9">
            <w:pPr>
              <w:tabs>
                <w:tab w:val="left" w:pos="426"/>
              </w:tabs>
              <w:ind w:right="96"/>
              <w:jc w:val="center"/>
              <w:rPr>
                <w:rFonts w:asciiTheme="majorHAnsi" w:hAnsiTheme="majorHAnsi" w:cstheme="majorHAnsi"/>
                <w:sz w:val="20"/>
                <w:szCs w:val="20"/>
              </w:rPr>
            </w:pPr>
            <w:r w:rsidRPr="005516CD">
              <w:rPr>
                <w:rFonts w:asciiTheme="majorHAnsi" w:hAnsiTheme="majorHAnsi" w:cstheme="majorHAnsi"/>
                <w:b/>
                <w:sz w:val="20"/>
                <w:szCs w:val="20"/>
              </w:rPr>
              <w:t>II</w:t>
            </w:r>
            <w:r w:rsidRPr="005516CD">
              <w:rPr>
                <w:rFonts w:asciiTheme="majorHAnsi" w:hAnsiTheme="majorHAnsi" w:cstheme="majorHAnsi"/>
                <w:sz w:val="20"/>
                <w:szCs w:val="20"/>
              </w:rPr>
              <w:t xml:space="preserve"> Medium-scale farmers</w:t>
            </w:r>
          </w:p>
        </w:tc>
        <w:tc>
          <w:tcPr>
            <w:tcW w:w="7923" w:type="dxa"/>
          </w:tcPr>
          <w:p w14:paraId="758465E4" w14:textId="77777777" w:rsidR="003354C9" w:rsidRPr="005516CD" w:rsidRDefault="003354C9"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Concrete houses in urban </w:t>
            </w:r>
            <w:proofErr w:type="spellStart"/>
            <w:r w:rsidRPr="005516CD">
              <w:rPr>
                <w:rFonts w:asciiTheme="majorHAnsi" w:hAnsiTheme="majorHAnsi" w:cstheme="majorHAnsi"/>
                <w:color w:val="auto"/>
                <w:sz w:val="20"/>
                <w:szCs w:val="20"/>
              </w:rPr>
              <w:t>centres</w:t>
            </w:r>
            <w:proofErr w:type="spellEnd"/>
          </w:p>
          <w:p w14:paraId="7345E492" w14:textId="77777777" w:rsidR="003354C9" w:rsidRPr="005516CD" w:rsidRDefault="003354C9"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Farm 2-3 ha in 2 agroecological zones, 1-2 plots with coffee, cacao and/or ginger</w:t>
            </w:r>
          </w:p>
          <w:p w14:paraId="5B5EA1E9" w14:textId="77777777" w:rsidR="003354C9" w:rsidRPr="005516CD" w:rsidRDefault="003354C9"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Use animal traction (</w:t>
            </w:r>
            <w:r w:rsidR="009D12B5" w:rsidRPr="005516CD">
              <w:rPr>
                <w:rFonts w:asciiTheme="majorHAnsi" w:hAnsiTheme="majorHAnsi" w:cstheme="majorHAnsi"/>
                <w:color w:val="auto"/>
                <w:sz w:val="20"/>
                <w:szCs w:val="20"/>
              </w:rPr>
              <w:t>up to 3 yoke of oxen)</w:t>
            </w:r>
          </w:p>
          <w:p w14:paraId="58763EA3" w14:textId="77777777" w:rsidR="009D12B5" w:rsidRPr="005516CD" w:rsidRDefault="009D12B5"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Transport: pick-up, motorcycles, horses/donkeys</w:t>
            </w:r>
          </w:p>
          <w:p w14:paraId="4B4DC8A2" w14:textId="77777777" w:rsidR="009D12B5" w:rsidRPr="005516CD" w:rsidRDefault="009D12B5"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≥6 cattle, 10 sheep, 10 goats, 15 poultry</w:t>
            </w:r>
          </w:p>
          <w:p w14:paraId="0216CB64" w14:textId="77777777" w:rsidR="009D12B5" w:rsidRPr="005516CD" w:rsidRDefault="009D12B5" w:rsidP="006B27F4">
            <w:pPr>
              <w:pStyle w:val="ListParagraph"/>
              <w:numPr>
                <w:ilvl w:val="0"/>
                <w:numId w:val="103"/>
              </w:numP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Sometimes have well and crop drying facilities </w:t>
            </w:r>
          </w:p>
          <w:p w14:paraId="3F857B51" w14:textId="77777777" w:rsidR="009D12B5" w:rsidRPr="005516CD" w:rsidRDefault="009D12B5" w:rsidP="006B27F4">
            <w:pPr>
              <w:pStyle w:val="ListParagraph"/>
              <w:numPr>
                <w:ilvl w:val="0"/>
                <w:numId w:val="103"/>
              </w:numP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Able to lend crops or money to others as needed</w:t>
            </w:r>
          </w:p>
          <w:p w14:paraId="7ED8B0E9" w14:textId="77777777" w:rsidR="009D12B5" w:rsidRPr="005516CD" w:rsidRDefault="009D12B5"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Contract </w:t>
            </w:r>
            <w:proofErr w:type="spellStart"/>
            <w:r w:rsidRPr="005516CD">
              <w:rPr>
                <w:rFonts w:asciiTheme="majorHAnsi" w:hAnsiTheme="majorHAnsi" w:cstheme="majorHAnsi"/>
                <w:color w:val="auto"/>
                <w:sz w:val="20"/>
                <w:szCs w:val="20"/>
              </w:rPr>
              <w:t>labour</w:t>
            </w:r>
            <w:proofErr w:type="spellEnd"/>
            <w:r w:rsidRPr="005516CD">
              <w:rPr>
                <w:rFonts w:asciiTheme="majorHAnsi" w:hAnsiTheme="majorHAnsi" w:cstheme="majorHAnsi"/>
                <w:color w:val="auto"/>
                <w:sz w:val="20"/>
                <w:szCs w:val="20"/>
              </w:rPr>
              <w:t xml:space="preserve"> for some agricultural activities</w:t>
            </w:r>
          </w:p>
          <w:p w14:paraId="5A07CD5C" w14:textId="77777777" w:rsidR="009D12B5" w:rsidRPr="005516CD" w:rsidRDefault="009D12B5"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Economic system composed of self-consumption (40-70%) and marketing (up to 35%).</w:t>
            </w:r>
          </w:p>
          <w:p w14:paraId="785E1FDB" w14:textId="77777777" w:rsidR="009D12B5" w:rsidRPr="005516CD" w:rsidRDefault="009D12B5"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Access to credit in lean times</w:t>
            </w:r>
          </w:p>
          <w:p w14:paraId="4DF901CE" w14:textId="77777777" w:rsidR="009D12B5" w:rsidRPr="005516CD" w:rsidRDefault="009D12B5"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Vulnerable to natural and economic shocks but buffered by livelihood diversity</w:t>
            </w:r>
          </w:p>
        </w:tc>
      </w:tr>
      <w:tr w:rsidR="003E7FA2" w:rsidRPr="005516CD" w14:paraId="579E64A6" w14:textId="77777777" w:rsidTr="003E7FA2">
        <w:tc>
          <w:tcPr>
            <w:tcW w:w="1087" w:type="dxa"/>
          </w:tcPr>
          <w:p w14:paraId="43A5EA62" w14:textId="77777777" w:rsidR="003354C9" w:rsidRPr="005516CD" w:rsidRDefault="0060617D" w:rsidP="003354C9">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III</w:t>
            </w:r>
          </w:p>
          <w:p w14:paraId="4F1D8BE4" w14:textId="77777777" w:rsidR="0060617D" w:rsidRPr="005516CD" w:rsidRDefault="0060617D" w:rsidP="003354C9">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Small farmers</w:t>
            </w:r>
          </w:p>
        </w:tc>
        <w:tc>
          <w:tcPr>
            <w:tcW w:w="7923" w:type="dxa"/>
          </w:tcPr>
          <w:p w14:paraId="3B8C7EF2" w14:textId="77777777" w:rsidR="003354C9" w:rsidRPr="005516CD" w:rsidRDefault="0060617D"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Earth- or pole-built house with corrugated iron or thatched roofs</w:t>
            </w:r>
            <w:r w:rsidR="003E7FA2" w:rsidRPr="005516CD">
              <w:rPr>
                <w:rFonts w:asciiTheme="majorHAnsi" w:hAnsiTheme="majorHAnsi" w:cstheme="majorHAnsi"/>
                <w:color w:val="auto"/>
                <w:sz w:val="20"/>
                <w:szCs w:val="20"/>
              </w:rPr>
              <w:t>, on edge of or outside town</w:t>
            </w:r>
          </w:p>
          <w:p w14:paraId="17EEF0F1"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Farm 0.5-1 ha, rarely in 2 agroecological zones; sometimes with one plot including coffee cacao; food crops make up more than 90% of the farmed area.</w:t>
            </w:r>
          </w:p>
          <w:p w14:paraId="449E1E06"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Transport: sometimes have access to motorcycle and 1-2 donkeys</w:t>
            </w:r>
          </w:p>
          <w:p w14:paraId="00F2A92B"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Hold ≤2 cattle, around 5 sheep and goats, and around 10 poultry</w:t>
            </w:r>
          </w:p>
          <w:p w14:paraId="78509A0E"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Sometimes have access to crop-drying facilities</w:t>
            </w:r>
          </w:p>
          <w:p w14:paraId="4732F735"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Contract or exchange </w:t>
            </w:r>
            <w:proofErr w:type="spellStart"/>
            <w:r w:rsidRPr="005516CD">
              <w:rPr>
                <w:rFonts w:asciiTheme="majorHAnsi" w:hAnsiTheme="majorHAnsi" w:cstheme="majorHAnsi"/>
                <w:color w:val="auto"/>
                <w:sz w:val="20"/>
                <w:szCs w:val="20"/>
              </w:rPr>
              <w:t>labour</w:t>
            </w:r>
            <w:proofErr w:type="spellEnd"/>
            <w:r w:rsidRPr="005516CD">
              <w:rPr>
                <w:rFonts w:asciiTheme="majorHAnsi" w:hAnsiTheme="majorHAnsi" w:cstheme="majorHAnsi"/>
                <w:color w:val="auto"/>
                <w:sz w:val="20"/>
                <w:szCs w:val="20"/>
              </w:rPr>
              <w:t xml:space="preserve"> for agricultural activities </w:t>
            </w:r>
          </w:p>
          <w:p w14:paraId="094295D5"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Economic system dominated by subsistence production, with some cash crop sale in good periods</w:t>
            </w:r>
          </w:p>
          <w:p w14:paraId="5A7ABD3B"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Sometimes obliged to migrate in lean times; very vulnerable to natural and economic shocks</w:t>
            </w:r>
          </w:p>
          <w:p w14:paraId="31BA6AC2"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The majority are indebted; difficulty in obtaining seed, with little food reserve.</w:t>
            </w:r>
          </w:p>
        </w:tc>
      </w:tr>
      <w:tr w:rsidR="003E7FA2" w:rsidRPr="005516CD" w14:paraId="797340E5" w14:textId="77777777" w:rsidTr="003E7FA2">
        <w:tc>
          <w:tcPr>
            <w:tcW w:w="1087" w:type="dxa"/>
          </w:tcPr>
          <w:p w14:paraId="72881BC7" w14:textId="77777777" w:rsidR="003E7FA2" w:rsidRPr="005516CD" w:rsidRDefault="003E7FA2" w:rsidP="003E7FA2">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IV</w:t>
            </w:r>
          </w:p>
          <w:p w14:paraId="6A9E9B93" w14:textId="77777777" w:rsidR="003E7FA2" w:rsidRPr="005516CD" w:rsidRDefault="003E7FA2" w:rsidP="003E7FA2">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Poor landless labourers</w:t>
            </w:r>
          </w:p>
        </w:tc>
        <w:tc>
          <w:tcPr>
            <w:tcW w:w="7923" w:type="dxa"/>
          </w:tcPr>
          <w:p w14:paraId="61C34106"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Earth- or pole-built house with thatched roofs, on edge of or outside town</w:t>
            </w:r>
          </w:p>
          <w:p w14:paraId="1AA26F3B"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Farm &lt;0.5 ha, rarely with a few cacao or coffee bushes in the backyard</w:t>
            </w:r>
          </w:p>
          <w:p w14:paraId="6491DB0F" w14:textId="77777777" w:rsidR="003E7FA2" w:rsidRPr="005516CD" w:rsidRDefault="003E7FA2"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Transport: sometimes have a bicycle or a donkey</w:t>
            </w:r>
          </w:p>
          <w:p w14:paraId="4A8DCA3B" w14:textId="77777777" w:rsidR="003E7FA2" w:rsidRPr="005516CD" w:rsidRDefault="003927A1"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Sometimes have a cow, 2</w:t>
            </w:r>
            <w:r w:rsidR="003E7FA2" w:rsidRPr="005516CD">
              <w:rPr>
                <w:rFonts w:asciiTheme="majorHAnsi" w:hAnsiTheme="majorHAnsi" w:cstheme="majorHAnsi"/>
                <w:color w:val="auto"/>
                <w:sz w:val="20"/>
                <w:szCs w:val="20"/>
              </w:rPr>
              <w:t xml:space="preserve"> sheep and goats</w:t>
            </w:r>
            <w:r w:rsidRPr="005516CD">
              <w:rPr>
                <w:rFonts w:asciiTheme="majorHAnsi" w:hAnsiTheme="majorHAnsi" w:cstheme="majorHAnsi"/>
                <w:color w:val="auto"/>
                <w:sz w:val="20"/>
                <w:szCs w:val="20"/>
              </w:rPr>
              <w:t xml:space="preserve"> and a few head of </w:t>
            </w:r>
            <w:r w:rsidR="003E7FA2" w:rsidRPr="005516CD">
              <w:rPr>
                <w:rFonts w:asciiTheme="majorHAnsi" w:hAnsiTheme="majorHAnsi" w:cstheme="majorHAnsi"/>
                <w:color w:val="auto"/>
                <w:sz w:val="20"/>
                <w:szCs w:val="20"/>
              </w:rPr>
              <w:t>poultry</w:t>
            </w:r>
          </w:p>
          <w:p w14:paraId="3C9415F8" w14:textId="77777777" w:rsidR="003927A1" w:rsidRPr="005516CD" w:rsidRDefault="003927A1"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Work as </w:t>
            </w:r>
            <w:proofErr w:type="spellStart"/>
            <w:r w:rsidRPr="005516CD">
              <w:rPr>
                <w:rFonts w:asciiTheme="majorHAnsi" w:hAnsiTheme="majorHAnsi" w:cstheme="majorHAnsi"/>
                <w:color w:val="auto"/>
                <w:sz w:val="20"/>
                <w:szCs w:val="20"/>
              </w:rPr>
              <w:t>labourers</w:t>
            </w:r>
            <w:proofErr w:type="spellEnd"/>
            <w:r w:rsidRPr="005516CD">
              <w:rPr>
                <w:rFonts w:asciiTheme="majorHAnsi" w:hAnsiTheme="majorHAnsi" w:cstheme="majorHAnsi"/>
                <w:color w:val="auto"/>
                <w:sz w:val="20"/>
                <w:szCs w:val="20"/>
              </w:rPr>
              <w:t>, porters</w:t>
            </w:r>
          </w:p>
          <w:p w14:paraId="181BB173" w14:textId="77777777" w:rsidR="003E7FA2" w:rsidRPr="005516CD" w:rsidRDefault="003927A1"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tabs>
                <w:tab w:val="left" w:pos="167"/>
              </w:tabs>
              <w:ind w:left="167"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Almost completely focused on subsistence, and on maintaining food security, with extreme socioeconomic difficulties, and little or no resilience to shocks.</w:t>
            </w:r>
          </w:p>
        </w:tc>
      </w:tr>
    </w:tbl>
    <w:p w14:paraId="558D9344" w14:textId="77777777" w:rsidR="00325CE5" w:rsidRPr="005516CD" w:rsidRDefault="00325CE5" w:rsidP="00250356">
      <w:pPr>
        <w:tabs>
          <w:tab w:val="left" w:pos="426"/>
        </w:tabs>
        <w:spacing w:after="120"/>
        <w:ind w:right="96"/>
        <w:jc w:val="both"/>
        <w:rPr>
          <w:rFonts w:asciiTheme="majorHAnsi" w:hAnsiTheme="majorHAnsi" w:cstheme="majorHAnsi"/>
          <w:color w:val="2E74B5" w:themeColor="accent1" w:themeShade="BF"/>
          <w:sz w:val="20"/>
          <w:szCs w:val="20"/>
        </w:rPr>
      </w:pPr>
    </w:p>
    <w:p w14:paraId="33577E22" w14:textId="77777777" w:rsidR="00110573" w:rsidRPr="005516CD" w:rsidRDefault="00110573" w:rsidP="00110573">
      <w:pPr>
        <w:pStyle w:val="Heading7"/>
        <w:spacing w:before="0"/>
        <w:ind w:left="0"/>
        <w:rPr>
          <w:rFonts w:asciiTheme="majorHAnsi" w:hAnsiTheme="majorHAnsi" w:cstheme="majorHAnsi"/>
          <w:i/>
        </w:rPr>
      </w:pPr>
      <w:r w:rsidRPr="005516CD">
        <w:rPr>
          <w:rFonts w:asciiTheme="majorHAnsi" w:hAnsiTheme="majorHAnsi" w:cstheme="majorHAnsi"/>
          <w:i/>
        </w:rPr>
        <w:t>Resilience strategies</w:t>
      </w:r>
      <w:bookmarkStart w:id="18" w:name="_Toc528227022"/>
    </w:p>
    <w:p w14:paraId="3E8E9D71" w14:textId="77777777" w:rsidR="00110573" w:rsidRPr="005516CD" w:rsidRDefault="0011057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Most farmers have multiple livelihood support activities in order improve resilience, satisfy food security needs, generate financial revenues and where possible accrue capital. The main reasons for the emphasis given to ensuring livelihood resilience include the seasonal nature of agricultural activities, </w:t>
      </w:r>
      <w:r w:rsidR="007A68D0" w:rsidRPr="005516CD">
        <w:rPr>
          <w:rFonts w:asciiTheme="majorHAnsi" w:hAnsiTheme="majorHAnsi" w:cstheme="majorHAnsi"/>
          <w:sz w:val="20"/>
          <w:szCs w:val="20"/>
        </w:rPr>
        <w:t xml:space="preserve">the unreliability and instability of agricultural income, </w:t>
      </w:r>
      <w:r w:rsidRPr="005516CD">
        <w:rPr>
          <w:rFonts w:asciiTheme="majorHAnsi" w:hAnsiTheme="majorHAnsi" w:cstheme="majorHAnsi"/>
          <w:sz w:val="20"/>
          <w:szCs w:val="20"/>
        </w:rPr>
        <w:t>natural disasters, poverty, limited access to factors of production and social and historical constraints.</w:t>
      </w:r>
      <w:r w:rsidR="007A68D0" w:rsidRPr="005516CD">
        <w:rPr>
          <w:rFonts w:asciiTheme="majorHAnsi" w:hAnsiTheme="majorHAnsi" w:cstheme="majorHAnsi"/>
          <w:sz w:val="20"/>
          <w:szCs w:val="20"/>
        </w:rPr>
        <w:t xml:space="preserve"> In the first half of 2018, for example, mountain communities in the target communes of Mont-</w:t>
      </w:r>
      <w:proofErr w:type="spellStart"/>
      <w:r w:rsidR="007A68D0" w:rsidRPr="005516CD">
        <w:rPr>
          <w:rFonts w:asciiTheme="majorHAnsi" w:hAnsiTheme="majorHAnsi" w:cstheme="majorHAnsi"/>
          <w:sz w:val="20"/>
          <w:szCs w:val="20"/>
        </w:rPr>
        <w:t>Organisé</w:t>
      </w:r>
      <w:proofErr w:type="spellEnd"/>
      <w:r w:rsidR="007A68D0" w:rsidRPr="005516CD">
        <w:rPr>
          <w:rFonts w:asciiTheme="majorHAnsi" w:hAnsiTheme="majorHAnsi" w:cstheme="majorHAnsi"/>
          <w:sz w:val="20"/>
          <w:szCs w:val="20"/>
        </w:rPr>
        <w:t xml:space="preserve">, Carice, </w:t>
      </w:r>
      <w:proofErr w:type="spellStart"/>
      <w:r w:rsidR="007A68D0" w:rsidRPr="005516CD">
        <w:rPr>
          <w:rFonts w:asciiTheme="majorHAnsi" w:hAnsiTheme="majorHAnsi" w:cstheme="majorHAnsi"/>
          <w:sz w:val="20"/>
          <w:szCs w:val="20"/>
        </w:rPr>
        <w:t>Mombin</w:t>
      </w:r>
      <w:proofErr w:type="spellEnd"/>
      <w:r w:rsidR="007A68D0" w:rsidRPr="005516CD">
        <w:rPr>
          <w:rFonts w:asciiTheme="majorHAnsi" w:hAnsiTheme="majorHAnsi" w:cstheme="majorHAnsi"/>
          <w:sz w:val="20"/>
          <w:szCs w:val="20"/>
        </w:rPr>
        <w:t xml:space="preserve"> Crochu, Sainte Suzanne and </w:t>
      </w:r>
      <w:proofErr w:type="spellStart"/>
      <w:r w:rsidR="007A68D0" w:rsidRPr="005516CD">
        <w:rPr>
          <w:rFonts w:asciiTheme="majorHAnsi" w:hAnsiTheme="majorHAnsi" w:cstheme="majorHAnsi"/>
          <w:sz w:val="20"/>
          <w:szCs w:val="20"/>
        </w:rPr>
        <w:t>Vallières</w:t>
      </w:r>
      <w:proofErr w:type="spellEnd"/>
      <w:r w:rsidR="007A68D0" w:rsidRPr="005516CD">
        <w:rPr>
          <w:rFonts w:asciiTheme="majorHAnsi" w:hAnsiTheme="majorHAnsi" w:cstheme="majorHAnsi"/>
          <w:sz w:val="20"/>
          <w:szCs w:val="20"/>
        </w:rPr>
        <w:t xml:space="preserve"> were affected by a severe and prolonged drought which seriously affected their crops. The </w:t>
      </w:r>
      <w:proofErr w:type="spellStart"/>
      <w:r w:rsidR="007A68D0" w:rsidRPr="005516CD">
        <w:rPr>
          <w:rFonts w:asciiTheme="majorHAnsi" w:hAnsiTheme="majorHAnsi" w:cstheme="majorHAnsi"/>
          <w:sz w:val="20"/>
          <w:szCs w:val="20"/>
        </w:rPr>
        <w:t>vunerability</w:t>
      </w:r>
      <w:proofErr w:type="spellEnd"/>
      <w:r w:rsidR="007A68D0" w:rsidRPr="005516CD">
        <w:rPr>
          <w:rFonts w:asciiTheme="majorHAnsi" w:hAnsiTheme="majorHAnsi" w:cstheme="majorHAnsi"/>
          <w:sz w:val="20"/>
          <w:szCs w:val="20"/>
        </w:rPr>
        <w:t xml:space="preserve"> of rural livelihoods has further been affected by the reduction of State support for the agricultural sector, associated with structural adjustment policies.</w:t>
      </w:r>
    </w:p>
    <w:p w14:paraId="003ACFA5" w14:textId="77777777" w:rsidR="007A68D0" w:rsidRPr="005516CD" w:rsidRDefault="007A68D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Another coping strategy in relation to this situation is migration. Focus group participants </w:t>
      </w:r>
      <w:r w:rsidR="00F73FC0" w:rsidRPr="005516CD">
        <w:rPr>
          <w:rFonts w:asciiTheme="majorHAnsi" w:hAnsiTheme="majorHAnsi" w:cstheme="majorHAnsi"/>
          <w:sz w:val="20"/>
          <w:szCs w:val="20"/>
        </w:rPr>
        <w:t xml:space="preserve">reported </w:t>
      </w:r>
      <w:r w:rsidRPr="005516CD">
        <w:rPr>
          <w:rFonts w:asciiTheme="majorHAnsi" w:hAnsiTheme="majorHAnsi" w:cstheme="majorHAnsi"/>
          <w:sz w:val="20"/>
          <w:szCs w:val="20"/>
        </w:rPr>
        <w:t xml:space="preserve">that </w:t>
      </w:r>
      <w:r w:rsidR="005429E7" w:rsidRPr="005516CD">
        <w:rPr>
          <w:rFonts w:asciiTheme="majorHAnsi" w:hAnsiTheme="majorHAnsi" w:cstheme="majorHAnsi"/>
          <w:sz w:val="20"/>
          <w:szCs w:val="20"/>
        </w:rPr>
        <w:t>members of at least 35% of families migrated to u</w:t>
      </w:r>
      <w:r w:rsidRPr="005516CD">
        <w:rPr>
          <w:rFonts w:asciiTheme="majorHAnsi" w:hAnsiTheme="majorHAnsi" w:cstheme="majorHAnsi"/>
          <w:sz w:val="20"/>
          <w:szCs w:val="20"/>
        </w:rPr>
        <w:t xml:space="preserve">rban centres </w:t>
      </w:r>
      <w:r w:rsidR="005429E7" w:rsidRPr="005516CD">
        <w:rPr>
          <w:rFonts w:asciiTheme="majorHAnsi" w:hAnsiTheme="majorHAnsi" w:cstheme="majorHAnsi"/>
          <w:sz w:val="20"/>
          <w:szCs w:val="20"/>
        </w:rPr>
        <w:t>for between three and seven months per year, despite the fact that the urban centres do not have the capacity to absorb and provide opportunities for this large, and growing, influx.</w:t>
      </w:r>
    </w:p>
    <w:bookmarkEnd w:id="18"/>
    <w:p w14:paraId="6B3CAD61" w14:textId="77777777" w:rsidR="00250356" w:rsidRPr="005516CD" w:rsidRDefault="00250356" w:rsidP="00250356">
      <w:pPr>
        <w:pStyle w:val="Heading7"/>
        <w:spacing w:before="0"/>
        <w:ind w:left="0"/>
        <w:rPr>
          <w:rFonts w:asciiTheme="majorHAnsi" w:hAnsiTheme="majorHAnsi" w:cstheme="majorHAnsi"/>
          <w:i/>
        </w:rPr>
      </w:pPr>
      <w:r w:rsidRPr="005516CD">
        <w:rPr>
          <w:rFonts w:asciiTheme="majorHAnsi" w:hAnsiTheme="majorHAnsi" w:cstheme="majorHAnsi"/>
          <w:i/>
        </w:rPr>
        <w:t>Non-agricultural activities</w:t>
      </w:r>
    </w:p>
    <w:p w14:paraId="11D4442D" w14:textId="77777777" w:rsidR="00250356" w:rsidRPr="005516CD" w:rsidRDefault="00A0308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2E74B5" w:themeColor="accent1" w:themeShade="BF"/>
          <w:sz w:val="20"/>
          <w:szCs w:val="20"/>
        </w:rPr>
      </w:pPr>
      <w:r w:rsidRPr="005516CD">
        <w:rPr>
          <w:rFonts w:asciiTheme="majorHAnsi" w:hAnsiTheme="majorHAnsi" w:cstheme="majorHAnsi"/>
          <w:sz w:val="20"/>
          <w:szCs w:val="20"/>
        </w:rPr>
        <w:t xml:space="preserve">Non-agricultural activities provide often substantial and regular income for certain families, allowing them for example to hire daily labour for agricultural activities and to meet the financial needs of the family. </w:t>
      </w:r>
      <w:r w:rsidR="00250356" w:rsidRPr="005516CD">
        <w:rPr>
          <w:rFonts w:asciiTheme="majorHAnsi" w:hAnsiTheme="majorHAnsi" w:cstheme="majorHAnsi"/>
          <w:sz w:val="20"/>
          <w:szCs w:val="20"/>
        </w:rPr>
        <w:t xml:space="preserve">The proportion of agricultural holdings with non-agricultural activity is smaller in the North-East than in the communes of the North. The frequency of charcoal production is striking: it is reported in </w:t>
      </w:r>
      <w:proofErr w:type="gramStart"/>
      <w:r w:rsidR="00250356" w:rsidRPr="005516CD">
        <w:rPr>
          <w:rFonts w:asciiTheme="majorHAnsi" w:hAnsiTheme="majorHAnsi" w:cstheme="majorHAnsi"/>
          <w:sz w:val="20"/>
          <w:szCs w:val="20"/>
        </w:rPr>
        <w:t>all of</w:t>
      </w:r>
      <w:proofErr w:type="gramEnd"/>
      <w:r w:rsidR="00250356" w:rsidRPr="005516CD">
        <w:rPr>
          <w:rFonts w:asciiTheme="majorHAnsi" w:hAnsiTheme="majorHAnsi" w:cstheme="majorHAnsi"/>
          <w:sz w:val="20"/>
          <w:szCs w:val="20"/>
        </w:rPr>
        <w:t xml:space="preserve"> the areas under study. Driving motorcycle taxis is also a very popular activity, and in some </w:t>
      </w:r>
      <w:proofErr w:type="gramStart"/>
      <w:r w:rsidR="00250356" w:rsidRPr="005516CD">
        <w:rPr>
          <w:rFonts w:asciiTheme="majorHAnsi" w:hAnsiTheme="majorHAnsi" w:cstheme="majorHAnsi"/>
          <w:sz w:val="20"/>
          <w:szCs w:val="20"/>
        </w:rPr>
        <w:t>areas</w:t>
      </w:r>
      <w:proofErr w:type="gramEnd"/>
      <w:r w:rsidR="00250356" w:rsidRPr="005516CD">
        <w:rPr>
          <w:rFonts w:asciiTheme="majorHAnsi" w:hAnsiTheme="majorHAnsi" w:cstheme="majorHAnsi"/>
          <w:sz w:val="20"/>
          <w:szCs w:val="20"/>
        </w:rPr>
        <w:t xml:space="preserve"> it accounts for almost all of the non-agricultural activity. Emigration to the Dominican Republic is more common in the North-East Department (which borders the Dominican Republic) than those of the North.</w:t>
      </w:r>
    </w:p>
    <w:p w14:paraId="17481D6F" w14:textId="77777777" w:rsidR="00250356" w:rsidRPr="005516CD" w:rsidRDefault="00250356"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Participation </w:t>
      </w:r>
      <w:r w:rsidR="00A03089" w:rsidRPr="005516CD">
        <w:rPr>
          <w:rFonts w:asciiTheme="majorHAnsi" w:hAnsiTheme="majorHAnsi" w:cstheme="majorHAnsi"/>
          <w:sz w:val="20"/>
          <w:szCs w:val="20"/>
        </w:rPr>
        <w:t xml:space="preserve">in non-agricultural activities reduces the amount of time dedicated at strictly agricultural activities: overall, it was reported than farmers dedicate between 110 and 200 days per year to non-agricultural activities, concentrating their on-farm activities especially on the periods of sowing and harvesting and having in some cases to hire daily-paid labour. Poorer farmers, who work as daily labourers and are unable to hire daily labour themselves, tend as a result to take longer to undertake and complete their agricultural activities, with consequent effects on their production. </w:t>
      </w:r>
    </w:p>
    <w:p w14:paraId="449DEFCF" w14:textId="77777777" w:rsidR="000C032D" w:rsidRPr="005516CD" w:rsidRDefault="000C032D" w:rsidP="000C032D">
      <w:pPr>
        <w:pStyle w:val="Heading6"/>
        <w:keepNext/>
        <w:spacing w:before="120" w:after="0"/>
        <w:rPr>
          <w:rFonts w:asciiTheme="majorHAnsi" w:eastAsia="Calibri" w:hAnsiTheme="majorHAnsi" w:cstheme="majorHAnsi"/>
          <w:b/>
          <w:sz w:val="20"/>
          <w:lang w:val="en-US"/>
        </w:rPr>
      </w:pPr>
      <w:r w:rsidRPr="005516CD">
        <w:rPr>
          <w:rFonts w:asciiTheme="majorHAnsi" w:eastAsia="Calibri" w:hAnsiTheme="majorHAnsi" w:cstheme="majorHAnsi"/>
          <w:b/>
          <w:sz w:val="20"/>
          <w:lang w:val="en-US"/>
        </w:rPr>
        <w:t>Landscape categories</w:t>
      </w:r>
    </w:p>
    <w:p w14:paraId="7A05B2C9" w14:textId="77777777" w:rsidR="009F20F0" w:rsidRPr="005516CD" w:rsidRDefault="009F20F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Three main types of landscape groupings are distinguishable in the project area, based on the following criteria:</w:t>
      </w:r>
    </w:p>
    <w:p w14:paraId="47A8BA03" w14:textId="77777777" w:rsidR="009F20F0" w:rsidRPr="005516CD" w:rsidRDefault="009F20F0" w:rsidP="006B27F4">
      <w:pPr>
        <w:pStyle w:val="ListParagraph"/>
        <w:numPr>
          <w:ilvl w:val="0"/>
          <w:numId w:val="104"/>
        </w:numPr>
        <w:ind w:left="714" w:hanging="357"/>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Agroecological characteristics and level of degradation</w:t>
      </w:r>
    </w:p>
    <w:p w14:paraId="2EF4DBA2" w14:textId="77777777" w:rsidR="009F20F0" w:rsidRPr="005516CD" w:rsidRDefault="009F20F0" w:rsidP="006B27F4">
      <w:pPr>
        <w:pStyle w:val="ListParagraph"/>
        <w:numPr>
          <w:ilvl w:val="0"/>
          <w:numId w:val="104"/>
        </w:numPr>
        <w:ind w:left="714" w:hanging="357"/>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Landscape and natural resource governance models</w:t>
      </w:r>
    </w:p>
    <w:p w14:paraId="029AA7D4" w14:textId="77777777" w:rsidR="009F20F0" w:rsidRPr="005516CD" w:rsidRDefault="009F20F0" w:rsidP="006B27F4">
      <w:pPr>
        <w:pStyle w:val="ListParagraph"/>
        <w:numPr>
          <w:ilvl w:val="0"/>
          <w:numId w:val="104"/>
        </w:numPr>
        <w:ind w:left="714" w:hanging="357"/>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B</w:t>
      </w:r>
      <w:r w:rsidR="00773AA0" w:rsidRPr="005516CD">
        <w:rPr>
          <w:rFonts w:asciiTheme="majorHAnsi" w:hAnsiTheme="majorHAnsi" w:cstheme="majorHAnsi"/>
          <w:color w:val="auto"/>
          <w:sz w:val="20"/>
          <w:szCs w:val="20"/>
        </w:rPr>
        <w:t>iophysi</w:t>
      </w:r>
      <w:r w:rsidRPr="005516CD">
        <w:rPr>
          <w:rFonts w:asciiTheme="majorHAnsi" w:hAnsiTheme="majorHAnsi" w:cstheme="majorHAnsi"/>
          <w:color w:val="auto"/>
          <w:sz w:val="20"/>
          <w:szCs w:val="20"/>
        </w:rPr>
        <w:t>cal, agricultural and socioeconomic determinants</w:t>
      </w:r>
    </w:p>
    <w:p w14:paraId="0225188E" w14:textId="77777777" w:rsidR="009F20F0" w:rsidRPr="005516CD" w:rsidRDefault="009F20F0" w:rsidP="006B27F4">
      <w:pPr>
        <w:pStyle w:val="ListParagraph"/>
        <w:numPr>
          <w:ilvl w:val="0"/>
          <w:numId w:val="104"/>
        </w:numPr>
        <w:ind w:left="714" w:hanging="357"/>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Level of degradation and erosion of biodiversity in the agroforestry systems</w:t>
      </w:r>
    </w:p>
    <w:p w14:paraId="642BBD54" w14:textId="77777777" w:rsidR="00773AA0" w:rsidRPr="005516CD" w:rsidRDefault="009F20F0" w:rsidP="006B27F4">
      <w:pPr>
        <w:pStyle w:val="ListParagraph"/>
        <w:numPr>
          <w:ilvl w:val="0"/>
          <w:numId w:val="104"/>
        </w:numPr>
        <w:spacing w:after="120"/>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Social incentives for the maintenance of agroforestry systems.</w:t>
      </w:r>
    </w:p>
    <w:p w14:paraId="7D0B23C3" w14:textId="1CBED930" w:rsidR="00305856" w:rsidRPr="005516CD" w:rsidRDefault="009F20F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b/>
          <w:sz w:val="20"/>
          <w:szCs w:val="20"/>
        </w:rPr>
      </w:pPr>
      <w:r w:rsidRPr="005516CD">
        <w:rPr>
          <w:rFonts w:asciiTheme="majorHAnsi" w:hAnsiTheme="majorHAnsi" w:cstheme="majorHAnsi"/>
          <w:sz w:val="20"/>
          <w:szCs w:val="20"/>
        </w:rPr>
        <w:t>These main landscape categories are summarized in</w:t>
      </w:r>
      <w:r w:rsidR="00F73FC0" w:rsidRPr="005516CD">
        <w:rPr>
          <w:rFonts w:asciiTheme="majorHAnsi" w:hAnsiTheme="majorHAnsi" w:cstheme="majorHAnsi"/>
          <w:sz w:val="20"/>
          <w:szCs w:val="20"/>
        </w:rPr>
        <w:t xml:space="preserve"> </w:t>
      </w:r>
      <w:r w:rsidR="00F73FC0" w:rsidRPr="005516CD">
        <w:rPr>
          <w:rFonts w:asciiTheme="majorHAnsi" w:hAnsiTheme="majorHAnsi" w:cstheme="majorHAnsi"/>
          <w:sz w:val="20"/>
          <w:szCs w:val="20"/>
        </w:rPr>
        <w:fldChar w:fldCharType="begin"/>
      </w:r>
      <w:r w:rsidR="00F73FC0" w:rsidRPr="005516CD">
        <w:rPr>
          <w:rFonts w:asciiTheme="majorHAnsi" w:hAnsiTheme="majorHAnsi" w:cstheme="majorHAnsi"/>
          <w:sz w:val="20"/>
          <w:szCs w:val="20"/>
        </w:rPr>
        <w:instrText xml:space="preserve"> REF _Ref532493547 \r \h </w:instrText>
      </w:r>
      <w:r w:rsidR="005516CD">
        <w:rPr>
          <w:rFonts w:asciiTheme="majorHAnsi" w:hAnsiTheme="majorHAnsi" w:cstheme="majorHAnsi"/>
          <w:sz w:val="20"/>
          <w:szCs w:val="20"/>
        </w:rPr>
        <w:instrText xml:space="preserve"> \* MERGEFORMAT </w:instrText>
      </w:r>
      <w:r w:rsidR="00F73FC0" w:rsidRPr="005516CD">
        <w:rPr>
          <w:rFonts w:asciiTheme="majorHAnsi" w:hAnsiTheme="majorHAnsi" w:cstheme="majorHAnsi"/>
          <w:sz w:val="20"/>
          <w:szCs w:val="20"/>
        </w:rPr>
      </w:r>
      <w:r w:rsidR="00F73FC0"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Table 6</w:t>
      </w:r>
      <w:r w:rsidR="00F73FC0" w:rsidRPr="005516CD">
        <w:rPr>
          <w:rFonts w:asciiTheme="majorHAnsi" w:hAnsiTheme="majorHAnsi" w:cstheme="majorHAnsi"/>
          <w:sz w:val="20"/>
          <w:szCs w:val="20"/>
        </w:rPr>
        <w:fldChar w:fldCharType="end"/>
      </w:r>
      <w:r w:rsidRPr="005516CD">
        <w:rPr>
          <w:rFonts w:asciiTheme="majorHAnsi" w:hAnsiTheme="majorHAnsi" w:cstheme="majorHAnsi"/>
          <w:sz w:val="20"/>
          <w:szCs w:val="20"/>
        </w:rPr>
        <w:t xml:space="preserve">. </w:t>
      </w:r>
      <w:bookmarkStart w:id="19" w:name="_Ref529881488"/>
    </w:p>
    <w:p w14:paraId="2F67E9C0" w14:textId="77777777" w:rsidR="00A56364" w:rsidRPr="005516CD" w:rsidRDefault="00A56364" w:rsidP="006B27F4">
      <w:pPr>
        <w:keepNext/>
        <w:numPr>
          <w:ilvl w:val="3"/>
          <w:numId w:val="90"/>
        </w:numPr>
        <w:tabs>
          <w:tab w:val="num" w:pos="-284"/>
          <w:tab w:val="left" w:pos="426"/>
        </w:tabs>
        <w:spacing w:after="60"/>
        <w:ind w:left="851" w:right="96" w:hanging="851"/>
        <w:contextualSpacing/>
        <w:jc w:val="both"/>
        <w:rPr>
          <w:rFonts w:asciiTheme="majorHAnsi" w:hAnsiTheme="majorHAnsi" w:cstheme="majorHAnsi"/>
          <w:b/>
          <w:sz w:val="20"/>
          <w:szCs w:val="20"/>
        </w:rPr>
      </w:pPr>
      <w:bookmarkStart w:id="20" w:name="_Ref532493547"/>
      <w:r w:rsidRPr="005516CD">
        <w:rPr>
          <w:rFonts w:asciiTheme="majorHAnsi" w:hAnsiTheme="majorHAnsi" w:cstheme="majorHAnsi"/>
          <w:b/>
          <w:sz w:val="20"/>
          <w:szCs w:val="20"/>
        </w:rPr>
        <w:t>Principal categories of landscape by agroecological characteristics and level of degradation</w:t>
      </w:r>
      <w:bookmarkEnd w:id="19"/>
      <w:r w:rsidR="004C001B" w:rsidRPr="005516CD">
        <w:rPr>
          <w:rFonts w:asciiTheme="majorHAnsi" w:hAnsiTheme="majorHAnsi" w:cstheme="majorHAnsi"/>
          <w:b/>
          <w:sz w:val="20"/>
          <w:szCs w:val="20"/>
        </w:rPr>
        <w:t xml:space="preserve"> (Departments: N = Nord, NE = Nord-Est, AB = Artibonite)</w:t>
      </w:r>
      <w:bookmarkEnd w:id="20"/>
    </w:p>
    <w:tbl>
      <w:tblPr>
        <w:tblStyle w:val="TableGrid"/>
        <w:tblW w:w="8926" w:type="dxa"/>
        <w:tblLayout w:type="fixed"/>
        <w:tblLook w:val="04A0" w:firstRow="1" w:lastRow="0" w:firstColumn="1" w:lastColumn="0" w:noHBand="0" w:noVBand="1"/>
      </w:tblPr>
      <w:tblGrid>
        <w:gridCol w:w="4106"/>
        <w:gridCol w:w="1843"/>
        <w:gridCol w:w="850"/>
        <w:gridCol w:w="993"/>
        <w:gridCol w:w="1134"/>
      </w:tblGrid>
      <w:tr w:rsidR="00305856" w:rsidRPr="005516CD" w14:paraId="4C6D0649" w14:textId="77777777" w:rsidTr="00F73FC0">
        <w:trPr>
          <w:tblHeader/>
        </w:trPr>
        <w:tc>
          <w:tcPr>
            <w:tcW w:w="4106" w:type="dxa"/>
            <w:vMerge w:val="restart"/>
            <w:shd w:val="clear" w:color="auto" w:fill="D9D9D9" w:themeFill="background1" w:themeFillShade="D9"/>
          </w:tcPr>
          <w:p w14:paraId="407F329B" w14:textId="77777777" w:rsidR="00081948" w:rsidRPr="005516CD" w:rsidRDefault="00081948" w:rsidP="00305856">
            <w:pPr>
              <w:jc w:val="center"/>
              <w:rPr>
                <w:rFonts w:asciiTheme="majorHAnsi" w:hAnsiTheme="majorHAnsi" w:cstheme="majorHAnsi"/>
                <w:b/>
                <w:sz w:val="20"/>
                <w:szCs w:val="20"/>
              </w:rPr>
            </w:pPr>
            <w:r w:rsidRPr="005516CD">
              <w:rPr>
                <w:rFonts w:asciiTheme="majorHAnsi" w:hAnsiTheme="majorHAnsi" w:cstheme="majorHAnsi"/>
                <w:b/>
                <w:sz w:val="20"/>
                <w:szCs w:val="20"/>
              </w:rPr>
              <w:t>Category</w:t>
            </w:r>
          </w:p>
        </w:tc>
        <w:tc>
          <w:tcPr>
            <w:tcW w:w="2693" w:type="dxa"/>
            <w:gridSpan w:val="2"/>
            <w:shd w:val="clear" w:color="auto" w:fill="D9D9D9" w:themeFill="background1" w:themeFillShade="D9"/>
          </w:tcPr>
          <w:p w14:paraId="6AC54590" w14:textId="77777777" w:rsidR="00081948" w:rsidRPr="005516CD" w:rsidRDefault="00081948" w:rsidP="00305856">
            <w:pPr>
              <w:ind w:left="-103" w:right="-105"/>
              <w:jc w:val="center"/>
              <w:rPr>
                <w:rFonts w:asciiTheme="majorHAnsi" w:hAnsiTheme="majorHAnsi" w:cstheme="majorHAnsi"/>
                <w:b/>
                <w:sz w:val="20"/>
                <w:szCs w:val="20"/>
              </w:rPr>
            </w:pPr>
            <w:r w:rsidRPr="005516CD">
              <w:rPr>
                <w:rFonts w:asciiTheme="majorHAnsi" w:hAnsiTheme="majorHAnsi" w:cstheme="majorHAnsi"/>
                <w:b/>
                <w:sz w:val="20"/>
                <w:szCs w:val="20"/>
              </w:rPr>
              <w:t>Area of communes</w:t>
            </w:r>
          </w:p>
        </w:tc>
        <w:tc>
          <w:tcPr>
            <w:tcW w:w="993" w:type="dxa"/>
            <w:vMerge w:val="restart"/>
            <w:shd w:val="clear" w:color="auto" w:fill="D9D9D9" w:themeFill="background1" w:themeFillShade="D9"/>
          </w:tcPr>
          <w:p w14:paraId="2D0A9CAD" w14:textId="77777777" w:rsidR="00081948" w:rsidRPr="005516CD" w:rsidRDefault="00081948" w:rsidP="00305856">
            <w:pPr>
              <w:ind w:left="-103" w:right="-105"/>
              <w:jc w:val="center"/>
              <w:rPr>
                <w:rFonts w:asciiTheme="majorHAnsi" w:hAnsiTheme="majorHAnsi" w:cstheme="majorHAnsi"/>
                <w:b/>
                <w:sz w:val="20"/>
                <w:szCs w:val="20"/>
              </w:rPr>
            </w:pPr>
            <w:r w:rsidRPr="005516CD">
              <w:rPr>
                <w:rFonts w:asciiTheme="majorHAnsi" w:hAnsiTheme="majorHAnsi" w:cstheme="majorHAnsi"/>
                <w:b/>
                <w:sz w:val="20"/>
                <w:szCs w:val="20"/>
              </w:rPr>
              <w:t>Total area of interest (ha)</w:t>
            </w:r>
          </w:p>
        </w:tc>
        <w:tc>
          <w:tcPr>
            <w:tcW w:w="1134" w:type="dxa"/>
            <w:vMerge w:val="restart"/>
            <w:shd w:val="clear" w:color="auto" w:fill="D9D9D9" w:themeFill="background1" w:themeFillShade="D9"/>
          </w:tcPr>
          <w:p w14:paraId="0B2959F7" w14:textId="77777777" w:rsidR="00081948" w:rsidRPr="005516CD" w:rsidRDefault="00081948" w:rsidP="00305856">
            <w:pPr>
              <w:ind w:left="-103" w:right="-105"/>
              <w:jc w:val="center"/>
              <w:rPr>
                <w:rFonts w:asciiTheme="majorHAnsi" w:hAnsiTheme="majorHAnsi" w:cstheme="majorHAnsi"/>
                <w:b/>
                <w:sz w:val="20"/>
                <w:szCs w:val="20"/>
              </w:rPr>
            </w:pPr>
            <w:r w:rsidRPr="005516CD">
              <w:rPr>
                <w:rFonts w:asciiTheme="majorHAnsi" w:hAnsiTheme="majorHAnsi" w:cstheme="majorHAnsi"/>
                <w:b/>
                <w:sz w:val="20"/>
                <w:szCs w:val="20"/>
              </w:rPr>
              <w:t>Approximate area of agroforestry systems (ha)</w:t>
            </w:r>
          </w:p>
        </w:tc>
      </w:tr>
      <w:tr w:rsidR="00305856" w:rsidRPr="005516CD" w14:paraId="42CC671C" w14:textId="77777777" w:rsidTr="00F73FC0">
        <w:trPr>
          <w:tblHeader/>
        </w:trPr>
        <w:tc>
          <w:tcPr>
            <w:tcW w:w="4106" w:type="dxa"/>
            <w:vMerge/>
          </w:tcPr>
          <w:p w14:paraId="0D970925" w14:textId="77777777" w:rsidR="00081948" w:rsidRPr="005516CD" w:rsidRDefault="00081948" w:rsidP="009F20F0">
            <w:pPr>
              <w:rPr>
                <w:rFonts w:asciiTheme="majorHAnsi" w:hAnsiTheme="majorHAnsi" w:cstheme="majorHAnsi"/>
                <w:b/>
                <w:sz w:val="20"/>
                <w:szCs w:val="20"/>
              </w:rPr>
            </w:pPr>
          </w:p>
        </w:tc>
        <w:tc>
          <w:tcPr>
            <w:tcW w:w="1843" w:type="dxa"/>
            <w:shd w:val="clear" w:color="auto" w:fill="D9D9D9" w:themeFill="background1" w:themeFillShade="D9"/>
          </w:tcPr>
          <w:p w14:paraId="7646961F" w14:textId="77777777" w:rsidR="00081948" w:rsidRPr="005516CD" w:rsidRDefault="002D5D42" w:rsidP="00305856">
            <w:pPr>
              <w:ind w:left="-103" w:right="-105"/>
              <w:jc w:val="center"/>
              <w:rPr>
                <w:rFonts w:asciiTheme="majorHAnsi" w:hAnsiTheme="majorHAnsi" w:cstheme="majorHAnsi"/>
                <w:b/>
                <w:sz w:val="20"/>
                <w:szCs w:val="20"/>
              </w:rPr>
            </w:pPr>
            <w:r w:rsidRPr="005516CD">
              <w:rPr>
                <w:rFonts w:asciiTheme="majorHAnsi" w:hAnsiTheme="majorHAnsi" w:cstheme="majorHAnsi"/>
                <w:b/>
                <w:sz w:val="20"/>
                <w:szCs w:val="20"/>
              </w:rPr>
              <w:t>Commune</w:t>
            </w:r>
          </w:p>
        </w:tc>
        <w:tc>
          <w:tcPr>
            <w:tcW w:w="850" w:type="dxa"/>
            <w:shd w:val="clear" w:color="auto" w:fill="D9D9D9" w:themeFill="background1" w:themeFillShade="D9"/>
          </w:tcPr>
          <w:p w14:paraId="0CFA209F" w14:textId="77777777" w:rsidR="00081948" w:rsidRPr="005516CD" w:rsidRDefault="002D5D42" w:rsidP="00305856">
            <w:pPr>
              <w:ind w:left="-103" w:right="-105"/>
              <w:jc w:val="center"/>
              <w:rPr>
                <w:rFonts w:asciiTheme="majorHAnsi" w:hAnsiTheme="majorHAnsi" w:cstheme="majorHAnsi"/>
                <w:b/>
                <w:sz w:val="20"/>
                <w:szCs w:val="20"/>
              </w:rPr>
            </w:pPr>
            <w:r w:rsidRPr="005516CD">
              <w:rPr>
                <w:rFonts w:asciiTheme="majorHAnsi" w:hAnsiTheme="majorHAnsi" w:cstheme="majorHAnsi"/>
                <w:b/>
                <w:sz w:val="20"/>
                <w:szCs w:val="20"/>
              </w:rPr>
              <w:t>Area (ha)</w:t>
            </w:r>
          </w:p>
        </w:tc>
        <w:tc>
          <w:tcPr>
            <w:tcW w:w="993" w:type="dxa"/>
            <w:vMerge/>
          </w:tcPr>
          <w:p w14:paraId="72C222E4" w14:textId="77777777" w:rsidR="00081948" w:rsidRPr="005516CD" w:rsidRDefault="00081948" w:rsidP="00D14F6F">
            <w:pPr>
              <w:ind w:left="92"/>
              <w:rPr>
                <w:rFonts w:asciiTheme="majorHAnsi" w:hAnsiTheme="majorHAnsi" w:cstheme="majorHAnsi"/>
                <w:b/>
                <w:sz w:val="20"/>
                <w:szCs w:val="20"/>
                <w:u w:val="single"/>
              </w:rPr>
            </w:pPr>
          </w:p>
        </w:tc>
        <w:tc>
          <w:tcPr>
            <w:tcW w:w="1134" w:type="dxa"/>
            <w:vMerge/>
          </w:tcPr>
          <w:p w14:paraId="1CC16856" w14:textId="77777777" w:rsidR="00081948" w:rsidRPr="005516CD" w:rsidRDefault="00081948" w:rsidP="006B27F4">
            <w:pPr>
              <w:pStyle w:val="ListParagraph"/>
              <w:numPr>
                <w:ilvl w:val="0"/>
                <w:numId w:val="98"/>
              </w:numPr>
              <w:ind w:left="714" w:hanging="357"/>
              <w:contextualSpacing/>
              <w:rPr>
                <w:rFonts w:asciiTheme="majorHAnsi" w:hAnsiTheme="majorHAnsi" w:cstheme="majorHAnsi"/>
                <w:b/>
                <w:color w:val="auto"/>
                <w:sz w:val="20"/>
                <w:szCs w:val="20"/>
                <w:u w:val="single"/>
              </w:rPr>
            </w:pPr>
          </w:p>
        </w:tc>
      </w:tr>
      <w:tr w:rsidR="00305856" w:rsidRPr="005516CD" w14:paraId="45A7B9BA" w14:textId="77777777" w:rsidTr="0050045F">
        <w:tc>
          <w:tcPr>
            <w:tcW w:w="4106" w:type="dxa"/>
            <w:vMerge w:val="restart"/>
          </w:tcPr>
          <w:p w14:paraId="369C7C08" w14:textId="77777777" w:rsidR="00D14F6F" w:rsidRPr="005516CD" w:rsidRDefault="00D14F6F" w:rsidP="009F20F0">
            <w:pPr>
              <w:rPr>
                <w:rFonts w:asciiTheme="majorHAnsi" w:hAnsiTheme="majorHAnsi" w:cstheme="majorHAnsi"/>
                <w:b/>
                <w:sz w:val="20"/>
                <w:szCs w:val="20"/>
              </w:rPr>
            </w:pPr>
            <w:r w:rsidRPr="005516CD">
              <w:rPr>
                <w:rFonts w:asciiTheme="majorHAnsi" w:hAnsiTheme="majorHAnsi" w:cstheme="majorHAnsi"/>
                <w:b/>
                <w:sz w:val="20"/>
                <w:szCs w:val="20"/>
              </w:rPr>
              <w:t xml:space="preserve">“Conservation zone”: </w:t>
            </w:r>
          </w:p>
          <w:p w14:paraId="2C4F1719" w14:textId="77777777" w:rsidR="00D14F6F" w:rsidRPr="005516CD" w:rsidRDefault="00D14F6F" w:rsidP="006B27F4">
            <w:pPr>
              <w:pStyle w:val="ListParagraph"/>
              <w:numPr>
                <w:ilvl w:val="0"/>
                <w:numId w:val="103"/>
              </w:numPr>
              <w:ind w:left="169" w:hanging="169"/>
              <w:rPr>
                <w:rFonts w:asciiTheme="majorHAnsi" w:hAnsiTheme="majorHAnsi" w:cstheme="majorHAnsi"/>
                <w:color w:val="auto"/>
                <w:sz w:val="20"/>
                <w:szCs w:val="20"/>
              </w:rPr>
            </w:pPr>
            <w:r w:rsidRPr="005516CD">
              <w:rPr>
                <w:rFonts w:asciiTheme="majorHAnsi" w:hAnsiTheme="majorHAnsi" w:cstheme="majorHAnsi"/>
                <w:color w:val="auto"/>
                <w:sz w:val="20"/>
                <w:szCs w:val="20"/>
              </w:rPr>
              <w:t>Processes of degradation and erosion of biodiversity are visible but recoverable in the medium term</w:t>
            </w:r>
          </w:p>
          <w:p w14:paraId="7135EBE7" w14:textId="77777777" w:rsidR="00D14F6F" w:rsidRPr="005516CD" w:rsidRDefault="00D14F6F" w:rsidP="006B27F4">
            <w:pPr>
              <w:pStyle w:val="ListParagraph"/>
              <w:numPr>
                <w:ilvl w:val="0"/>
                <w:numId w:val="103"/>
              </w:numPr>
              <w:ind w:left="169" w:hanging="169"/>
              <w:rPr>
                <w:rFonts w:asciiTheme="majorHAnsi" w:hAnsiTheme="majorHAnsi" w:cstheme="majorHAnsi"/>
                <w:color w:val="auto"/>
                <w:sz w:val="20"/>
                <w:szCs w:val="20"/>
              </w:rPr>
            </w:pPr>
            <w:r w:rsidRPr="005516CD">
              <w:rPr>
                <w:rFonts w:asciiTheme="majorHAnsi" w:hAnsiTheme="majorHAnsi" w:cstheme="majorHAnsi"/>
                <w:color w:val="auto"/>
                <w:sz w:val="20"/>
                <w:szCs w:val="20"/>
              </w:rPr>
              <w:t>Opportunities to work with local authorities</w:t>
            </w:r>
          </w:p>
          <w:p w14:paraId="3CA7E43F" w14:textId="77777777" w:rsidR="00D14F6F" w:rsidRPr="005516CD" w:rsidRDefault="00D14F6F" w:rsidP="006B27F4">
            <w:pPr>
              <w:pStyle w:val="ListParagraph"/>
              <w:numPr>
                <w:ilvl w:val="0"/>
                <w:numId w:val="103"/>
              </w:numPr>
              <w:ind w:left="169" w:hanging="169"/>
              <w:rPr>
                <w:rFonts w:asciiTheme="majorHAnsi" w:hAnsiTheme="majorHAnsi" w:cstheme="majorHAnsi"/>
                <w:color w:val="auto"/>
                <w:sz w:val="20"/>
                <w:szCs w:val="20"/>
              </w:rPr>
            </w:pPr>
            <w:r w:rsidRPr="005516CD">
              <w:rPr>
                <w:rFonts w:asciiTheme="majorHAnsi" w:hAnsiTheme="majorHAnsi" w:cstheme="majorHAnsi"/>
                <w:color w:val="auto"/>
                <w:sz w:val="20"/>
                <w:szCs w:val="20"/>
              </w:rPr>
              <w:t>Organizational bases are active but financially and technically weak</w:t>
            </w:r>
          </w:p>
          <w:p w14:paraId="0FEC0AF3" w14:textId="77777777" w:rsidR="00D14F6F" w:rsidRPr="005516CD" w:rsidRDefault="00D14F6F" w:rsidP="006B27F4">
            <w:pPr>
              <w:pStyle w:val="ListParagraph"/>
              <w:numPr>
                <w:ilvl w:val="0"/>
                <w:numId w:val="103"/>
              </w:numPr>
              <w:ind w:left="169" w:hanging="169"/>
              <w:rPr>
                <w:rFonts w:asciiTheme="majorHAnsi" w:hAnsiTheme="majorHAnsi" w:cstheme="majorHAnsi"/>
                <w:color w:val="auto"/>
                <w:sz w:val="20"/>
                <w:szCs w:val="20"/>
              </w:rPr>
            </w:pPr>
            <w:r w:rsidRPr="005516CD">
              <w:rPr>
                <w:rFonts w:asciiTheme="majorHAnsi" w:hAnsiTheme="majorHAnsi" w:cstheme="majorHAnsi"/>
                <w:color w:val="auto"/>
                <w:sz w:val="20"/>
                <w:szCs w:val="20"/>
              </w:rPr>
              <w:t>Alarming levels of migration of young people, or switches to other economic activities outside of agriculture (e.g. motorcycle taxis)</w:t>
            </w:r>
          </w:p>
        </w:tc>
        <w:tc>
          <w:tcPr>
            <w:tcW w:w="1843" w:type="dxa"/>
          </w:tcPr>
          <w:p w14:paraId="6D6CB962" w14:textId="77777777" w:rsidR="00D14F6F" w:rsidRPr="005516CD" w:rsidRDefault="00D14F6F" w:rsidP="00722527">
            <w:pPr>
              <w:rPr>
                <w:rFonts w:asciiTheme="majorHAnsi" w:hAnsiTheme="majorHAnsi" w:cstheme="majorHAnsi"/>
                <w:b/>
                <w:sz w:val="20"/>
                <w:szCs w:val="20"/>
                <w:u w:val="single"/>
              </w:rPr>
            </w:pPr>
            <w:r w:rsidRPr="005516CD">
              <w:rPr>
                <w:rFonts w:asciiTheme="majorHAnsi" w:hAnsiTheme="majorHAnsi" w:cstheme="majorHAnsi"/>
                <w:sz w:val="20"/>
                <w:szCs w:val="20"/>
              </w:rPr>
              <w:t xml:space="preserve">Carice </w:t>
            </w:r>
            <w:r w:rsidR="004C001B" w:rsidRPr="005516CD">
              <w:rPr>
                <w:rFonts w:asciiTheme="majorHAnsi" w:hAnsiTheme="majorHAnsi" w:cstheme="majorHAnsi"/>
                <w:sz w:val="20"/>
                <w:szCs w:val="20"/>
              </w:rPr>
              <w:t>(NE)</w:t>
            </w:r>
          </w:p>
        </w:tc>
        <w:tc>
          <w:tcPr>
            <w:tcW w:w="850" w:type="dxa"/>
          </w:tcPr>
          <w:p w14:paraId="7F10CBC6" w14:textId="77777777" w:rsidR="00D14F6F" w:rsidRPr="005516CD" w:rsidRDefault="00D14F6F" w:rsidP="002D5D42">
            <w:pPr>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FFFFF"/>
              </w:rPr>
              <w:t>11,500</w:t>
            </w:r>
          </w:p>
        </w:tc>
        <w:tc>
          <w:tcPr>
            <w:tcW w:w="993" w:type="dxa"/>
            <w:vMerge w:val="restart"/>
          </w:tcPr>
          <w:p w14:paraId="42666FC7" w14:textId="77777777" w:rsidR="00D14F6F" w:rsidRPr="005516CD" w:rsidRDefault="00D14F6F" w:rsidP="008C4944">
            <w:pPr>
              <w:jc w:val="right"/>
              <w:rPr>
                <w:rFonts w:asciiTheme="majorHAnsi" w:hAnsiTheme="majorHAnsi" w:cstheme="majorHAnsi"/>
                <w:sz w:val="20"/>
                <w:szCs w:val="20"/>
              </w:rPr>
            </w:pPr>
            <w:r w:rsidRPr="005516CD">
              <w:rPr>
                <w:rFonts w:asciiTheme="majorHAnsi" w:hAnsiTheme="majorHAnsi" w:cstheme="majorHAnsi"/>
                <w:sz w:val="20"/>
                <w:szCs w:val="20"/>
              </w:rPr>
              <w:t>83,400</w:t>
            </w:r>
          </w:p>
        </w:tc>
        <w:tc>
          <w:tcPr>
            <w:tcW w:w="1134" w:type="dxa"/>
            <w:vMerge w:val="restart"/>
          </w:tcPr>
          <w:p w14:paraId="6EDB0114" w14:textId="77777777" w:rsidR="00CE0853" w:rsidRPr="005516CD" w:rsidRDefault="00D14F6F" w:rsidP="00CE0853">
            <w:pPr>
              <w:pBdr>
                <w:top w:val="nil"/>
                <w:left w:val="nil"/>
                <w:bottom w:val="nil"/>
                <w:right w:val="nil"/>
                <w:between w:val="nil"/>
                <w:bar w:val="nil"/>
              </w:pBdr>
              <w:jc w:val="right"/>
              <w:rPr>
                <w:rFonts w:asciiTheme="majorHAnsi" w:hAnsiTheme="majorHAnsi" w:cstheme="majorHAnsi"/>
                <w:sz w:val="20"/>
                <w:szCs w:val="20"/>
              </w:rPr>
            </w:pPr>
            <w:r w:rsidRPr="005516CD">
              <w:rPr>
                <w:rFonts w:asciiTheme="majorHAnsi" w:hAnsiTheme="majorHAnsi" w:cstheme="majorHAnsi"/>
                <w:sz w:val="20"/>
                <w:szCs w:val="20"/>
              </w:rPr>
              <w:t>50</w:t>
            </w:r>
            <w:r w:rsidR="00CE0853" w:rsidRPr="005516CD">
              <w:rPr>
                <w:rFonts w:asciiTheme="majorHAnsi" w:hAnsiTheme="majorHAnsi" w:cstheme="majorHAnsi"/>
                <w:sz w:val="20"/>
                <w:szCs w:val="20"/>
              </w:rPr>
              <w:t>,</w:t>
            </w:r>
            <w:r w:rsidRPr="005516CD">
              <w:rPr>
                <w:rFonts w:asciiTheme="majorHAnsi" w:hAnsiTheme="majorHAnsi" w:cstheme="majorHAnsi"/>
                <w:sz w:val="20"/>
                <w:szCs w:val="20"/>
              </w:rPr>
              <w:t xml:space="preserve">040 </w:t>
            </w:r>
          </w:p>
          <w:p w14:paraId="62C549A9" w14:textId="77777777" w:rsidR="00D14F6F" w:rsidRPr="005516CD" w:rsidRDefault="00CE0853" w:rsidP="00CE0853">
            <w:pPr>
              <w:pBdr>
                <w:top w:val="nil"/>
                <w:left w:val="nil"/>
                <w:bottom w:val="nil"/>
                <w:right w:val="nil"/>
                <w:between w:val="nil"/>
                <w:bar w:val="nil"/>
              </w:pBdr>
              <w:jc w:val="right"/>
              <w:rPr>
                <w:rFonts w:asciiTheme="majorHAnsi" w:hAnsiTheme="majorHAnsi" w:cstheme="majorHAnsi"/>
                <w:sz w:val="20"/>
                <w:szCs w:val="20"/>
              </w:rPr>
            </w:pPr>
            <w:r w:rsidRPr="005516CD">
              <w:rPr>
                <w:rFonts w:asciiTheme="majorHAnsi" w:hAnsiTheme="majorHAnsi" w:cstheme="majorHAnsi"/>
                <w:sz w:val="20"/>
                <w:szCs w:val="20"/>
              </w:rPr>
              <w:t>(60%)</w:t>
            </w:r>
          </w:p>
        </w:tc>
      </w:tr>
      <w:tr w:rsidR="00305856" w:rsidRPr="005516CD" w14:paraId="374B3F8D" w14:textId="77777777" w:rsidTr="0050045F">
        <w:tc>
          <w:tcPr>
            <w:tcW w:w="4106" w:type="dxa"/>
            <w:vMerge/>
          </w:tcPr>
          <w:p w14:paraId="4E8CEC89" w14:textId="77777777" w:rsidR="00D14F6F" w:rsidRPr="005516CD" w:rsidRDefault="00D14F6F" w:rsidP="009F20F0">
            <w:pPr>
              <w:rPr>
                <w:rFonts w:asciiTheme="majorHAnsi" w:hAnsiTheme="majorHAnsi" w:cstheme="majorHAnsi"/>
                <w:b/>
                <w:sz w:val="20"/>
                <w:szCs w:val="20"/>
              </w:rPr>
            </w:pPr>
          </w:p>
        </w:tc>
        <w:tc>
          <w:tcPr>
            <w:tcW w:w="1843" w:type="dxa"/>
          </w:tcPr>
          <w:p w14:paraId="0F5B270E" w14:textId="77777777" w:rsidR="00D14F6F" w:rsidRPr="005516CD" w:rsidRDefault="00D14F6F" w:rsidP="00722527">
            <w:pPr>
              <w:rPr>
                <w:rFonts w:asciiTheme="majorHAnsi" w:hAnsiTheme="majorHAnsi" w:cstheme="majorHAnsi"/>
                <w:sz w:val="20"/>
                <w:szCs w:val="20"/>
              </w:rPr>
            </w:pPr>
            <w:r w:rsidRPr="005516CD">
              <w:rPr>
                <w:rFonts w:asciiTheme="majorHAnsi" w:hAnsiTheme="majorHAnsi" w:cstheme="majorHAnsi"/>
                <w:sz w:val="20"/>
                <w:szCs w:val="20"/>
              </w:rPr>
              <w:t>Mont-</w:t>
            </w:r>
            <w:proofErr w:type="spellStart"/>
            <w:r w:rsidRPr="005516CD">
              <w:rPr>
                <w:rFonts w:asciiTheme="majorHAnsi" w:hAnsiTheme="majorHAnsi" w:cstheme="majorHAnsi"/>
                <w:sz w:val="20"/>
                <w:szCs w:val="20"/>
              </w:rPr>
              <w:t>Organisé</w:t>
            </w:r>
            <w:proofErr w:type="spellEnd"/>
            <w:r w:rsidR="004C001B" w:rsidRPr="005516CD">
              <w:rPr>
                <w:rFonts w:asciiTheme="majorHAnsi" w:hAnsiTheme="majorHAnsi" w:cstheme="majorHAnsi"/>
                <w:sz w:val="20"/>
                <w:szCs w:val="20"/>
              </w:rPr>
              <w:t xml:space="preserve"> (NE)</w:t>
            </w:r>
          </w:p>
        </w:tc>
        <w:tc>
          <w:tcPr>
            <w:tcW w:w="850" w:type="dxa"/>
          </w:tcPr>
          <w:p w14:paraId="36F5EB0D" w14:textId="77777777" w:rsidR="00D14F6F" w:rsidRPr="005516CD" w:rsidRDefault="00D14F6F" w:rsidP="002D5D42">
            <w:pPr>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FFFFF"/>
              </w:rPr>
              <w:t>9,449</w:t>
            </w:r>
          </w:p>
        </w:tc>
        <w:tc>
          <w:tcPr>
            <w:tcW w:w="993" w:type="dxa"/>
            <w:vMerge/>
          </w:tcPr>
          <w:p w14:paraId="13471696" w14:textId="77777777" w:rsidR="00D14F6F" w:rsidRPr="005516CD" w:rsidRDefault="00D14F6F" w:rsidP="008C4944">
            <w:pPr>
              <w:jc w:val="right"/>
              <w:rPr>
                <w:rFonts w:asciiTheme="majorHAnsi" w:hAnsiTheme="majorHAnsi" w:cstheme="majorHAnsi"/>
                <w:sz w:val="20"/>
                <w:szCs w:val="20"/>
              </w:rPr>
            </w:pPr>
          </w:p>
        </w:tc>
        <w:tc>
          <w:tcPr>
            <w:tcW w:w="1134" w:type="dxa"/>
            <w:vMerge/>
          </w:tcPr>
          <w:p w14:paraId="293A2933" w14:textId="77777777" w:rsidR="00D14F6F" w:rsidRPr="005516CD" w:rsidRDefault="00D14F6F" w:rsidP="00CE0853">
            <w:pPr>
              <w:pBdr>
                <w:top w:val="nil"/>
                <w:left w:val="nil"/>
                <w:bottom w:val="nil"/>
                <w:right w:val="nil"/>
                <w:between w:val="nil"/>
                <w:bar w:val="nil"/>
              </w:pBdr>
              <w:jc w:val="right"/>
              <w:rPr>
                <w:rFonts w:asciiTheme="majorHAnsi" w:hAnsiTheme="majorHAnsi" w:cstheme="majorHAnsi"/>
                <w:sz w:val="20"/>
                <w:szCs w:val="20"/>
              </w:rPr>
            </w:pPr>
          </w:p>
        </w:tc>
      </w:tr>
      <w:tr w:rsidR="00305856" w:rsidRPr="005516CD" w14:paraId="6693063F" w14:textId="77777777" w:rsidTr="0050045F">
        <w:tc>
          <w:tcPr>
            <w:tcW w:w="4106" w:type="dxa"/>
            <w:vMerge/>
          </w:tcPr>
          <w:p w14:paraId="5CD1DCA3" w14:textId="77777777" w:rsidR="00D14F6F" w:rsidRPr="005516CD" w:rsidRDefault="00D14F6F" w:rsidP="009F20F0">
            <w:pPr>
              <w:rPr>
                <w:rFonts w:asciiTheme="majorHAnsi" w:hAnsiTheme="majorHAnsi" w:cstheme="majorHAnsi"/>
                <w:b/>
                <w:sz w:val="20"/>
                <w:szCs w:val="20"/>
              </w:rPr>
            </w:pPr>
          </w:p>
        </w:tc>
        <w:tc>
          <w:tcPr>
            <w:tcW w:w="1843" w:type="dxa"/>
          </w:tcPr>
          <w:p w14:paraId="7A0A3FF0" w14:textId="77777777" w:rsidR="00D14F6F" w:rsidRPr="005516CD" w:rsidRDefault="00D14F6F" w:rsidP="00722527">
            <w:pPr>
              <w:rPr>
                <w:rFonts w:asciiTheme="majorHAnsi" w:hAnsiTheme="majorHAnsi" w:cstheme="majorHAnsi"/>
                <w:sz w:val="20"/>
                <w:szCs w:val="20"/>
              </w:rPr>
            </w:pPr>
            <w:proofErr w:type="spellStart"/>
            <w:r w:rsidRPr="005516CD">
              <w:rPr>
                <w:rFonts w:asciiTheme="majorHAnsi" w:hAnsiTheme="majorHAnsi" w:cstheme="majorHAnsi"/>
                <w:sz w:val="20"/>
                <w:szCs w:val="20"/>
              </w:rPr>
              <w:t>Vallières</w:t>
            </w:r>
            <w:proofErr w:type="spellEnd"/>
            <w:r w:rsidRPr="005516CD">
              <w:rPr>
                <w:rFonts w:asciiTheme="majorHAnsi" w:hAnsiTheme="majorHAnsi" w:cstheme="majorHAnsi"/>
                <w:sz w:val="20"/>
                <w:szCs w:val="20"/>
              </w:rPr>
              <w:t xml:space="preserve"> </w:t>
            </w:r>
            <w:r w:rsidR="004C001B" w:rsidRPr="005516CD">
              <w:rPr>
                <w:rFonts w:asciiTheme="majorHAnsi" w:hAnsiTheme="majorHAnsi" w:cstheme="majorHAnsi"/>
                <w:sz w:val="20"/>
                <w:szCs w:val="20"/>
              </w:rPr>
              <w:t>(NE)</w:t>
            </w:r>
          </w:p>
        </w:tc>
        <w:tc>
          <w:tcPr>
            <w:tcW w:w="850" w:type="dxa"/>
          </w:tcPr>
          <w:p w14:paraId="7643DB83" w14:textId="77777777" w:rsidR="00D14F6F" w:rsidRPr="005516CD" w:rsidRDefault="00D14F6F" w:rsidP="002D5D42">
            <w:pPr>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9F9F9"/>
              </w:rPr>
              <w:t>15,846</w:t>
            </w:r>
          </w:p>
        </w:tc>
        <w:tc>
          <w:tcPr>
            <w:tcW w:w="993" w:type="dxa"/>
            <w:vMerge/>
          </w:tcPr>
          <w:p w14:paraId="24491E36" w14:textId="77777777" w:rsidR="00D14F6F" w:rsidRPr="005516CD" w:rsidRDefault="00D14F6F" w:rsidP="008C4944">
            <w:pPr>
              <w:jc w:val="right"/>
              <w:rPr>
                <w:rFonts w:asciiTheme="majorHAnsi" w:hAnsiTheme="majorHAnsi" w:cstheme="majorHAnsi"/>
                <w:sz w:val="20"/>
                <w:szCs w:val="20"/>
              </w:rPr>
            </w:pPr>
          </w:p>
        </w:tc>
        <w:tc>
          <w:tcPr>
            <w:tcW w:w="1134" w:type="dxa"/>
            <w:vMerge/>
          </w:tcPr>
          <w:p w14:paraId="2418CD91" w14:textId="77777777" w:rsidR="00D14F6F" w:rsidRPr="005516CD" w:rsidRDefault="00D14F6F" w:rsidP="00CE0853">
            <w:pPr>
              <w:pBdr>
                <w:top w:val="nil"/>
                <w:left w:val="nil"/>
                <w:bottom w:val="nil"/>
                <w:right w:val="nil"/>
                <w:between w:val="nil"/>
                <w:bar w:val="nil"/>
              </w:pBdr>
              <w:jc w:val="right"/>
              <w:rPr>
                <w:rFonts w:asciiTheme="majorHAnsi" w:hAnsiTheme="majorHAnsi" w:cstheme="majorHAnsi"/>
                <w:sz w:val="20"/>
                <w:szCs w:val="20"/>
              </w:rPr>
            </w:pPr>
          </w:p>
        </w:tc>
      </w:tr>
      <w:tr w:rsidR="00305856" w:rsidRPr="005516CD" w14:paraId="3DE1CB28" w14:textId="77777777" w:rsidTr="0050045F">
        <w:tc>
          <w:tcPr>
            <w:tcW w:w="4106" w:type="dxa"/>
            <w:vMerge/>
          </w:tcPr>
          <w:p w14:paraId="31637F2C" w14:textId="77777777" w:rsidR="00D14F6F" w:rsidRPr="005516CD" w:rsidRDefault="00D14F6F" w:rsidP="009F20F0">
            <w:pPr>
              <w:rPr>
                <w:rFonts w:asciiTheme="majorHAnsi" w:hAnsiTheme="majorHAnsi" w:cstheme="majorHAnsi"/>
                <w:b/>
                <w:sz w:val="20"/>
                <w:szCs w:val="20"/>
              </w:rPr>
            </w:pPr>
          </w:p>
        </w:tc>
        <w:tc>
          <w:tcPr>
            <w:tcW w:w="1843" w:type="dxa"/>
          </w:tcPr>
          <w:p w14:paraId="51127E1F" w14:textId="77777777" w:rsidR="00D14F6F" w:rsidRPr="005516CD" w:rsidRDefault="00D14F6F" w:rsidP="00722527">
            <w:pPr>
              <w:rPr>
                <w:rFonts w:asciiTheme="majorHAnsi" w:hAnsiTheme="majorHAnsi" w:cstheme="majorHAnsi"/>
                <w:sz w:val="20"/>
                <w:szCs w:val="20"/>
              </w:rPr>
            </w:pPr>
            <w:r w:rsidRPr="005516CD">
              <w:rPr>
                <w:rFonts w:asciiTheme="majorHAnsi" w:hAnsiTheme="majorHAnsi" w:cstheme="majorHAnsi"/>
                <w:sz w:val="20"/>
                <w:szCs w:val="20"/>
              </w:rPr>
              <w:t>Sainte Suzanne</w:t>
            </w:r>
            <w:r w:rsidR="003462C6" w:rsidRPr="005516CD">
              <w:rPr>
                <w:rFonts w:asciiTheme="majorHAnsi" w:hAnsiTheme="majorHAnsi" w:cstheme="majorHAnsi"/>
                <w:sz w:val="20"/>
                <w:szCs w:val="20"/>
              </w:rPr>
              <w:t xml:space="preserve"> (NE)</w:t>
            </w:r>
            <w:r w:rsidRPr="005516CD">
              <w:rPr>
                <w:rFonts w:asciiTheme="majorHAnsi" w:hAnsiTheme="majorHAnsi" w:cstheme="majorHAnsi"/>
                <w:sz w:val="20"/>
                <w:szCs w:val="20"/>
              </w:rPr>
              <w:t xml:space="preserve"> </w:t>
            </w:r>
          </w:p>
        </w:tc>
        <w:tc>
          <w:tcPr>
            <w:tcW w:w="850" w:type="dxa"/>
          </w:tcPr>
          <w:p w14:paraId="4D7D3B82" w14:textId="77777777" w:rsidR="00D14F6F" w:rsidRPr="005516CD" w:rsidRDefault="00D14F6F" w:rsidP="002D5D42">
            <w:pPr>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FFFFF"/>
              </w:rPr>
              <w:t>12,791</w:t>
            </w:r>
          </w:p>
        </w:tc>
        <w:tc>
          <w:tcPr>
            <w:tcW w:w="993" w:type="dxa"/>
            <w:vMerge/>
          </w:tcPr>
          <w:p w14:paraId="5860D8AB" w14:textId="77777777" w:rsidR="00D14F6F" w:rsidRPr="005516CD" w:rsidRDefault="00D14F6F" w:rsidP="008C4944">
            <w:pPr>
              <w:jc w:val="right"/>
              <w:rPr>
                <w:rFonts w:asciiTheme="majorHAnsi" w:hAnsiTheme="majorHAnsi" w:cstheme="majorHAnsi"/>
                <w:sz w:val="20"/>
                <w:szCs w:val="20"/>
              </w:rPr>
            </w:pPr>
          </w:p>
        </w:tc>
        <w:tc>
          <w:tcPr>
            <w:tcW w:w="1134" w:type="dxa"/>
            <w:vMerge/>
          </w:tcPr>
          <w:p w14:paraId="16650E49" w14:textId="77777777" w:rsidR="00D14F6F" w:rsidRPr="005516CD" w:rsidRDefault="00D14F6F" w:rsidP="00CE0853">
            <w:pPr>
              <w:pBdr>
                <w:top w:val="nil"/>
                <w:left w:val="nil"/>
                <w:bottom w:val="nil"/>
                <w:right w:val="nil"/>
                <w:between w:val="nil"/>
                <w:bar w:val="nil"/>
              </w:pBdr>
              <w:jc w:val="right"/>
              <w:rPr>
                <w:rFonts w:asciiTheme="majorHAnsi" w:hAnsiTheme="majorHAnsi" w:cstheme="majorHAnsi"/>
                <w:sz w:val="20"/>
                <w:szCs w:val="20"/>
              </w:rPr>
            </w:pPr>
          </w:p>
        </w:tc>
      </w:tr>
      <w:tr w:rsidR="00305856" w:rsidRPr="005516CD" w14:paraId="7B4EAF68" w14:textId="77777777" w:rsidTr="0050045F">
        <w:tc>
          <w:tcPr>
            <w:tcW w:w="4106" w:type="dxa"/>
            <w:vMerge/>
          </w:tcPr>
          <w:p w14:paraId="1A3B7FB2" w14:textId="77777777" w:rsidR="00D14F6F" w:rsidRPr="005516CD" w:rsidRDefault="00D14F6F" w:rsidP="009F20F0">
            <w:pPr>
              <w:rPr>
                <w:rFonts w:asciiTheme="majorHAnsi" w:hAnsiTheme="majorHAnsi" w:cstheme="majorHAnsi"/>
                <w:b/>
                <w:sz w:val="20"/>
                <w:szCs w:val="20"/>
              </w:rPr>
            </w:pPr>
          </w:p>
        </w:tc>
        <w:tc>
          <w:tcPr>
            <w:tcW w:w="1843" w:type="dxa"/>
          </w:tcPr>
          <w:p w14:paraId="779E920C" w14:textId="77777777" w:rsidR="00D14F6F" w:rsidRPr="005516CD" w:rsidRDefault="00D14F6F" w:rsidP="00722527">
            <w:pPr>
              <w:rPr>
                <w:rFonts w:asciiTheme="majorHAnsi" w:hAnsiTheme="majorHAnsi" w:cstheme="majorHAnsi"/>
                <w:sz w:val="20"/>
                <w:szCs w:val="20"/>
              </w:rPr>
            </w:pPr>
            <w:proofErr w:type="spellStart"/>
            <w:r w:rsidRPr="005516CD">
              <w:rPr>
                <w:rFonts w:asciiTheme="majorHAnsi" w:hAnsiTheme="majorHAnsi" w:cstheme="majorHAnsi"/>
                <w:sz w:val="20"/>
                <w:szCs w:val="20"/>
              </w:rPr>
              <w:t>Mombin</w:t>
            </w:r>
            <w:proofErr w:type="spellEnd"/>
            <w:r w:rsidRPr="005516CD">
              <w:rPr>
                <w:rFonts w:asciiTheme="majorHAnsi" w:hAnsiTheme="majorHAnsi" w:cstheme="majorHAnsi"/>
                <w:sz w:val="20"/>
                <w:szCs w:val="20"/>
              </w:rPr>
              <w:t xml:space="preserve">-Crochu </w:t>
            </w:r>
            <w:r w:rsidR="004C001B" w:rsidRPr="005516CD">
              <w:rPr>
                <w:rFonts w:asciiTheme="majorHAnsi" w:hAnsiTheme="majorHAnsi" w:cstheme="majorHAnsi"/>
                <w:sz w:val="20"/>
                <w:szCs w:val="20"/>
              </w:rPr>
              <w:t>(NE)</w:t>
            </w:r>
          </w:p>
        </w:tc>
        <w:tc>
          <w:tcPr>
            <w:tcW w:w="850" w:type="dxa"/>
          </w:tcPr>
          <w:p w14:paraId="1955D404" w14:textId="77777777" w:rsidR="00D14F6F" w:rsidRPr="005516CD" w:rsidRDefault="00D14F6F" w:rsidP="002D5D42">
            <w:pPr>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9F9F9"/>
              </w:rPr>
              <w:t>19,151</w:t>
            </w:r>
          </w:p>
        </w:tc>
        <w:tc>
          <w:tcPr>
            <w:tcW w:w="993" w:type="dxa"/>
            <w:vMerge/>
          </w:tcPr>
          <w:p w14:paraId="0CB36876" w14:textId="77777777" w:rsidR="00D14F6F" w:rsidRPr="005516CD" w:rsidRDefault="00D14F6F" w:rsidP="008C4944">
            <w:pPr>
              <w:jc w:val="right"/>
              <w:rPr>
                <w:rFonts w:asciiTheme="majorHAnsi" w:hAnsiTheme="majorHAnsi" w:cstheme="majorHAnsi"/>
                <w:sz w:val="20"/>
                <w:szCs w:val="20"/>
              </w:rPr>
            </w:pPr>
          </w:p>
        </w:tc>
        <w:tc>
          <w:tcPr>
            <w:tcW w:w="1134" w:type="dxa"/>
            <w:vMerge/>
          </w:tcPr>
          <w:p w14:paraId="59BB2386" w14:textId="77777777" w:rsidR="00D14F6F" w:rsidRPr="005516CD" w:rsidRDefault="00D14F6F" w:rsidP="00CE0853">
            <w:pPr>
              <w:pBdr>
                <w:top w:val="nil"/>
                <w:left w:val="nil"/>
                <w:bottom w:val="nil"/>
                <w:right w:val="nil"/>
                <w:between w:val="nil"/>
                <w:bar w:val="nil"/>
              </w:pBdr>
              <w:jc w:val="right"/>
              <w:rPr>
                <w:rFonts w:asciiTheme="majorHAnsi" w:hAnsiTheme="majorHAnsi" w:cstheme="majorHAnsi"/>
                <w:sz w:val="20"/>
                <w:szCs w:val="20"/>
              </w:rPr>
            </w:pPr>
          </w:p>
        </w:tc>
      </w:tr>
      <w:tr w:rsidR="00305856" w:rsidRPr="005516CD" w14:paraId="1B0B055D" w14:textId="77777777" w:rsidTr="0050045F">
        <w:tc>
          <w:tcPr>
            <w:tcW w:w="4106" w:type="dxa"/>
            <w:vMerge/>
          </w:tcPr>
          <w:p w14:paraId="14AC1FEC" w14:textId="77777777" w:rsidR="00D14F6F" w:rsidRPr="005516CD" w:rsidRDefault="00D14F6F" w:rsidP="009F20F0">
            <w:pPr>
              <w:rPr>
                <w:rFonts w:asciiTheme="majorHAnsi" w:hAnsiTheme="majorHAnsi" w:cstheme="majorHAnsi"/>
                <w:b/>
                <w:sz w:val="20"/>
                <w:szCs w:val="20"/>
              </w:rPr>
            </w:pPr>
          </w:p>
        </w:tc>
        <w:tc>
          <w:tcPr>
            <w:tcW w:w="1843" w:type="dxa"/>
          </w:tcPr>
          <w:p w14:paraId="2A514D05" w14:textId="77777777" w:rsidR="00D14F6F" w:rsidRPr="005516CD" w:rsidRDefault="00D14F6F" w:rsidP="00722527">
            <w:pPr>
              <w:rPr>
                <w:rFonts w:asciiTheme="majorHAnsi" w:hAnsiTheme="majorHAnsi" w:cstheme="majorHAnsi"/>
                <w:sz w:val="20"/>
                <w:szCs w:val="20"/>
                <w:lang w:val="fr-FR"/>
              </w:rPr>
            </w:pPr>
            <w:proofErr w:type="spellStart"/>
            <w:r w:rsidRPr="005516CD">
              <w:rPr>
                <w:rFonts w:asciiTheme="majorHAnsi" w:hAnsiTheme="majorHAnsi" w:cstheme="majorHAnsi"/>
                <w:sz w:val="20"/>
                <w:szCs w:val="20"/>
                <w:lang w:val="fr-FR"/>
              </w:rPr>
              <w:t>Bahon</w:t>
            </w:r>
            <w:proofErr w:type="spellEnd"/>
            <w:r w:rsidR="003462C6" w:rsidRPr="005516CD">
              <w:rPr>
                <w:rFonts w:asciiTheme="majorHAnsi" w:hAnsiTheme="majorHAnsi" w:cstheme="majorHAnsi"/>
                <w:sz w:val="20"/>
                <w:szCs w:val="20"/>
                <w:lang w:val="fr-FR"/>
              </w:rPr>
              <w:t xml:space="preserve"> (N)</w:t>
            </w:r>
            <w:r w:rsidRPr="005516CD">
              <w:rPr>
                <w:rFonts w:asciiTheme="majorHAnsi" w:hAnsiTheme="majorHAnsi" w:cstheme="majorHAnsi"/>
                <w:sz w:val="20"/>
                <w:szCs w:val="20"/>
                <w:lang w:val="fr-FR"/>
              </w:rPr>
              <w:t>, Port-Margot</w:t>
            </w:r>
            <w:r w:rsidR="003462C6" w:rsidRPr="005516CD">
              <w:rPr>
                <w:rFonts w:asciiTheme="majorHAnsi" w:hAnsiTheme="majorHAnsi" w:cstheme="majorHAnsi"/>
                <w:sz w:val="20"/>
                <w:szCs w:val="20"/>
                <w:lang w:val="fr-FR"/>
              </w:rPr>
              <w:t xml:space="preserve"> (N)</w:t>
            </w:r>
          </w:p>
        </w:tc>
        <w:tc>
          <w:tcPr>
            <w:tcW w:w="850" w:type="dxa"/>
          </w:tcPr>
          <w:p w14:paraId="0C0479B5" w14:textId="77777777" w:rsidR="00D14F6F" w:rsidRPr="005516CD" w:rsidRDefault="00D14F6F" w:rsidP="002D5D42">
            <w:pPr>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FFFFF"/>
              </w:rPr>
              <w:t>14,750</w:t>
            </w:r>
          </w:p>
        </w:tc>
        <w:tc>
          <w:tcPr>
            <w:tcW w:w="993" w:type="dxa"/>
            <w:vMerge/>
          </w:tcPr>
          <w:p w14:paraId="22BDD3C5" w14:textId="77777777" w:rsidR="00D14F6F" w:rsidRPr="005516CD" w:rsidRDefault="00D14F6F" w:rsidP="008C4944">
            <w:pPr>
              <w:jc w:val="right"/>
              <w:rPr>
                <w:rFonts w:asciiTheme="majorHAnsi" w:hAnsiTheme="majorHAnsi" w:cstheme="majorHAnsi"/>
                <w:sz w:val="20"/>
                <w:szCs w:val="20"/>
              </w:rPr>
            </w:pPr>
          </w:p>
        </w:tc>
        <w:tc>
          <w:tcPr>
            <w:tcW w:w="1134" w:type="dxa"/>
            <w:vMerge/>
          </w:tcPr>
          <w:p w14:paraId="6771FD30" w14:textId="77777777" w:rsidR="00D14F6F" w:rsidRPr="005516CD" w:rsidRDefault="00D14F6F" w:rsidP="00CE0853">
            <w:pPr>
              <w:pBdr>
                <w:top w:val="nil"/>
                <w:left w:val="nil"/>
                <w:bottom w:val="nil"/>
                <w:right w:val="nil"/>
                <w:between w:val="nil"/>
                <w:bar w:val="nil"/>
              </w:pBdr>
              <w:jc w:val="right"/>
              <w:rPr>
                <w:rFonts w:asciiTheme="majorHAnsi" w:hAnsiTheme="majorHAnsi" w:cstheme="majorHAnsi"/>
                <w:sz w:val="20"/>
                <w:szCs w:val="20"/>
              </w:rPr>
            </w:pPr>
          </w:p>
        </w:tc>
      </w:tr>
      <w:tr w:rsidR="00594A14" w:rsidRPr="005516CD" w14:paraId="3321C86E" w14:textId="77777777" w:rsidTr="0050045F">
        <w:tc>
          <w:tcPr>
            <w:tcW w:w="4106" w:type="dxa"/>
            <w:vMerge w:val="restart"/>
          </w:tcPr>
          <w:p w14:paraId="10D97BFB" w14:textId="77777777" w:rsidR="00594A14" w:rsidRPr="005516CD" w:rsidRDefault="00594A14" w:rsidP="00305856">
            <w:pPr>
              <w:contextualSpacing/>
              <w:rPr>
                <w:rFonts w:asciiTheme="majorHAnsi" w:hAnsiTheme="majorHAnsi" w:cstheme="majorHAnsi"/>
                <w:b/>
                <w:sz w:val="20"/>
                <w:szCs w:val="20"/>
              </w:rPr>
            </w:pPr>
            <w:r w:rsidRPr="005516CD">
              <w:rPr>
                <w:rFonts w:asciiTheme="majorHAnsi" w:hAnsiTheme="majorHAnsi" w:cstheme="majorHAnsi"/>
                <w:b/>
                <w:sz w:val="20"/>
                <w:szCs w:val="20"/>
              </w:rPr>
              <w:t xml:space="preserve">“Preservation zone”: </w:t>
            </w:r>
          </w:p>
          <w:p w14:paraId="027612B2" w14:textId="77777777" w:rsidR="00594A14" w:rsidRPr="005516CD" w:rsidRDefault="00594A14"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ind w:left="169" w:hanging="169"/>
              <w:rPr>
                <w:rFonts w:asciiTheme="majorHAnsi" w:hAnsiTheme="majorHAnsi" w:cstheme="majorHAnsi"/>
                <w:color w:val="auto"/>
                <w:sz w:val="20"/>
                <w:szCs w:val="20"/>
              </w:rPr>
            </w:pPr>
            <w:r w:rsidRPr="005516CD">
              <w:rPr>
                <w:rFonts w:asciiTheme="majorHAnsi" w:hAnsiTheme="majorHAnsi" w:cstheme="majorHAnsi"/>
                <w:color w:val="auto"/>
                <w:sz w:val="20"/>
                <w:szCs w:val="20"/>
              </w:rPr>
              <w:t>Relatively weak processes of degradation, significant diversity of species</w:t>
            </w:r>
          </w:p>
          <w:p w14:paraId="06B7E739" w14:textId="77777777" w:rsidR="00594A14" w:rsidRPr="005516CD" w:rsidRDefault="00594A14"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ind w:left="169" w:hanging="169"/>
              <w:rPr>
                <w:rFonts w:asciiTheme="majorHAnsi" w:hAnsiTheme="majorHAnsi" w:cstheme="majorHAnsi"/>
                <w:color w:val="auto"/>
                <w:sz w:val="20"/>
                <w:szCs w:val="20"/>
              </w:rPr>
            </w:pPr>
            <w:proofErr w:type="spellStart"/>
            <w:r w:rsidRPr="005516CD">
              <w:rPr>
                <w:rFonts w:asciiTheme="majorHAnsi" w:hAnsiTheme="majorHAnsi" w:cstheme="majorHAnsi"/>
                <w:color w:val="auto"/>
                <w:sz w:val="20"/>
                <w:szCs w:val="20"/>
              </w:rPr>
              <w:t>Well developed</w:t>
            </w:r>
            <w:proofErr w:type="spellEnd"/>
            <w:r w:rsidRPr="005516CD">
              <w:rPr>
                <w:rFonts w:asciiTheme="majorHAnsi" w:hAnsiTheme="majorHAnsi" w:cstheme="majorHAnsi"/>
                <w:color w:val="auto"/>
                <w:sz w:val="20"/>
                <w:szCs w:val="20"/>
              </w:rPr>
              <w:t xml:space="preserve"> and extensive structure of vegetation, with at least three strata</w:t>
            </w:r>
          </w:p>
          <w:p w14:paraId="582E1DCB" w14:textId="77777777" w:rsidR="00594A14" w:rsidRPr="005516CD" w:rsidRDefault="00594A14"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ind w:left="169" w:hanging="169"/>
              <w:rPr>
                <w:rFonts w:asciiTheme="majorHAnsi" w:hAnsiTheme="majorHAnsi" w:cstheme="majorHAnsi"/>
                <w:color w:val="auto"/>
                <w:sz w:val="20"/>
                <w:szCs w:val="20"/>
              </w:rPr>
            </w:pPr>
            <w:proofErr w:type="spellStart"/>
            <w:r w:rsidRPr="005516CD">
              <w:rPr>
                <w:rFonts w:asciiTheme="majorHAnsi" w:hAnsiTheme="majorHAnsi" w:cstheme="majorHAnsi"/>
                <w:color w:val="auto"/>
                <w:sz w:val="20"/>
                <w:szCs w:val="20"/>
              </w:rPr>
              <w:t>Well developed</w:t>
            </w:r>
            <w:proofErr w:type="spellEnd"/>
            <w:r w:rsidRPr="005516CD">
              <w:rPr>
                <w:rFonts w:asciiTheme="majorHAnsi" w:hAnsiTheme="majorHAnsi" w:cstheme="majorHAnsi"/>
                <w:color w:val="auto"/>
                <w:sz w:val="20"/>
                <w:szCs w:val="20"/>
              </w:rPr>
              <w:t xml:space="preserve"> environmental awareness among farmers, despite the weakness of State authorities at central level</w:t>
            </w:r>
          </w:p>
          <w:p w14:paraId="7C39EC65" w14:textId="77777777" w:rsidR="00594A14" w:rsidRPr="005516CD" w:rsidRDefault="00594A14"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ind w:left="169" w:hanging="169"/>
              <w:rPr>
                <w:rFonts w:asciiTheme="majorHAnsi" w:hAnsiTheme="majorHAnsi" w:cstheme="majorHAnsi"/>
                <w:b/>
                <w:color w:val="auto"/>
                <w:sz w:val="20"/>
                <w:szCs w:val="20"/>
              </w:rPr>
            </w:pPr>
            <w:r w:rsidRPr="005516CD">
              <w:rPr>
                <w:rFonts w:asciiTheme="majorHAnsi" w:hAnsiTheme="majorHAnsi" w:cstheme="majorHAnsi"/>
                <w:color w:val="auto"/>
                <w:sz w:val="20"/>
                <w:szCs w:val="20"/>
              </w:rPr>
              <w:t xml:space="preserve">Positive collaborations between elected local authorities and local leaders for the protection of </w:t>
            </w:r>
            <w:proofErr w:type="spellStart"/>
            <w:r w:rsidRPr="005516CD">
              <w:rPr>
                <w:rFonts w:asciiTheme="majorHAnsi" w:hAnsiTheme="majorHAnsi" w:cstheme="majorHAnsi"/>
                <w:color w:val="auto"/>
                <w:sz w:val="20"/>
                <w:szCs w:val="20"/>
              </w:rPr>
              <w:t>agro</w:t>
            </w:r>
            <w:proofErr w:type="spellEnd"/>
            <w:r w:rsidRPr="005516CD">
              <w:rPr>
                <w:rFonts w:asciiTheme="majorHAnsi" w:hAnsiTheme="majorHAnsi" w:cstheme="majorHAnsi"/>
                <w:color w:val="auto"/>
                <w:sz w:val="20"/>
                <w:szCs w:val="20"/>
              </w:rPr>
              <w:t xml:space="preserve">-environmental heritage </w:t>
            </w:r>
          </w:p>
        </w:tc>
        <w:tc>
          <w:tcPr>
            <w:tcW w:w="1843" w:type="dxa"/>
          </w:tcPr>
          <w:p w14:paraId="552ED2AE" w14:textId="77777777" w:rsidR="00594A14" w:rsidRPr="005516CD" w:rsidRDefault="00594A14" w:rsidP="00305856">
            <w:pPr>
              <w:pBdr>
                <w:top w:val="nil"/>
                <w:left w:val="nil"/>
                <w:bottom w:val="nil"/>
                <w:right w:val="nil"/>
                <w:between w:val="nil"/>
                <w:bar w:val="nil"/>
              </w:pBdr>
              <w:rPr>
                <w:rFonts w:asciiTheme="majorHAnsi" w:hAnsiTheme="majorHAnsi" w:cstheme="majorHAnsi"/>
                <w:sz w:val="20"/>
                <w:szCs w:val="20"/>
              </w:rPr>
            </w:pPr>
            <w:r w:rsidRPr="005516CD">
              <w:rPr>
                <w:rFonts w:asciiTheme="majorHAnsi" w:hAnsiTheme="majorHAnsi" w:cstheme="majorHAnsi"/>
                <w:sz w:val="20"/>
                <w:szCs w:val="20"/>
              </w:rPr>
              <w:t xml:space="preserve">Pilate </w:t>
            </w:r>
            <w:r w:rsidR="003462C6" w:rsidRPr="005516CD">
              <w:rPr>
                <w:rFonts w:asciiTheme="majorHAnsi" w:hAnsiTheme="majorHAnsi" w:cstheme="majorHAnsi"/>
                <w:sz w:val="20"/>
                <w:szCs w:val="20"/>
              </w:rPr>
              <w:t>(N)</w:t>
            </w:r>
          </w:p>
        </w:tc>
        <w:tc>
          <w:tcPr>
            <w:tcW w:w="850" w:type="dxa"/>
          </w:tcPr>
          <w:p w14:paraId="00553DF3" w14:textId="77777777" w:rsidR="00594A14" w:rsidRPr="005516CD" w:rsidRDefault="00594A14" w:rsidP="00305856">
            <w:pPr>
              <w:jc w:val="right"/>
              <w:rPr>
                <w:rFonts w:asciiTheme="majorHAnsi" w:hAnsiTheme="majorHAnsi" w:cstheme="majorHAnsi"/>
                <w:sz w:val="20"/>
                <w:szCs w:val="20"/>
                <w:shd w:val="clear" w:color="auto" w:fill="F9F9F9"/>
              </w:rPr>
            </w:pPr>
            <w:r w:rsidRPr="005516CD">
              <w:rPr>
                <w:rFonts w:asciiTheme="majorHAnsi" w:hAnsiTheme="majorHAnsi" w:cstheme="majorHAnsi"/>
                <w:sz w:val="20"/>
                <w:szCs w:val="20"/>
                <w:shd w:val="clear" w:color="auto" w:fill="F9F9F9"/>
              </w:rPr>
              <w:t>12,080</w:t>
            </w:r>
          </w:p>
        </w:tc>
        <w:tc>
          <w:tcPr>
            <w:tcW w:w="993" w:type="dxa"/>
            <w:vMerge w:val="restart"/>
          </w:tcPr>
          <w:p w14:paraId="6136337F" w14:textId="77777777" w:rsidR="00594A14" w:rsidRPr="005516CD" w:rsidRDefault="00594A14" w:rsidP="00594A14">
            <w:pPr>
              <w:jc w:val="right"/>
              <w:rPr>
                <w:rFonts w:asciiTheme="majorHAnsi" w:hAnsiTheme="majorHAnsi" w:cstheme="majorHAnsi"/>
                <w:sz w:val="20"/>
                <w:szCs w:val="20"/>
              </w:rPr>
            </w:pPr>
            <w:r w:rsidRPr="005516CD">
              <w:rPr>
                <w:rFonts w:asciiTheme="majorHAnsi" w:hAnsiTheme="majorHAnsi" w:cstheme="majorHAnsi"/>
                <w:sz w:val="20"/>
                <w:szCs w:val="20"/>
              </w:rPr>
              <w:t>24,100</w:t>
            </w:r>
          </w:p>
        </w:tc>
        <w:tc>
          <w:tcPr>
            <w:tcW w:w="1134" w:type="dxa"/>
            <w:vMerge w:val="restart"/>
          </w:tcPr>
          <w:p w14:paraId="77626D05" w14:textId="77777777" w:rsidR="00594A14" w:rsidRPr="005516CD" w:rsidRDefault="00594A14" w:rsidP="00305856">
            <w:pPr>
              <w:pBdr>
                <w:top w:val="nil"/>
                <w:left w:val="nil"/>
                <w:bottom w:val="nil"/>
                <w:right w:val="nil"/>
                <w:between w:val="nil"/>
                <w:bar w:val="nil"/>
              </w:pBdr>
              <w:jc w:val="right"/>
              <w:rPr>
                <w:rFonts w:asciiTheme="majorHAnsi" w:hAnsiTheme="majorHAnsi" w:cstheme="majorHAnsi"/>
                <w:sz w:val="20"/>
                <w:szCs w:val="20"/>
              </w:rPr>
            </w:pPr>
            <w:r w:rsidRPr="005516CD">
              <w:rPr>
                <w:rFonts w:asciiTheme="majorHAnsi" w:hAnsiTheme="majorHAnsi" w:cstheme="majorHAnsi"/>
                <w:sz w:val="20"/>
                <w:szCs w:val="20"/>
              </w:rPr>
              <w:t xml:space="preserve">18,075 </w:t>
            </w:r>
          </w:p>
          <w:p w14:paraId="15FD57E6" w14:textId="77777777" w:rsidR="00594A14" w:rsidRPr="005516CD" w:rsidRDefault="00594A14" w:rsidP="00305856">
            <w:pPr>
              <w:pBdr>
                <w:top w:val="nil"/>
                <w:left w:val="nil"/>
                <w:bottom w:val="nil"/>
                <w:right w:val="nil"/>
                <w:between w:val="nil"/>
                <w:bar w:val="nil"/>
              </w:pBdr>
              <w:jc w:val="right"/>
              <w:rPr>
                <w:rFonts w:asciiTheme="majorHAnsi" w:hAnsiTheme="majorHAnsi" w:cstheme="majorHAnsi"/>
                <w:sz w:val="20"/>
                <w:szCs w:val="20"/>
              </w:rPr>
            </w:pPr>
            <w:r w:rsidRPr="005516CD">
              <w:rPr>
                <w:rFonts w:asciiTheme="majorHAnsi" w:hAnsiTheme="majorHAnsi" w:cstheme="majorHAnsi"/>
                <w:sz w:val="20"/>
                <w:szCs w:val="20"/>
              </w:rPr>
              <w:t>(75%)</w:t>
            </w:r>
          </w:p>
        </w:tc>
      </w:tr>
      <w:tr w:rsidR="00594A14" w:rsidRPr="005516CD" w14:paraId="3FC5E3F8" w14:textId="77777777" w:rsidTr="0050045F">
        <w:tc>
          <w:tcPr>
            <w:tcW w:w="4106" w:type="dxa"/>
            <w:vMerge/>
          </w:tcPr>
          <w:p w14:paraId="3212EE71" w14:textId="77777777" w:rsidR="00594A14" w:rsidRPr="005516CD" w:rsidRDefault="00594A14" w:rsidP="00305856">
            <w:pPr>
              <w:contextualSpacing/>
              <w:rPr>
                <w:rFonts w:asciiTheme="majorHAnsi" w:hAnsiTheme="majorHAnsi" w:cstheme="majorHAnsi"/>
                <w:b/>
                <w:sz w:val="20"/>
                <w:szCs w:val="20"/>
              </w:rPr>
            </w:pPr>
          </w:p>
        </w:tc>
        <w:tc>
          <w:tcPr>
            <w:tcW w:w="1843" w:type="dxa"/>
          </w:tcPr>
          <w:p w14:paraId="1B522DA9" w14:textId="77777777" w:rsidR="00594A14" w:rsidRPr="005516CD" w:rsidRDefault="00594A14" w:rsidP="00305856">
            <w:pPr>
              <w:pBdr>
                <w:top w:val="nil"/>
                <w:left w:val="nil"/>
                <w:bottom w:val="nil"/>
                <w:right w:val="nil"/>
                <w:between w:val="nil"/>
                <w:bar w:val="nil"/>
              </w:pBdr>
              <w:rPr>
                <w:rFonts w:asciiTheme="majorHAnsi" w:hAnsiTheme="majorHAnsi" w:cstheme="majorHAnsi"/>
                <w:sz w:val="20"/>
                <w:szCs w:val="20"/>
              </w:rPr>
            </w:pPr>
            <w:r w:rsidRPr="005516CD">
              <w:rPr>
                <w:rFonts w:asciiTheme="majorHAnsi" w:hAnsiTheme="majorHAnsi" w:cstheme="majorHAnsi"/>
                <w:sz w:val="20"/>
                <w:szCs w:val="20"/>
              </w:rPr>
              <w:t>Plaisance</w:t>
            </w:r>
            <w:r w:rsidR="003462C6" w:rsidRPr="005516CD">
              <w:rPr>
                <w:rFonts w:asciiTheme="majorHAnsi" w:hAnsiTheme="majorHAnsi" w:cstheme="majorHAnsi"/>
                <w:sz w:val="20"/>
                <w:szCs w:val="20"/>
              </w:rPr>
              <w:t xml:space="preserve"> (N)</w:t>
            </w:r>
          </w:p>
        </w:tc>
        <w:tc>
          <w:tcPr>
            <w:tcW w:w="850" w:type="dxa"/>
          </w:tcPr>
          <w:p w14:paraId="3AAE603F" w14:textId="77777777" w:rsidR="00594A14" w:rsidRPr="005516CD" w:rsidRDefault="00594A14" w:rsidP="00305856">
            <w:pPr>
              <w:jc w:val="right"/>
              <w:rPr>
                <w:rFonts w:asciiTheme="majorHAnsi" w:hAnsiTheme="majorHAnsi" w:cstheme="majorHAnsi"/>
                <w:sz w:val="20"/>
                <w:szCs w:val="20"/>
                <w:shd w:val="clear" w:color="auto" w:fill="F9F9F9"/>
              </w:rPr>
            </w:pPr>
            <w:r w:rsidRPr="005516CD">
              <w:rPr>
                <w:rFonts w:asciiTheme="majorHAnsi" w:hAnsiTheme="majorHAnsi" w:cstheme="majorHAnsi"/>
                <w:sz w:val="20"/>
                <w:szCs w:val="20"/>
                <w:shd w:val="clear" w:color="auto" w:fill="F9F9F9"/>
              </w:rPr>
              <w:t>12,152</w:t>
            </w:r>
          </w:p>
        </w:tc>
        <w:tc>
          <w:tcPr>
            <w:tcW w:w="993" w:type="dxa"/>
            <w:vMerge/>
          </w:tcPr>
          <w:p w14:paraId="4EAF1F09" w14:textId="77777777" w:rsidR="00594A14" w:rsidRPr="005516CD" w:rsidRDefault="00594A14" w:rsidP="00305856">
            <w:pPr>
              <w:jc w:val="right"/>
              <w:rPr>
                <w:rFonts w:asciiTheme="majorHAnsi" w:hAnsiTheme="majorHAnsi" w:cstheme="majorHAnsi"/>
                <w:sz w:val="20"/>
                <w:szCs w:val="20"/>
              </w:rPr>
            </w:pPr>
          </w:p>
        </w:tc>
        <w:tc>
          <w:tcPr>
            <w:tcW w:w="1134" w:type="dxa"/>
            <w:vMerge/>
          </w:tcPr>
          <w:p w14:paraId="2F46876B" w14:textId="77777777" w:rsidR="00594A14" w:rsidRPr="005516CD" w:rsidRDefault="00594A14" w:rsidP="00305856">
            <w:pPr>
              <w:pBdr>
                <w:top w:val="nil"/>
                <w:left w:val="nil"/>
                <w:bottom w:val="nil"/>
                <w:right w:val="nil"/>
                <w:between w:val="nil"/>
                <w:bar w:val="nil"/>
              </w:pBdr>
              <w:jc w:val="right"/>
              <w:rPr>
                <w:rFonts w:asciiTheme="majorHAnsi" w:hAnsiTheme="majorHAnsi" w:cstheme="majorHAnsi"/>
                <w:sz w:val="20"/>
                <w:szCs w:val="20"/>
              </w:rPr>
            </w:pPr>
          </w:p>
        </w:tc>
      </w:tr>
      <w:tr w:rsidR="00305856" w:rsidRPr="005516CD" w14:paraId="75DA0B4C" w14:textId="77777777" w:rsidTr="0050045F">
        <w:tc>
          <w:tcPr>
            <w:tcW w:w="4106" w:type="dxa"/>
            <w:vMerge w:val="restart"/>
          </w:tcPr>
          <w:p w14:paraId="25C7819A" w14:textId="77777777" w:rsidR="00305856" w:rsidRPr="005516CD" w:rsidRDefault="00305856" w:rsidP="00305856">
            <w:pPr>
              <w:contextualSpacing/>
              <w:rPr>
                <w:rFonts w:asciiTheme="majorHAnsi" w:hAnsiTheme="majorHAnsi" w:cstheme="majorHAnsi"/>
                <w:b/>
                <w:sz w:val="20"/>
                <w:szCs w:val="20"/>
              </w:rPr>
            </w:pPr>
            <w:r w:rsidRPr="005516CD">
              <w:rPr>
                <w:rFonts w:asciiTheme="majorHAnsi" w:hAnsiTheme="majorHAnsi" w:cstheme="majorHAnsi"/>
                <w:b/>
                <w:sz w:val="20"/>
                <w:szCs w:val="20"/>
              </w:rPr>
              <w:t xml:space="preserve">“Recuperation zone”: </w:t>
            </w:r>
          </w:p>
          <w:p w14:paraId="71C3C8FC" w14:textId="77777777" w:rsidR="00305856" w:rsidRPr="005516CD" w:rsidRDefault="00305856"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ind w:left="169" w:hanging="169"/>
              <w:rPr>
                <w:rFonts w:asciiTheme="majorHAnsi" w:hAnsiTheme="majorHAnsi" w:cstheme="majorHAnsi"/>
                <w:b/>
                <w:color w:val="auto"/>
                <w:sz w:val="20"/>
                <w:szCs w:val="20"/>
              </w:rPr>
            </w:pPr>
            <w:r w:rsidRPr="005516CD">
              <w:rPr>
                <w:rFonts w:asciiTheme="majorHAnsi" w:hAnsiTheme="majorHAnsi" w:cstheme="majorHAnsi"/>
                <w:color w:val="auto"/>
                <w:sz w:val="20"/>
                <w:szCs w:val="20"/>
              </w:rPr>
              <w:t>Accelerated processes of degradation, with serious risks to the possibility of recovery and regeneration</w:t>
            </w:r>
          </w:p>
          <w:p w14:paraId="7F0255CB" w14:textId="77777777" w:rsidR="00305856" w:rsidRPr="005516CD" w:rsidRDefault="00305856"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ind w:left="169" w:hanging="169"/>
              <w:rPr>
                <w:rFonts w:asciiTheme="majorHAnsi" w:hAnsiTheme="majorHAnsi" w:cstheme="majorHAnsi"/>
                <w:b/>
                <w:color w:val="auto"/>
                <w:sz w:val="20"/>
                <w:szCs w:val="20"/>
              </w:rPr>
            </w:pPr>
            <w:r w:rsidRPr="005516CD">
              <w:rPr>
                <w:rFonts w:asciiTheme="majorHAnsi" w:hAnsiTheme="majorHAnsi" w:cstheme="majorHAnsi"/>
                <w:color w:val="auto"/>
                <w:sz w:val="20"/>
                <w:szCs w:val="20"/>
              </w:rPr>
              <w:t>Maintenance of remaining ecosystems is due in part to the presence of value chain actors (Novella, FECCANO, RECOCANO</w:t>
            </w:r>
          </w:p>
          <w:p w14:paraId="17A23C78" w14:textId="77777777" w:rsidR="00305856" w:rsidRPr="005516CD" w:rsidRDefault="00305856" w:rsidP="006B27F4">
            <w:pPr>
              <w:pStyle w:val="ListParagraph"/>
              <w:numPr>
                <w:ilvl w:val="0"/>
                <w:numId w:val="103"/>
              </w:numPr>
              <w:pBdr>
                <w:top w:val="none" w:sz="0" w:space="0" w:color="auto"/>
                <w:left w:val="none" w:sz="0" w:space="0" w:color="auto"/>
                <w:bottom w:val="none" w:sz="0" w:space="0" w:color="auto"/>
                <w:right w:val="none" w:sz="0" w:space="0" w:color="auto"/>
                <w:between w:val="none" w:sz="0" w:space="0" w:color="auto"/>
                <w:bar w:val="none" w:sz="0" w:color="auto"/>
              </w:pBdr>
              <w:ind w:left="169" w:hanging="169"/>
              <w:rPr>
                <w:rFonts w:asciiTheme="majorHAnsi" w:hAnsiTheme="majorHAnsi" w:cstheme="majorHAnsi"/>
                <w:b/>
                <w:color w:val="auto"/>
                <w:sz w:val="20"/>
                <w:szCs w:val="20"/>
              </w:rPr>
            </w:pPr>
            <w:r w:rsidRPr="005516CD">
              <w:rPr>
                <w:rFonts w:asciiTheme="majorHAnsi" w:hAnsiTheme="majorHAnsi" w:cstheme="majorHAnsi"/>
                <w:color w:val="auto"/>
                <w:sz w:val="20"/>
                <w:szCs w:val="20"/>
              </w:rPr>
              <w:t xml:space="preserve">Better off producers tend to be more resilient </w:t>
            </w:r>
          </w:p>
        </w:tc>
        <w:tc>
          <w:tcPr>
            <w:tcW w:w="1843" w:type="dxa"/>
          </w:tcPr>
          <w:p w14:paraId="45F6747A" w14:textId="77777777" w:rsidR="00305856" w:rsidRPr="005516CD" w:rsidRDefault="00305856" w:rsidP="00305856">
            <w:pPr>
              <w:pBdr>
                <w:top w:val="nil"/>
                <w:left w:val="nil"/>
                <w:bottom w:val="nil"/>
                <w:right w:val="nil"/>
                <w:between w:val="nil"/>
                <w:bar w:val="nil"/>
              </w:pBdr>
              <w:rPr>
                <w:rFonts w:asciiTheme="majorHAnsi" w:hAnsiTheme="majorHAnsi" w:cstheme="majorHAnsi"/>
                <w:sz w:val="20"/>
                <w:szCs w:val="20"/>
              </w:rPr>
            </w:pPr>
            <w:r w:rsidRPr="005516CD">
              <w:rPr>
                <w:rFonts w:asciiTheme="majorHAnsi" w:hAnsiTheme="majorHAnsi" w:cstheme="majorHAnsi"/>
                <w:sz w:val="20"/>
                <w:szCs w:val="20"/>
              </w:rPr>
              <w:t>Grande-Rivière</w:t>
            </w:r>
            <w:r w:rsidR="003462C6" w:rsidRPr="005516CD">
              <w:rPr>
                <w:rFonts w:asciiTheme="majorHAnsi" w:hAnsiTheme="majorHAnsi" w:cstheme="majorHAnsi"/>
                <w:sz w:val="20"/>
                <w:szCs w:val="20"/>
              </w:rPr>
              <w:t xml:space="preserve"> (N)</w:t>
            </w:r>
          </w:p>
        </w:tc>
        <w:tc>
          <w:tcPr>
            <w:tcW w:w="850" w:type="dxa"/>
          </w:tcPr>
          <w:p w14:paraId="1ADF3E98" w14:textId="77777777" w:rsidR="00305856" w:rsidRPr="005516CD" w:rsidRDefault="00305856" w:rsidP="00305856">
            <w:pPr>
              <w:jc w:val="right"/>
              <w:rPr>
                <w:rFonts w:asciiTheme="majorHAnsi" w:hAnsiTheme="majorHAnsi" w:cstheme="majorHAnsi"/>
                <w:b/>
                <w:sz w:val="20"/>
                <w:szCs w:val="20"/>
                <w:u w:val="single"/>
              </w:rPr>
            </w:pPr>
            <w:r w:rsidRPr="005516CD">
              <w:rPr>
                <w:rFonts w:asciiTheme="majorHAnsi" w:eastAsia="Times New Roman" w:hAnsiTheme="majorHAnsi" w:cstheme="majorHAnsi"/>
                <w:sz w:val="20"/>
                <w:szCs w:val="20"/>
                <w:lang w:eastAsia="fr-FR"/>
              </w:rPr>
              <w:t>12,815</w:t>
            </w:r>
          </w:p>
        </w:tc>
        <w:tc>
          <w:tcPr>
            <w:tcW w:w="993" w:type="dxa"/>
            <w:vMerge w:val="restart"/>
          </w:tcPr>
          <w:p w14:paraId="017111A2" w14:textId="77777777" w:rsidR="00305856" w:rsidRPr="005516CD" w:rsidRDefault="00305856" w:rsidP="00305856">
            <w:pPr>
              <w:contextualSpacing/>
              <w:jc w:val="right"/>
              <w:rPr>
                <w:rFonts w:asciiTheme="majorHAnsi" w:hAnsiTheme="majorHAnsi" w:cstheme="majorHAnsi"/>
                <w:sz w:val="20"/>
                <w:szCs w:val="20"/>
              </w:rPr>
            </w:pPr>
            <w:r w:rsidRPr="005516CD">
              <w:rPr>
                <w:rFonts w:asciiTheme="majorHAnsi" w:hAnsiTheme="majorHAnsi" w:cstheme="majorHAnsi"/>
                <w:sz w:val="20"/>
                <w:szCs w:val="20"/>
              </w:rPr>
              <w:t>74,800</w:t>
            </w:r>
          </w:p>
          <w:p w14:paraId="69BE211B" w14:textId="77777777" w:rsidR="00305856" w:rsidRPr="005516CD" w:rsidRDefault="00305856" w:rsidP="00305856">
            <w:pPr>
              <w:jc w:val="right"/>
              <w:rPr>
                <w:rFonts w:asciiTheme="majorHAnsi" w:hAnsiTheme="majorHAnsi" w:cstheme="majorHAnsi"/>
                <w:sz w:val="20"/>
                <w:szCs w:val="20"/>
              </w:rPr>
            </w:pPr>
          </w:p>
          <w:p w14:paraId="3E08FDEC" w14:textId="77777777" w:rsidR="00305856" w:rsidRPr="005516CD" w:rsidRDefault="00305856" w:rsidP="00305856">
            <w:pPr>
              <w:jc w:val="right"/>
              <w:rPr>
                <w:rFonts w:asciiTheme="majorHAnsi" w:hAnsiTheme="majorHAnsi" w:cstheme="majorHAnsi"/>
                <w:sz w:val="20"/>
                <w:szCs w:val="20"/>
              </w:rPr>
            </w:pPr>
          </w:p>
          <w:p w14:paraId="7A02285D" w14:textId="77777777" w:rsidR="00305856" w:rsidRPr="005516CD" w:rsidRDefault="00305856" w:rsidP="00305856">
            <w:pPr>
              <w:jc w:val="right"/>
              <w:rPr>
                <w:rFonts w:asciiTheme="majorHAnsi" w:hAnsiTheme="majorHAnsi" w:cstheme="majorHAnsi"/>
                <w:sz w:val="20"/>
                <w:szCs w:val="20"/>
              </w:rPr>
            </w:pPr>
          </w:p>
        </w:tc>
        <w:tc>
          <w:tcPr>
            <w:tcW w:w="1134" w:type="dxa"/>
            <w:vMerge w:val="restart"/>
          </w:tcPr>
          <w:p w14:paraId="3FD36BA0" w14:textId="77777777" w:rsidR="00305856" w:rsidRPr="005516CD" w:rsidRDefault="00305856" w:rsidP="00305856">
            <w:pPr>
              <w:pBdr>
                <w:top w:val="nil"/>
                <w:left w:val="nil"/>
                <w:bottom w:val="nil"/>
                <w:right w:val="nil"/>
                <w:between w:val="nil"/>
                <w:bar w:val="nil"/>
              </w:pBdr>
              <w:jc w:val="right"/>
              <w:rPr>
                <w:rFonts w:asciiTheme="majorHAnsi" w:hAnsiTheme="majorHAnsi" w:cstheme="majorHAnsi"/>
                <w:sz w:val="20"/>
                <w:szCs w:val="20"/>
              </w:rPr>
            </w:pPr>
            <w:r w:rsidRPr="005516CD">
              <w:rPr>
                <w:rFonts w:asciiTheme="majorHAnsi" w:hAnsiTheme="majorHAnsi" w:cstheme="majorHAnsi"/>
                <w:sz w:val="20"/>
                <w:szCs w:val="20"/>
              </w:rPr>
              <w:t xml:space="preserve">52,360 </w:t>
            </w:r>
          </w:p>
          <w:p w14:paraId="2CD4AC12" w14:textId="77777777" w:rsidR="00305856" w:rsidRPr="005516CD" w:rsidRDefault="00305856" w:rsidP="00305856">
            <w:pPr>
              <w:pBdr>
                <w:top w:val="nil"/>
                <w:left w:val="nil"/>
                <w:bottom w:val="nil"/>
                <w:right w:val="nil"/>
                <w:between w:val="nil"/>
                <w:bar w:val="nil"/>
              </w:pBdr>
              <w:jc w:val="right"/>
              <w:rPr>
                <w:rFonts w:asciiTheme="majorHAnsi" w:hAnsiTheme="majorHAnsi" w:cstheme="majorHAnsi"/>
                <w:sz w:val="20"/>
                <w:szCs w:val="20"/>
              </w:rPr>
            </w:pPr>
            <w:r w:rsidRPr="005516CD">
              <w:rPr>
                <w:rFonts w:asciiTheme="majorHAnsi" w:hAnsiTheme="majorHAnsi" w:cstheme="majorHAnsi"/>
                <w:sz w:val="20"/>
                <w:szCs w:val="20"/>
              </w:rPr>
              <w:t>(70%)</w:t>
            </w:r>
          </w:p>
        </w:tc>
      </w:tr>
      <w:tr w:rsidR="00305856" w:rsidRPr="005516CD" w14:paraId="421EA6FB" w14:textId="77777777" w:rsidTr="0050045F">
        <w:tc>
          <w:tcPr>
            <w:tcW w:w="4106" w:type="dxa"/>
            <w:vMerge/>
          </w:tcPr>
          <w:p w14:paraId="48F05DDE"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rPr>
            </w:pPr>
          </w:p>
        </w:tc>
        <w:tc>
          <w:tcPr>
            <w:tcW w:w="1843" w:type="dxa"/>
          </w:tcPr>
          <w:p w14:paraId="484DDFD8" w14:textId="77777777" w:rsidR="00305856" w:rsidRPr="005516CD" w:rsidRDefault="00305856" w:rsidP="00305856">
            <w:pPr>
              <w:pBdr>
                <w:top w:val="nil"/>
                <w:left w:val="nil"/>
                <w:bottom w:val="nil"/>
                <w:right w:val="nil"/>
                <w:between w:val="nil"/>
                <w:bar w:val="nil"/>
              </w:pBdr>
              <w:rPr>
                <w:rFonts w:asciiTheme="majorHAnsi" w:hAnsiTheme="majorHAnsi" w:cstheme="majorHAnsi"/>
                <w:sz w:val="20"/>
                <w:szCs w:val="20"/>
              </w:rPr>
            </w:pPr>
            <w:proofErr w:type="spellStart"/>
            <w:r w:rsidRPr="005516CD">
              <w:rPr>
                <w:rFonts w:asciiTheme="majorHAnsi" w:hAnsiTheme="majorHAnsi" w:cstheme="majorHAnsi"/>
                <w:sz w:val="20"/>
                <w:szCs w:val="20"/>
              </w:rPr>
              <w:t>Dondon</w:t>
            </w:r>
            <w:proofErr w:type="spellEnd"/>
            <w:r w:rsidR="003462C6" w:rsidRPr="005516CD">
              <w:rPr>
                <w:rFonts w:asciiTheme="majorHAnsi" w:hAnsiTheme="majorHAnsi" w:cstheme="majorHAnsi"/>
                <w:sz w:val="20"/>
                <w:szCs w:val="20"/>
              </w:rPr>
              <w:t xml:space="preserve"> (N)</w:t>
            </w:r>
          </w:p>
        </w:tc>
        <w:tc>
          <w:tcPr>
            <w:tcW w:w="850" w:type="dxa"/>
          </w:tcPr>
          <w:p w14:paraId="6E914545" w14:textId="77777777" w:rsidR="00305856" w:rsidRPr="005516CD" w:rsidRDefault="00305856" w:rsidP="00305856">
            <w:pPr>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9F9F9"/>
              </w:rPr>
              <w:t>12,036 </w:t>
            </w:r>
          </w:p>
        </w:tc>
        <w:tc>
          <w:tcPr>
            <w:tcW w:w="993" w:type="dxa"/>
            <w:vMerge/>
          </w:tcPr>
          <w:p w14:paraId="561B662B" w14:textId="77777777" w:rsidR="00305856" w:rsidRPr="005516CD" w:rsidRDefault="00305856" w:rsidP="00305856">
            <w:pPr>
              <w:jc w:val="right"/>
              <w:rPr>
                <w:rFonts w:asciiTheme="majorHAnsi" w:hAnsiTheme="majorHAnsi" w:cstheme="majorHAnsi"/>
                <w:sz w:val="20"/>
                <w:szCs w:val="20"/>
              </w:rPr>
            </w:pPr>
          </w:p>
        </w:tc>
        <w:tc>
          <w:tcPr>
            <w:tcW w:w="1134" w:type="dxa"/>
            <w:vMerge/>
          </w:tcPr>
          <w:p w14:paraId="742B746E"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u w:val="single"/>
              </w:rPr>
            </w:pPr>
          </w:p>
        </w:tc>
      </w:tr>
      <w:tr w:rsidR="00305856" w:rsidRPr="005516CD" w14:paraId="01F1A038" w14:textId="77777777" w:rsidTr="0050045F">
        <w:tc>
          <w:tcPr>
            <w:tcW w:w="4106" w:type="dxa"/>
            <w:vMerge/>
          </w:tcPr>
          <w:p w14:paraId="2CF8D150"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rPr>
            </w:pPr>
          </w:p>
        </w:tc>
        <w:tc>
          <w:tcPr>
            <w:tcW w:w="1843" w:type="dxa"/>
          </w:tcPr>
          <w:p w14:paraId="6082B3A4" w14:textId="77777777" w:rsidR="00305856" w:rsidRPr="005516CD" w:rsidRDefault="00305856" w:rsidP="00305856">
            <w:pPr>
              <w:pBdr>
                <w:top w:val="nil"/>
                <w:left w:val="nil"/>
                <w:bottom w:val="nil"/>
                <w:right w:val="nil"/>
                <w:between w:val="nil"/>
                <w:bar w:val="nil"/>
              </w:pBdr>
              <w:rPr>
                <w:rFonts w:asciiTheme="majorHAnsi" w:hAnsiTheme="majorHAnsi" w:cstheme="majorHAnsi"/>
                <w:sz w:val="20"/>
                <w:szCs w:val="20"/>
              </w:rPr>
            </w:pPr>
            <w:proofErr w:type="spellStart"/>
            <w:r w:rsidRPr="005516CD">
              <w:rPr>
                <w:rFonts w:asciiTheme="majorHAnsi" w:hAnsiTheme="majorHAnsi" w:cstheme="majorHAnsi"/>
                <w:sz w:val="20"/>
                <w:szCs w:val="20"/>
              </w:rPr>
              <w:t>Milot</w:t>
            </w:r>
            <w:proofErr w:type="spellEnd"/>
            <w:r w:rsidR="003462C6" w:rsidRPr="005516CD">
              <w:rPr>
                <w:rFonts w:asciiTheme="majorHAnsi" w:hAnsiTheme="majorHAnsi" w:cstheme="majorHAnsi"/>
                <w:sz w:val="20"/>
                <w:szCs w:val="20"/>
              </w:rPr>
              <w:t xml:space="preserve"> (N)</w:t>
            </w:r>
          </w:p>
        </w:tc>
        <w:tc>
          <w:tcPr>
            <w:tcW w:w="850" w:type="dxa"/>
          </w:tcPr>
          <w:p w14:paraId="113282A8" w14:textId="77777777" w:rsidR="00305856" w:rsidRPr="005516CD" w:rsidRDefault="00305856" w:rsidP="00305856">
            <w:pPr>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FFFFF"/>
              </w:rPr>
              <w:t>7,164</w:t>
            </w:r>
          </w:p>
        </w:tc>
        <w:tc>
          <w:tcPr>
            <w:tcW w:w="993" w:type="dxa"/>
            <w:vMerge/>
          </w:tcPr>
          <w:p w14:paraId="59CB25F8" w14:textId="77777777" w:rsidR="00305856" w:rsidRPr="005516CD" w:rsidRDefault="00305856" w:rsidP="00305856">
            <w:pPr>
              <w:jc w:val="right"/>
              <w:rPr>
                <w:rFonts w:asciiTheme="majorHAnsi" w:hAnsiTheme="majorHAnsi" w:cstheme="majorHAnsi"/>
                <w:sz w:val="20"/>
                <w:szCs w:val="20"/>
              </w:rPr>
            </w:pPr>
          </w:p>
        </w:tc>
        <w:tc>
          <w:tcPr>
            <w:tcW w:w="1134" w:type="dxa"/>
            <w:vMerge/>
          </w:tcPr>
          <w:p w14:paraId="617C8B1C"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u w:val="single"/>
              </w:rPr>
            </w:pPr>
          </w:p>
        </w:tc>
      </w:tr>
      <w:tr w:rsidR="00305856" w:rsidRPr="005516CD" w14:paraId="3E62855F" w14:textId="77777777" w:rsidTr="0050045F">
        <w:trPr>
          <w:trHeight w:val="93"/>
        </w:trPr>
        <w:tc>
          <w:tcPr>
            <w:tcW w:w="4106" w:type="dxa"/>
            <w:vMerge/>
          </w:tcPr>
          <w:p w14:paraId="2D9C3F2A"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color w:val="auto"/>
                <w:sz w:val="20"/>
                <w:szCs w:val="20"/>
              </w:rPr>
            </w:pPr>
          </w:p>
        </w:tc>
        <w:tc>
          <w:tcPr>
            <w:tcW w:w="1843" w:type="dxa"/>
          </w:tcPr>
          <w:p w14:paraId="5E2FF84A" w14:textId="77777777" w:rsidR="00305856" w:rsidRPr="005516CD" w:rsidRDefault="00305856" w:rsidP="00305856">
            <w:pPr>
              <w:pBdr>
                <w:top w:val="nil"/>
                <w:left w:val="nil"/>
                <w:bottom w:val="nil"/>
                <w:right w:val="nil"/>
                <w:between w:val="nil"/>
                <w:bar w:val="nil"/>
              </w:pBdr>
              <w:rPr>
                <w:rFonts w:asciiTheme="majorHAnsi" w:hAnsiTheme="majorHAnsi" w:cstheme="majorHAnsi"/>
                <w:b/>
                <w:sz w:val="20"/>
                <w:szCs w:val="20"/>
                <w:u w:val="single"/>
              </w:rPr>
            </w:pPr>
            <w:proofErr w:type="spellStart"/>
            <w:r w:rsidRPr="005516CD">
              <w:rPr>
                <w:rFonts w:asciiTheme="majorHAnsi" w:hAnsiTheme="majorHAnsi" w:cstheme="majorHAnsi"/>
                <w:sz w:val="20"/>
                <w:szCs w:val="20"/>
              </w:rPr>
              <w:t>Plaine</w:t>
            </w:r>
            <w:proofErr w:type="spellEnd"/>
            <w:r w:rsidRPr="005516CD">
              <w:rPr>
                <w:rFonts w:asciiTheme="majorHAnsi" w:hAnsiTheme="majorHAnsi" w:cstheme="majorHAnsi"/>
                <w:sz w:val="20"/>
                <w:szCs w:val="20"/>
              </w:rPr>
              <w:t xml:space="preserve"> du Nord </w:t>
            </w:r>
            <w:r w:rsidR="003462C6" w:rsidRPr="005516CD">
              <w:rPr>
                <w:rFonts w:asciiTheme="majorHAnsi" w:hAnsiTheme="majorHAnsi" w:cstheme="majorHAnsi"/>
                <w:sz w:val="20"/>
                <w:szCs w:val="20"/>
              </w:rPr>
              <w:t>(N)</w:t>
            </w:r>
          </w:p>
        </w:tc>
        <w:tc>
          <w:tcPr>
            <w:tcW w:w="850" w:type="dxa"/>
          </w:tcPr>
          <w:p w14:paraId="71550B0B" w14:textId="77777777" w:rsidR="00305856" w:rsidRPr="005516CD" w:rsidRDefault="00305856" w:rsidP="00305856">
            <w:pPr>
              <w:contextualSpacing/>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9F9F9"/>
              </w:rPr>
              <w:t>10,069</w:t>
            </w:r>
          </w:p>
        </w:tc>
        <w:tc>
          <w:tcPr>
            <w:tcW w:w="993" w:type="dxa"/>
            <w:vMerge/>
          </w:tcPr>
          <w:p w14:paraId="66958EDE" w14:textId="77777777" w:rsidR="00305856" w:rsidRPr="005516CD" w:rsidRDefault="00305856" w:rsidP="00305856">
            <w:pPr>
              <w:jc w:val="right"/>
              <w:rPr>
                <w:rFonts w:asciiTheme="majorHAnsi" w:hAnsiTheme="majorHAnsi" w:cstheme="majorHAnsi"/>
                <w:sz w:val="20"/>
                <w:szCs w:val="20"/>
              </w:rPr>
            </w:pPr>
          </w:p>
        </w:tc>
        <w:tc>
          <w:tcPr>
            <w:tcW w:w="1134" w:type="dxa"/>
            <w:vMerge/>
          </w:tcPr>
          <w:p w14:paraId="1296CDD1"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u w:val="single"/>
              </w:rPr>
            </w:pPr>
          </w:p>
        </w:tc>
      </w:tr>
      <w:tr w:rsidR="00305856" w:rsidRPr="005516CD" w14:paraId="4031DEAB" w14:textId="77777777" w:rsidTr="0050045F">
        <w:trPr>
          <w:trHeight w:val="68"/>
        </w:trPr>
        <w:tc>
          <w:tcPr>
            <w:tcW w:w="4106" w:type="dxa"/>
            <w:vMerge/>
          </w:tcPr>
          <w:p w14:paraId="64A35B10"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u w:val="single"/>
              </w:rPr>
            </w:pPr>
          </w:p>
        </w:tc>
        <w:tc>
          <w:tcPr>
            <w:tcW w:w="1843" w:type="dxa"/>
          </w:tcPr>
          <w:p w14:paraId="69E94E93" w14:textId="77777777" w:rsidR="00305856" w:rsidRPr="005516CD" w:rsidRDefault="00305856" w:rsidP="00305856">
            <w:pPr>
              <w:pBdr>
                <w:top w:val="nil"/>
                <w:left w:val="nil"/>
                <w:bottom w:val="nil"/>
                <w:right w:val="nil"/>
                <w:between w:val="nil"/>
                <w:bar w:val="nil"/>
              </w:pBdr>
              <w:rPr>
                <w:rFonts w:asciiTheme="majorHAnsi" w:hAnsiTheme="majorHAnsi" w:cstheme="majorHAnsi"/>
                <w:sz w:val="20"/>
                <w:szCs w:val="20"/>
              </w:rPr>
            </w:pPr>
            <w:proofErr w:type="spellStart"/>
            <w:r w:rsidRPr="005516CD">
              <w:rPr>
                <w:rFonts w:asciiTheme="majorHAnsi" w:hAnsiTheme="majorHAnsi" w:cstheme="majorHAnsi"/>
                <w:sz w:val="20"/>
                <w:szCs w:val="20"/>
              </w:rPr>
              <w:t>Limbé</w:t>
            </w:r>
            <w:proofErr w:type="spellEnd"/>
            <w:r w:rsidR="003462C6" w:rsidRPr="005516CD">
              <w:rPr>
                <w:rFonts w:asciiTheme="majorHAnsi" w:hAnsiTheme="majorHAnsi" w:cstheme="majorHAnsi"/>
                <w:sz w:val="20"/>
                <w:szCs w:val="20"/>
              </w:rPr>
              <w:t xml:space="preserve"> (N)</w:t>
            </w:r>
          </w:p>
        </w:tc>
        <w:tc>
          <w:tcPr>
            <w:tcW w:w="850" w:type="dxa"/>
          </w:tcPr>
          <w:p w14:paraId="36784E78" w14:textId="77777777" w:rsidR="00305856" w:rsidRPr="005516CD" w:rsidRDefault="00305856" w:rsidP="00305856">
            <w:pPr>
              <w:contextualSpacing/>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9F9F9"/>
              </w:rPr>
              <w:t>12,580</w:t>
            </w:r>
          </w:p>
        </w:tc>
        <w:tc>
          <w:tcPr>
            <w:tcW w:w="993" w:type="dxa"/>
            <w:vMerge/>
          </w:tcPr>
          <w:p w14:paraId="40672F1B" w14:textId="77777777" w:rsidR="00305856" w:rsidRPr="005516CD" w:rsidRDefault="00305856" w:rsidP="00305856">
            <w:pPr>
              <w:contextualSpacing/>
              <w:jc w:val="right"/>
              <w:rPr>
                <w:rFonts w:asciiTheme="majorHAnsi" w:hAnsiTheme="majorHAnsi" w:cstheme="majorHAnsi"/>
                <w:sz w:val="20"/>
                <w:szCs w:val="20"/>
              </w:rPr>
            </w:pPr>
          </w:p>
        </w:tc>
        <w:tc>
          <w:tcPr>
            <w:tcW w:w="1134" w:type="dxa"/>
            <w:vMerge/>
          </w:tcPr>
          <w:p w14:paraId="5186ECA9"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u w:val="single"/>
              </w:rPr>
            </w:pPr>
          </w:p>
        </w:tc>
      </w:tr>
      <w:tr w:rsidR="00305856" w:rsidRPr="005516CD" w14:paraId="2FF1B954" w14:textId="77777777" w:rsidTr="0050045F">
        <w:trPr>
          <w:trHeight w:val="68"/>
        </w:trPr>
        <w:tc>
          <w:tcPr>
            <w:tcW w:w="4106" w:type="dxa"/>
            <w:vMerge/>
          </w:tcPr>
          <w:p w14:paraId="543826B4"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u w:val="single"/>
              </w:rPr>
            </w:pPr>
          </w:p>
        </w:tc>
        <w:tc>
          <w:tcPr>
            <w:tcW w:w="1843" w:type="dxa"/>
          </w:tcPr>
          <w:p w14:paraId="0931A667" w14:textId="77777777" w:rsidR="00305856" w:rsidRPr="005516CD" w:rsidRDefault="00305856" w:rsidP="00305856">
            <w:pPr>
              <w:pBdr>
                <w:top w:val="nil"/>
                <w:left w:val="nil"/>
                <w:bottom w:val="nil"/>
                <w:right w:val="nil"/>
                <w:between w:val="nil"/>
                <w:bar w:val="nil"/>
              </w:pBdr>
              <w:rPr>
                <w:rFonts w:asciiTheme="majorHAnsi" w:hAnsiTheme="majorHAnsi" w:cstheme="majorHAnsi"/>
                <w:sz w:val="20"/>
                <w:szCs w:val="20"/>
              </w:rPr>
            </w:pPr>
            <w:r w:rsidRPr="005516CD">
              <w:rPr>
                <w:rFonts w:asciiTheme="majorHAnsi" w:hAnsiTheme="majorHAnsi" w:cstheme="majorHAnsi"/>
                <w:sz w:val="20"/>
                <w:szCs w:val="20"/>
              </w:rPr>
              <w:t>Borgne</w:t>
            </w:r>
            <w:r w:rsidR="003462C6" w:rsidRPr="005516CD">
              <w:rPr>
                <w:rFonts w:asciiTheme="majorHAnsi" w:hAnsiTheme="majorHAnsi" w:cstheme="majorHAnsi"/>
                <w:sz w:val="20"/>
                <w:szCs w:val="20"/>
              </w:rPr>
              <w:t xml:space="preserve"> (N)</w:t>
            </w:r>
          </w:p>
        </w:tc>
        <w:tc>
          <w:tcPr>
            <w:tcW w:w="850" w:type="dxa"/>
          </w:tcPr>
          <w:p w14:paraId="50C97D2E" w14:textId="77777777" w:rsidR="00305856" w:rsidRPr="005516CD" w:rsidRDefault="00305856" w:rsidP="00305856">
            <w:pPr>
              <w:contextualSpacing/>
              <w:jc w:val="right"/>
              <w:rPr>
                <w:rFonts w:asciiTheme="majorHAnsi" w:hAnsiTheme="majorHAnsi" w:cstheme="majorHAnsi"/>
                <w:b/>
                <w:sz w:val="20"/>
                <w:szCs w:val="20"/>
                <w:u w:val="single"/>
              </w:rPr>
            </w:pPr>
            <w:r w:rsidRPr="005516CD">
              <w:rPr>
                <w:rFonts w:asciiTheme="majorHAnsi" w:hAnsiTheme="majorHAnsi" w:cstheme="majorHAnsi"/>
                <w:sz w:val="20"/>
                <w:szCs w:val="20"/>
                <w:shd w:val="clear" w:color="auto" w:fill="F9F9F9"/>
              </w:rPr>
              <w:t>20,209 </w:t>
            </w:r>
          </w:p>
        </w:tc>
        <w:tc>
          <w:tcPr>
            <w:tcW w:w="993" w:type="dxa"/>
            <w:vMerge/>
          </w:tcPr>
          <w:p w14:paraId="5CD43DA7" w14:textId="77777777" w:rsidR="00305856" w:rsidRPr="005516CD" w:rsidRDefault="00305856" w:rsidP="00305856">
            <w:pPr>
              <w:contextualSpacing/>
              <w:jc w:val="right"/>
              <w:rPr>
                <w:rFonts w:asciiTheme="majorHAnsi" w:hAnsiTheme="majorHAnsi" w:cstheme="majorHAnsi"/>
                <w:sz w:val="20"/>
                <w:szCs w:val="20"/>
              </w:rPr>
            </w:pPr>
          </w:p>
        </w:tc>
        <w:tc>
          <w:tcPr>
            <w:tcW w:w="1134" w:type="dxa"/>
            <w:vMerge/>
          </w:tcPr>
          <w:p w14:paraId="554E17BE"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u w:val="single"/>
              </w:rPr>
            </w:pPr>
          </w:p>
        </w:tc>
      </w:tr>
      <w:tr w:rsidR="00305856" w:rsidRPr="005516CD" w14:paraId="36E86A76" w14:textId="77777777" w:rsidTr="0050045F">
        <w:trPr>
          <w:trHeight w:val="68"/>
        </w:trPr>
        <w:tc>
          <w:tcPr>
            <w:tcW w:w="4106" w:type="dxa"/>
            <w:vMerge/>
          </w:tcPr>
          <w:p w14:paraId="675F952B"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u w:val="single"/>
              </w:rPr>
            </w:pPr>
          </w:p>
        </w:tc>
        <w:tc>
          <w:tcPr>
            <w:tcW w:w="1843" w:type="dxa"/>
          </w:tcPr>
          <w:p w14:paraId="58EA81AA" w14:textId="77777777" w:rsidR="00305856" w:rsidRPr="005516CD" w:rsidRDefault="00305856" w:rsidP="00305856">
            <w:pPr>
              <w:pBdr>
                <w:top w:val="nil"/>
                <w:left w:val="nil"/>
                <w:bottom w:val="nil"/>
                <w:right w:val="nil"/>
                <w:between w:val="nil"/>
                <w:bar w:val="nil"/>
              </w:pBdr>
              <w:rPr>
                <w:rFonts w:asciiTheme="majorHAnsi" w:hAnsiTheme="majorHAnsi" w:cstheme="majorHAnsi"/>
                <w:sz w:val="20"/>
                <w:szCs w:val="20"/>
              </w:rPr>
            </w:pPr>
            <w:proofErr w:type="spellStart"/>
            <w:r w:rsidRPr="005516CD">
              <w:rPr>
                <w:rFonts w:asciiTheme="majorHAnsi" w:hAnsiTheme="majorHAnsi" w:cstheme="majorHAnsi"/>
                <w:sz w:val="20"/>
                <w:szCs w:val="20"/>
              </w:rPr>
              <w:t>Marmelade</w:t>
            </w:r>
            <w:proofErr w:type="spellEnd"/>
            <w:r w:rsidR="003462C6" w:rsidRPr="005516CD">
              <w:rPr>
                <w:rFonts w:asciiTheme="majorHAnsi" w:hAnsiTheme="majorHAnsi" w:cstheme="majorHAnsi"/>
                <w:sz w:val="20"/>
                <w:szCs w:val="20"/>
              </w:rPr>
              <w:t xml:space="preserve"> (AB)</w:t>
            </w:r>
          </w:p>
        </w:tc>
        <w:tc>
          <w:tcPr>
            <w:tcW w:w="850" w:type="dxa"/>
          </w:tcPr>
          <w:p w14:paraId="377D37F1" w14:textId="77777777" w:rsidR="00305856" w:rsidRPr="005516CD" w:rsidRDefault="00305856" w:rsidP="00305856">
            <w:pPr>
              <w:contextualSpacing/>
              <w:jc w:val="right"/>
              <w:rPr>
                <w:rFonts w:asciiTheme="majorHAnsi" w:hAnsiTheme="majorHAnsi" w:cstheme="majorHAnsi"/>
                <w:b/>
                <w:sz w:val="20"/>
                <w:szCs w:val="20"/>
                <w:u w:val="single"/>
              </w:rPr>
            </w:pPr>
          </w:p>
        </w:tc>
        <w:tc>
          <w:tcPr>
            <w:tcW w:w="993" w:type="dxa"/>
            <w:vMerge/>
          </w:tcPr>
          <w:p w14:paraId="59D7E294" w14:textId="77777777" w:rsidR="00305856" w:rsidRPr="005516CD" w:rsidRDefault="00305856" w:rsidP="00305856">
            <w:pPr>
              <w:contextualSpacing/>
              <w:jc w:val="right"/>
              <w:rPr>
                <w:rFonts w:asciiTheme="majorHAnsi" w:hAnsiTheme="majorHAnsi" w:cstheme="majorHAnsi"/>
                <w:sz w:val="20"/>
                <w:szCs w:val="20"/>
              </w:rPr>
            </w:pPr>
          </w:p>
        </w:tc>
        <w:tc>
          <w:tcPr>
            <w:tcW w:w="1134" w:type="dxa"/>
            <w:vMerge/>
          </w:tcPr>
          <w:p w14:paraId="4A1C334A" w14:textId="77777777" w:rsidR="00305856" w:rsidRPr="005516CD" w:rsidRDefault="00305856" w:rsidP="006B27F4">
            <w:pPr>
              <w:pStyle w:val="ListParagraph"/>
              <w:numPr>
                <w:ilvl w:val="0"/>
                <w:numId w:val="98"/>
              </w:numPr>
              <w:ind w:left="714" w:hanging="357"/>
              <w:contextualSpacing/>
              <w:rPr>
                <w:rFonts w:asciiTheme="majorHAnsi" w:hAnsiTheme="majorHAnsi" w:cstheme="majorHAnsi"/>
                <w:b/>
                <w:color w:val="auto"/>
                <w:sz w:val="20"/>
                <w:szCs w:val="20"/>
                <w:u w:val="single"/>
              </w:rPr>
            </w:pPr>
          </w:p>
        </w:tc>
      </w:tr>
      <w:tr w:rsidR="00305856" w:rsidRPr="005516CD" w14:paraId="6F912DF8" w14:textId="77777777" w:rsidTr="0050045F">
        <w:tc>
          <w:tcPr>
            <w:tcW w:w="4106" w:type="dxa"/>
          </w:tcPr>
          <w:p w14:paraId="0D48FCC6" w14:textId="77777777" w:rsidR="00305856" w:rsidRPr="005516CD" w:rsidRDefault="00305856" w:rsidP="00305856">
            <w:pPr>
              <w:jc w:val="right"/>
              <w:rPr>
                <w:rFonts w:asciiTheme="majorHAnsi" w:hAnsiTheme="majorHAnsi" w:cstheme="majorHAnsi"/>
                <w:b/>
                <w:sz w:val="20"/>
                <w:szCs w:val="20"/>
              </w:rPr>
            </w:pPr>
            <w:r w:rsidRPr="005516CD">
              <w:rPr>
                <w:rFonts w:asciiTheme="majorHAnsi" w:hAnsiTheme="majorHAnsi" w:cstheme="majorHAnsi"/>
                <w:b/>
                <w:sz w:val="20"/>
                <w:szCs w:val="20"/>
              </w:rPr>
              <w:t>Totals</w:t>
            </w:r>
          </w:p>
        </w:tc>
        <w:tc>
          <w:tcPr>
            <w:tcW w:w="1843" w:type="dxa"/>
          </w:tcPr>
          <w:p w14:paraId="4415EB7B" w14:textId="77777777" w:rsidR="00305856" w:rsidRPr="005516CD" w:rsidRDefault="00305856" w:rsidP="00305856">
            <w:pPr>
              <w:jc w:val="both"/>
              <w:rPr>
                <w:rFonts w:asciiTheme="majorHAnsi" w:hAnsiTheme="majorHAnsi" w:cstheme="majorHAnsi"/>
                <w:sz w:val="20"/>
                <w:szCs w:val="20"/>
              </w:rPr>
            </w:pPr>
          </w:p>
        </w:tc>
        <w:tc>
          <w:tcPr>
            <w:tcW w:w="850" w:type="dxa"/>
          </w:tcPr>
          <w:p w14:paraId="17F7A654" w14:textId="77777777" w:rsidR="00305856" w:rsidRPr="005516CD" w:rsidRDefault="00305856" w:rsidP="00305856">
            <w:pPr>
              <w:ind w:left="-357"/>
              <w:contextualSpacing/>
              <w:jc w:val="right"/>
              <w:rPr>
                <w:rFonts w:asciiTheme="majorHAnsi" w:hAnsiTheme="majorHAnsi" w:cstheme="majorHAnsi"/>
                <w:b/>
                <w:sz w:val="20"/>
                <w:szCs w:val="20"/>
                <w:u w:val="single"/>
              </w:rPr>
            </w:pPr>
          </w:p>
        </w:tc>
        <w:tc>
          <w:tcPr>
            <w:tcW w:w="993" w:type="dxa"/>
          </w:tcPr>
          <w:p w14:paraId="12B4936D" w14:textId="77777777" w:rsidR="00305856" w:rsidRPr="005516CD" w:rsidRDefault="00305856" w:rsidP="00305856">
            <w:pPr>
              <w:pBdr>
                <w:top w:val="nil"/>
                <w:left w:val="nil"/>
                <w:bottom w:val="nil"/>
                <w:right w:val="nil"/>
                <w:between w:val="nil"/>
                <w:bar w:val="nil"/>
              </w:pBdr>
              <w:jc w:val="right"/>
              <w:rPr>
                <w:rFonts w:asciiTheme="majorHAnsi" w:hAnsiTheme="majorHAnsi" w:cstheme="majorHAnsi"/>
                <w:sz w:val="20"/>
                <w:szCs w:val="20"/>
              </w:rPr>
            </w:pPr>
            <w:r w:rsidRPr="005516CD">
              <w:rPr>
                <w:rFonts w:asciiTheme="majorHAnsi" w:hAnsiTheme="majorHAnsi" w:cstheme="majorHAnsi"/>
                <w:sz w:val="20"/>
                <w:szCs w:val="20"/>
              </w:rPr>
              <w:t>182,300</w:t>
            </w:r>
          </w:p>
        </w:tc>
        <w:tc>
          <w:tcPr>
            <w:tcW w:w="1134" w:type="dxa"/>
          </w:tcPr>
          <w:p w14:paraId="348864D6" w14:textId="77777777" w:rsidR="00305856" w:rsidRPr="005516CD" w:rsidRDefault="00305856" w:rsidP="00305856">
            <w:pPr>
              <w:jc w:val="right"/>
              <w:rPr>
                <w:rFonts w:asciiTheme="majorHAnsi" w:hAnsiTheme="majorHAnsi" w:cstheme="majorHAnsi"/>
                <w:sz w:val="20"/>
                <w:szCs w:val="20"/>
              </w:rPr>
            </w:pPr>
            <w:r w:rsidRPr="005516CD">
              <w:rPr>
                <w:rFonts w:asciiTheme="majorHAnsi" w:hAnsiTheme="majorHAnsi" w:cstheme="majorHAnsi"/>
                <w:sz w:val="20"/>
                <w:szCs w:val="20"/>
              </w:rPr>
              <w:t xml:space="preserve">120,475 </w:t>
            </w:r>
          </w:p>
        </w:tc>
      </w:tr>
    </w:tbl>
    <w:p w14:paraId="2F9D8732" w14:textId="77777777" w:rsidR="00773AA0" w:rsidRPr="005516CD" w:rsidRDefault="00773AA0" w:rsidP="007B146B">
      <w:pPr>
        <w:jc w:val="both"/>
        <w:rPr>
          <w:rFonts w:asciiTheme="majorHAnsi" w:hAnsiTheme="majorHAnsi" w:cstheme="majorHAnsi"/>
          <w:b/>
          <w:color w:val="2E74B5" w:themeColor="accent1" w:themeShade="BF"/>
          <w:sz w:val="20"/>
          <w:szCs w:val="20"/>
        </w:rPr>
      </w:pPr>
    </w:p>
    <w:p w14:paraId="495845A2" w14:textId="77777777" w:rsidR="002D5E1B" w:rsidRPr="005516CD" w:rsidRDefault="002D5E1B" w:rsidP="002D5E1B">
      <w:pPr>
        <w:pStyle w:val="Heading7"/>
        <w:spacing w:before="0"/>
        <w:ind w:left="0"/>
        <w:rPr>
          <w:rFonts w:asciiTheme="majorHAnsi" w:hAnsiTheme="majorHAnsi" w:cstheme="majorHAnsi"/>
          <w:i/>
        </w:rPr>
      </w:pPr>
      <w:r w:rsidRPr="005516CD">
        <w:rPr>
          <w:rFonts w:asciiTheme="majorHAnsi" w:hAnsiTheme="majorHAnsi" w:cstheme="majorHAnsi"/>
          <w:i/>
        </w:rPr>
        <w:t>Valuation of biodiversity</w:t>
      </w:r>
    </w:p>
    <w:p w14:paraId="5A7421BB" w14:textId="77777777" w:rsidR="002D5E1B" w:rsidRPr="005516CD" w:rsidRDefault="002D5E1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Focus group meetings revealed that farmers in the project area value agricultural biodiversity highly, given the predominance of mixed cropping systems and their importance for minimising the risks associated with the failure of individual crops</w:t>
      </w:r>
      <w:r w:rsidR="00F73FC0" w:rsidRPr="005516CD">
        <w:rPr>
          <w:rFonts w:asciiTheme="majorHAnsi" w:hAnsiTheme="majorHAnsi" w:cstheme="majorHAnsi"/>
          <w:sz w:val="20"/>
          <w:szCs w:val="20"/>
        </w:rPr>
        <w:t>: e</w:t>
      </w:r>
      <w:r w:rsidRPr="005516CD">
        <w:rPr>
          <w:rFonts w:asciiTheme="majorHAnsi" w:hAnsiTheme="majorHAnsi" w:cstheme="majorHAnsi"/>
          <w:sz w:val="20"/>
          <w:szCs w:val="20"/>
        </w:rPr>
        <w:t>nvironmental and biodiversity considerations were</w:t>
      </w:r>
      <w:r w:rsidR="00F73FC0" w:rsidRPr="005516CD">
        <w:rPr>
          <w:rFonts w:asciiTheme="majorHAnsi" w:hAnsiTheme="majorHAnsi" w:cstheme="majorHAnsi"/>
          <w:sz w:val="20"/>
          <w:szCs w:val="20"/>
        </w:rPr>
        <w:t>, however,</w:t>
      </w:r>
      <w:r w:rsidRPr="005516CD">
        <w:rPr>
          <w:rFonts w:asciiTheme="majorHAnsi" w:hAnsiTheme="majorHAnsi" w:cstheme="majorHAnsi"/>
          <w:sz w:val="20"/>
          <w:szCs w:val="20"/>
        </w:rPr>
        <w:t xml:space="preserve"> </w:t>
      </w:r>
      <w:r w:rsidRPr="005516CD">
        <w:rPr>
          <w:rFonts w:asciiTheme="majorHAnsi" w:hAnsiTheme="majorHAnsi" w:cstheme="majorHAnsi"/>
          <w:i/>
          <w:sz w:val="20"/>
          <w:szCs w:val="20"/>
        </w:rPr>
        <w:t>only</w:t>
      </w:r>
      <w:r w:rsidRPr="005516CD">
        <w:rPr>
          <w:rFonts w:asciiTheme="majorHAnsi" w:hAnsiTheme="majorHAnsi" w:cstheme="majorHAnsi"/>
          <w:sz w:val="20"/>
          <w:szCs w:val="20"/>
        </w:rPr>
        <w:t xml:space="preserve"> prioritised in the conte</w:t>
      </w:r>
      <w:r w:rsidR="00F73FC0" w:rsidRPr="005516CD">
        <w:rPr>
          <w:rFonts w:asciiTheme="majorHAnsi" w:hAnsiTheme="majorHAnsi" w:cstheme="majorHAnsi"/>
          <w:sz w:val="20"/>
          <w:szCs w:val="20"/>
        </w:rPr>
        <w:t>x</w:t>
      </w:r>
      <w:r w:rsidRPr="005516CD">
        <w:rPr>
          <w:rFonts w:asciiTheme="majorHAnsi" w:hAnsiTheme="majorHAnsi" w:cstheme="majorHAnsi"/>
          <w:sz w:val="20"/>
          <w:szCs w:val="20"/>
        </w:rPr>
        <w:t xml:space="preserve">t of their contribution to food security. </w:t>
      </w:r>
    </w:p>
    <w:p w14:paraId="343EE085" w14:textId="48A1C5E4" w:rsidR="002D5E1B" w:rsidRPr="005516CD" w:rsidRDefault="002D5E1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Focus group participants were asked to what extent they would be prepared to allow biodiversity considerations to affect each of the main objectives that the</w:t>
      </w:r>
      <w:r w:rsidR="00183025" w:rsidRPr="005516CD">
        <w:rPr>
          <w:rFonts w:asciiTheme="majorHAnsi" w:hAnsiTheme="majorHAnsi" w:cstheme="majorHAnsi"/>
          <w:sz w:val="20"/>
          <w:szCs w:val="20"/>
        </w:rPr>
        <w:t xml:space="preserve">y gave for the management of their landholdings. The results, by socioeconomic category, are shown in </w:t>
      </w:r>
      <w:r w:rsidR="00173FEB" w:rsidRPr="005516CD">
        <w:rPr>
          <w:rFonts w:asciiTheme="majorHAnsi" w:hAnsiTheme="majorHAnsi" w:cstheme="majorHAnsi"/>
          <w:sz w:val="20"/>
          <w:szCs w:val="20"/>
        </w:rPr>
        <w:fldChar w:fldCharType="begin"/>
      </w:r>
      <w:r w:rsidR="00173FEB" w:rsidRPr="005516CD">
        <w:rPr>
          <w:rFonts w:asciiTheme="majorHAnsi" w:hAnsiTheme="majorHAnsi" w:cstheme="majorHAnsi"/>
          <w:sz w:val="20"/>
          <w:szCs w:val="20"/>
        </w:rPr>
        <w:instrText xml:space="preserve"> REF _Ref529905838 \r \h </w:instrText>
      </w:r>
      <w:r w:rsidR="005516CD">
        <w:rPr>
          <w:rFonts w:asciiTheme="majorHAnsi" w:hAnsiTheme="majorHAnsi" w:cstheme="majorHAnsi"/>
          <w:sz w:val="20"/>
          <w:szCs w:val="20"/>
        </w:rPr>
        <w:instrText xml:space="preserve"> \* MERGEFORMAT </w:instrText>
      </w:r>
      <w:r w:rsidR="00173FEB" w:rsidRPr="005516CD">
        <w:rPr>
          <w:rFonts w:asciiTheme="majorHAnsi" w:hAnsiTheme="majorHAnsi" w:cstheme="majorHAnsi"/>
          <w:sz w:val="20"/>
          <w:szCs w:val="20"/>
        </w:rPr>
      </w:r>
      <w:r w:rsidR="00173FEB"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Table 7</w:t>
      </w:r>
      <w:r w:rsidR="00173FEB" w:rsidRPr="005516CD">
        <w:rPr>
          <w:rFonts w:asciiTheme="majorHAnsi" w:hAnsiTheme="majorHAnsi" w:cstheme="majorHAnsi"/>
          <w:sz w:val="20"/>
          <w:szCs w:val="20"/>
        </w:rPr>
        <w:fldChar w:fldCharType="end"/>
      </w:r>
      <w:r w:rsidR="00C849F0" w:rsidRPr="005516CD">
        <w:rPr>
          <w:rFonts w:asciiTheme="majorHAnsi" w:hAnsiTheme="majorHAnsi" w:cstheme="majorHAnsi"/>
          <w:sz w:val="20"/>
          <w:szCs w:val="20"/>
        </w:rPr>
        <w:t xml:space="preserve">: they show that poorer people (categories III and IV) give overwhelming priority to food security, </w:t>
      </w:r>
      <w:r w:rsidR="00F73FC0" w:rsidRPr="005516CD">
        <w:rPr>
          <w:rFonts w:asciiTheme="majorHAnsi" w:hAnsiTheme="majorHAnsi" w:cstheme="majorHAnsi"/>
          <w:sz w:val="20"/>
          <w:szCs w:val="20"/>
        </w:rPr>
        <w:t>with</w:t>
      </w:r>
      <w:r w:rsidR="00C849F0" w:rsidRPr="005516CD">
        <w:rPr>
          <w:rFonts w:asciiTheme="majorHAnsi" w:hAnsiTheme="majorHAnsi" w:cstheme="majorHAnsi"/>
          <w:sz w:val="20"/>
          <w:szCs w:val="20"/>
        </w:rPr>
        <w:t xml:space="preserve"> no willingness to </w:t>
      </w:r>
      <w:r w:rsidR="00F73FC0" w:rsidRPr="005516CD">
        <w:rPr>
          <w:rFonts w:asciiTheme="majorHAnsi" w:hAnsiTheme="majorHAnsi" w:cstheme="majorHAnsi"/>
          <w:sz w:val="20"/>
          <w:szCs w:val="20"/>
        </w:rPr>
        <w:t xml:space="preserve">sacrifice their </w:t>
      </w:r>
      <w:r w:rsidR="00C849F0" w:rsidRPr="005516CD">
        <w:rPr>
          <w:rFonts w:asciiTheme="majorHAnsi" w:hAnsiTheme="majorHAnsi" w:cstheme="majorHAnsi"/>
          <w:sz w:val="20"/>
          <w:szCs w:val="20"/>
        </w:rPr>
        <w:t>existing priorities to favour biodiversity: it is only the better-off farmers (categories I and II) who are willing to forego any of their other objectives</w:t>
      </w:r>
      <w:r w:rsidR="004F1792" w:rsidRPr="005516CD">
        <w:rPr>
          <w:rFonts w:asciiTheme="majorHAnsi" w:hAnsiTheme="majorHAnsi" w:cstheme="majorHAnsi"/>
          <w:sz w:val="20"/>
          <w:szCs w:val="20"/>
        </w:rPr>
        <w:t xml:space="preserve">, and even with them their flexibility is minimal. </w:t>
      </w:r>
    </w:p>
    <w:p w14:paraId="6B382322" w14:textId="77777777" w:rsidR="00173FEB" w:rsidRPr="005516CD" w:rsidRDefault="003333F9" w:rsidP="006B27F4">
      <w:pPr>
        <w:keepNext/>
        <w:numPr>
          <w:ilvl w:val="3"/>
          <w:numId w:val="90"/>
        </w:numPr>
        <w:tabs>
          <w:tab w:val="num" w:pos="-284"/>
          <w:tab w:val="left" w:pos="426"/>
        </w:tabs>
        <w:spacing w:after="60"/>
        <w:ind w:left="851" w:right="96" w:hanging="851"/>
        <w:jc w:val="both"/>
        <w:rPr>
          <w:rFonts w:asciiTheme="majorHAnsi" w:hAnsiTheme="majorHAnsi" w:cstheme="majorHAnsi"/>
          <w:b/>
          <w:sz w:val="20"/>
          <w:szCs w:val="20"/>
        </w:rPr>
      </w:pPr>
      <w:bookmarkStart w:id="21" w:name="_Ref529905838"/>
      <w:r w:rsidRPr="005516CD">
        <w:rPr>
          <w:rFonts w:asciiTheme="majorHAnsi" w:hAnsiTheme="majorHAnsi" w:cstheme="majorHAnsi"/>
          <w:b/>
          <w:sz w:val="20"/>
          <w:szCs w:val="20"/>
        </w:rPr>
        <w:t>Degree of f</w:t>
      </w:r>
      <w:r w:rsidR="00173FEB" w:rsidRPr="005516CD">
        <w:rPr>
          <w:rFonts w:asciiTheme="majorHAnsi" w:hAnsiTheme="majorHAnsi" w:cstheme="majorHAnsi"/>
          <w:b/>
          <w:sz w:val="20"/>
          <w:szCs w:val="20"/>
        </w:rPr>
        <w:t xml:space="preserve">lexibility to </w:t>
      </w:r>
      <w:r w:rsidRPr="005516CD">
        <w:rPr>
          <w:rFonts w:asciiTheme="majorHAnsi" w:hAnsiTheme="majorHAnsi" w:cstheme="majorHAnsi"/>
          <w:b/>
          <w:sz w:val="20"/>
          <w:szCs w:val="20"/>
        </w:rPr>
        <w:t xml:space="preserve">provide for </w:t>
      </w:r>
      <w:r w:rsidR="00173FEB" w:rsidRPr="005516CD">
        <w:rPr>
          <w:rFonts w:asciiTheme="majorHAnsi" w:hAnsiTheme="majorHAnsi" w:cstheme="majorHAnsi"/>
          <w:b/>
          <w:sz w:val="20"/>
          <w:szCs w:val="20"/>
        </w:rPr>
        <w:t>biodiversity</w:t>
      </w:r>
      <w:bookmarkEnd w:id="21"/>
      <w:r w:rsidR="00173FEB" w:rsidRPr="005516CD">
        <w:rPr>
          <w:rFonts w:asciiTheme="majorHAnsi" w:hAnsiTheme="majorHAnsi" w:cstheme="majorHAnsi"/>
          <w:b/>
          <w:sz w:val="20"/>
          <w:szCs w:val="20"/>
        </w:rPr>
        <w:t xml:space="preserve"> </w:t>
      </w:r>
      <w:r w:rsidR="007411B4" w:rsidRPr="005516CD">
        <w:rPr>
          <w:rFonts w:asciiTheme="majorHAnsi" w:hAnsiTheme="majorHAnsi" w:cstheme="majorHAnsi"/>
          <w:b/>
          <w:sz w:val="20"/>
          <w:szCs w:val="20"/>
        </w:rPr>
        <w:t>(+/- indicates degree of change farmers would be prepared to accept in relation to each priority)</w:t>
      </w:r>
    </w:p>
    <w:tbl>
      <w:tblPr>
        <w:tblStyle w:val="TableGrid"/>
        <w:tblW w:w="0" w:type="auto"/>
        <w:tblLook w:val="04A0" w:firstRow="1" w:lastRow="0" w:firstColumn="1" w:lastColumn="0" w:noHBand="0" w:noVBand="1"/>
      </w:tblPr>
      <w:tblGrid>
        <w:gridCol w:w="2541"/>
        <w:gridCol w:w="1140"/>
        <w:gridCol w:w="430"/>
        <w:gridCol w:w="1271"/>
        <w:gridCol w:w="428"/>
        <w:gridCol w:w="1273"/>
        <w:gridCol w:w="381"/>
        <w:gridCol w:w="1178"/>
        <w:gridCol w:w="368"/>
      </w:tblGrid>
      <w:tr w:rsidR="004F1792" w:rsidRPr="005516CD" w14:paraId="69A726AA" w14:textId="77777777" w:rsidTr="00F73FC0">
        <w:trPr>
          <w:trHeight w:val="68"/>
          <w:tblHeader/>
        </w:trPr>
        <w:tc>
          <w:tcPr>
            <w:tcW w:w="2541" w:type="dxa"/>
            <w:vMerge w:val="restart"/>
            <w:shd w:val="clear" w:color="auto" w:fill="D9D9D9" w:themeFill="background1" w:themeFillShade="D9"/>
            <w:vAlign w:val="bottom"/>
          </w:tcPr>
          <w:p w14:paraId="63A8C0DE" w14:textId="77777777" w:rsidR="004F1792" w:rsidRPr="005516CD" w:rsidRDefault="004F1792" w:rsidP="0041184B">
            <w:pPr>
              <w:keepNext/>
              <w:jc w:val="center"/>
              <w:rPr>
                <w:rFonts w:asciiTheme="majorHAnsi" w:hAnsiTheme="majorHAnsi" w:cstheme="majorHAnsi"/>
                <w:b/>
                <w:sz w:val="20"/>
                <w:szCs w:val="20"/>
              </w:rPr>
            </w:pPr>
            <w:r w:rsidRPr="005516CD">
              <w:rPr>
                <w:rFonts w:asciiTheme="majorHAnsi" w:hAnsiTheme="majorHAnsi" w:cstheme="majorHAnsi"/>
                <w:b/>
                <w:sz w:val="20"/>
                <w:szCs w:val="20"/>
              </w:rPr>
              <w:t>Priority</w:t>
            </w:r>
          </w:p>
        </w:tc>
        <w:tc>
          <w:tcPr>
            <w:tcW w:w="6469" w:type="dxa"/>
            <w:gridSpan w:val="8"/>
            <w:shd w:val="clear" w:color="auto" w:fill="D9D9D9" w:themeFill="background1" w:themeFillShade="D9"/>
          </w:tcPr>
          <w:p w14:paraId="5BFBE5AE" w14:textId="77777777" w:rsidR="004F1792" w:rsidRPr="005516CD" w:rsidRDefault="004F1792" w:rsidP="0041184B">
            <w:pPr>
              <w:keepNext/>
              <w:jc w:val="center"/>
              <w:rPr>
                <w:rFonts w:asciiTheme="majorHAnsi" w:hAnsiTheme="majorHAnsi" w:cstheme="majorHAnsi"/>
                <w:b/>
                <w:sz w:val="20"/>
                <w:szCs w:val="20"/>
              </w:rPr>
            </w:pPr>
            <w:r w:rsidRPr="005516CD">
              <w:rPr>
                <w:rFonts w:asciiTheme="majorHAnsi" w:hAnsiTheme="majorHAnsi" w:cstheme="majorHAnsi"/>
                <w:b/>
                <w:sz w:val="20"/>
                <w:szCs w:val="20"/>
              </w:rPr>
              <w:t>Socioeconomic category</w:t>
            </w:r>
          </w:p>
        </w:tc>
      </w:tr>
      <w:tr w:rsidR="004F1792" w:rsidRPr="005516CD" w14:paraId="08A2D948" w14:textId="77777777" w:rsidTr="00F73FC0">
        <w:trPr>
          <w:trHeight w:val="346"/>
          <w:tblHeader/>
        </w:trPr>
        <w:tc>
          <w:tcPr>
            <w:tcW w:w="2541" w:type="dxa"/>
            <w:vMerge/>
            <w:shd w:val="clear" w:color="auto" w:fill="D9D9D9" w:themeFill="background1" w:themeFillShade="D9"/>
          </w:tcPr>
          <w:p w14:paraId="4C833B86" w14:textId="77777777" w:rsidR="004F1792" w:rsidRPr="005516CD" w:rsidRDefault="004F1792" w:rsidP="00826848">
            <w:pPr>
              <w:jc w:val="center"/>
              <w:rPr>
                <w:rFonts w:asciiTheme="majorHAnsi" w:hAnsiTheme="majorHAnsi" w:cstheme="majorHAnsi"/>
                <w:b/>
                <w:sz w:val="20"/>
                <w:szCs w:val="20"/>
              </w:rPr>
            </w:pPr>
          </w:p>
        </w:tc>
        <w:tc>
          <w:tcPr>
            <w:tcW w:w="1570" w:type="dxa"/>
            <w:gridSpan w:val="2"/>
            <w:shd w:val="clear" w:color="auto" w:fill="D9D9D9" w:themeFill="background1" w:themeFillShade="D9"/>
          </w:tcPr>
          <w:p w14:paraId="618F4F81" w14:textId="77777777" w:rsidR="004F1792" w:rsidRPr="005516CD" w:rsidRDefault="004F1792" w:rsidP="00826848">
            <w:pPr>
              <w:jc w:val="center"/>
              <w:rPr>
                <w:rFonts w:asciiTheme="majorHAnsi" w:hAnsiTheme="majorHAnsi" w:cstheme="majorHAnsi"/>
                <w:sz w:val="20"/>
                <w:szCs w:val="20"/>
              </w:rPr>
            </w:pPr>
            <w:r w:rsidRPr="005516CD">
              <w:rPr>
                <w:rFonts w:asciiTheme="majorHAnsi" w:hAnsiTheme="majorHAnsi" w:cstheme="majorHAnsi"/>
                <w:sz w:val="20"/>
                <w:szCs w:val="20"/>
              </w:rPr>
              <w:t>I</w:t>
            </w:r>
          </w:p>
        </w:tc>
        <w:tc>
          <w:tcPr>
            <w:tcW w:w="1699" w:type="dxa"/>
            <w:gridSpan w:val="2"/>
            <w:shd w:val="clear" w:color="auto" w:fill="D9D9D9" w:themeFill="background1" w:themeFillShade="D9"/>
          </w:tcPr>
          <w:p w14:paraId="51EA012C" w14:textId="77777777" w:rsidR="004F1792" w:rsidRPr="005516CD" w:rsidRDefault="004F1792" w:rsidP="00826848">
            <w:pPr>
              <w:jc w:val="center"/>
              <w:rPr>
                <w:rFonts w:asciiTheme="majorHAnsi" w:hAnsiTheme="majorHAnsi" w:cstheme="majorHAnsi"/>
                <w:sz w:val="20"/>
                <w:szCs w:val="20"/>
              </w:rPr>
            </w:pPr>
            <w:r w:rsidRPr="005516CD">
              <w:rPr>
                <w:rFonts w:asciiTheme="majorHAnsi" w:hAnsiTheme="majorHAnsi" w:cstheme="majorHAnsi"/>
                <w:sz w:val="20"/>
                <w:szCs w:val="20"/>
              </w:rPr>
              <w:t>II</w:t>
            </w:r>
          </w:p>
        </w:tc>
        <w:tc>
          <w:tcPr>
            <w:tcW w:w="1654" w:type="dxa"/>
            <w:gridSpan w:val="2"/>
            <w:shd w:val="clear" w:color="auto" w:fill="D9D9D9" w:themeFill="background1" w:themeFillShade="D9"/>
          </w:tcPr>
          <w:p w14:paraId="193BD1C0" w14:textId="77777777" w:rsidR="004F1792" w:rsidRPr="005516CD" w:rsidRDefault="004F1792" w:rsidP="00826848">
            <w:pPr>
              <w:jc w:val="center"/>
              <w:rPr>
                <w:rFonts w:asciiTheme="majorHAnsi" w:hAnsiTheme="majorHAnsi" w:cstheme="majorHAnsi"/>
                <w:sz w:val="20"/>
                <w:szCs w:val="20"/>
              </w:rPr>
            </w:pPr>
            <w:r w:rsidRPr="005516CD">
              <w:rPr>
                <w:rFonts w:asciiTheme="majorHAnsi" w:hAnsiTheme="majorHAnsi" w:cstheme="majorHAnsi"/>
                <w:sz w:val="20"/>
                <w:szCs w:val="20"/>
              </w:rPr>
              <w:t>III</w:t>
            </w:r>
          </w:p>
        </w:tc>
        <w:tc>
          <w:tcPr>
            <w:tcW w:w="1546" w:type="dxa"/>
            <w:gridSpan w:val="2"/>
            <w:shd w:val="clear" w:color="auto" w:fill="D9D9D9" w:themeFill="background1" w:themeFillShade="D9"/>
          </w:tcPr>
          <w:p w14:paraId="26EA6148" w14:textId="77777777" w:rsidR="004F1792" w:rsidRPr="005516CD" w:rsidRDefault="004F1792" w:rsidP="00826848">
            <w:pPr>
              <w:jc w:val="center"/>
              <w:rPr>
                <w:rFonts w:asciiTheme="majorHAnsi" w:hAnsiTheme="majorHAnsi" w:cstheme="majorHAnsi"/>
                <w:sz w:val="20"/>
                <w:szCs w:val="20"/>
              </w:rPr>
            </w:pPr>
            <w:r w:rsidRPr="005516CD">
              <w:rPr>
                <w:rFonts w:asciiTheme="majorHAnsi" w:hAnsiTheme="majorHAnsi" w:cstheme="majorHAnsi"/>
                <w:sz w:val="20"/>
                <w:szCs w:val="20"/>
              </w:rPr>
              <w:t>IV</w:t>
            </w:r>
          </w:p>
        </w:tc>
      </w:tr>
      <w:tr w:rsidR="004F1792" w:rsidRPr="005516CD" w14:paraId="4763979F" w14:textId="77777777" w:rsidTr="00F73FC0">
        <w:trPr>
          <w:trHeight w:val="346"/>
          <w:tblHeader/>
        </w:trPr>
        <w:tc>
          <w:tcPr>
            <w:tcW w:w="2541" w:type="dxa"/>
            <w:vMerge/>
            <w:shd w:val="clear" w:color="auto" w:fill="D9D9D9" w:themeFill="background1" w:themeFillShade="D9"/>
          </w:tcPr>
          <w:p w14:paraId="6A7655A0" w14:textId="77777777" w:rsidR="004F1792" w:rsidRPr="005516CD" w:rsidRDefault="004F1792" w:rsidP="00826848">
            <w:pPr>
              <w:jc w:val="center"/>
              <w:rPr>
                <w:rFonts w:asciiTheme="majorHAnsi" w:hAnsiTheme="majorHAnsi" w:cstheme="majorHAnsi"/>
                <w:b/>
                <w:sz w:val="20"/>
                <w:szCs w:val="20"/>
              </w:rPr>
            </w:pPr>
          </w:p>
        </w:tc>
        <w:tc>
          <w:tcPr>
            <w:tcW w:w="1140" w:type="dxa"/>
            <w:shd w:val="clear" w:color="auto" w:fill="D9D9D9" w:themeFill="background1" w:themeFillShade="D9"/>
          </w:tcPr>
          <w:p w14:paraId="58BFDD59" w14:textId="77777777" w:rsidR="004F1792" w:rsidRPr="005516CD" w:rsidRDefault="004F1792" w:rsidP="00826848">
            <w:pPr>
              <w:ind w:left="-29"/>
              <w:jc w:val="center"/>
              <w:rPr>
                <w:rFonts w:asciiTheme="majorHAnsi" w:hAnsiTheme="majorHAnsi" w:cstheme="majorHAnsi"/>
                <w:b/>
                <w:sz w:val="20"/>
                <w:szCs w:val="20"/>
              </w:rPr>
            </w:pPr>
            <w:r w:rsidRPr="005516CD">
              <w:rPr>
                <w:rFonts w:asciiTheme="majorHAnsi" w:hAnsiTheme="majorHAnsi" w:cstheme="majorHAnsi"/>
                <w:b/>
                <w:sz w:val="20"/>
                <w:szCs w:val="20"/>
              </w:rPr>
              <w:t>Relative priority</w:t>
            </w:r>
            <w:r w:rsidR="007720FC" w:rsidRPr="005516CD">
              <w:rPr>
                <w:rFonts w:asciiTheme="majorHAnsi" w:hAnsiTheme="majorHAnsi" w:cstheme="majorHAnsi"/>
                <w:b/>
                <w:sz w:val="20"/>
                <w:szCs w:val="20"/>
              </w:rPr>
              <w:t xml:space="preserve"> (% of total)</w:t>
            </w:r>
          </w:p>
        </w:tc>
        <w:tc>
          <w:tcPr>
            <w:tcW w:w="430" w:type="dxa"/>
            <w:shd w:val="clear" w:color="auto" w:fill="D9D9D9" w:themeFill="background1" w:themeFillShade="D9"/>
          </w:tcPr>
          <w:p w14:paraId="539B93B2" w14:textId="77777777" w:rsidR="004F1792" w:rsidRPr="005516CD" w:rsidRDefault="004F1792" w:rsidP="007411B4">
            <w:pPr>
              <w:ind w:left="-112" w:right="-166"/>
              <w:jc w:val="center"/>
              <w:rPr>
                <w:rFonts w:asciiTheme="majorHAnsi" w:hAnsiTheme="majorHAnsi" w:cstheme="majorHAnsi"/>
                <w:b/>
                <w:sz w:val="20"/>
                <w:szCs w:val="20"/>
              </w:rPr>
            </w:pPr>
            <w:r w:rsidRPr="005516CD">
              <w:rPr>
                <w:rFonts w:asciiTheme="majorHAnsi" w:hAnsiTheme="majorHAnsi" w:cstheme="majorHAnsi"/>
                <w:b/>
                <w:sz w:val="20"/>
                <w:szCs w:val="20"/>
              </w:rPr>
              <w:t>+/-</w:t>
            </w:r>
          </w:p>
        </w:tc>
        <w:tc>
          <w:tcPr>
            <w:tcW w:w="1271" w:type="dxa"/>
            <w:shd w:val="clear" w:color="auto" w:fill="D9D9D9" w:themeFill="background1" w:themeFillShade="D9"/>
          </w:tcPr>
          <w:p w14:paraId="127DF0E1" w14:textId="77777777" w:rsidR="004F1792" w:rsidRPr="005516CD" w:rsidRDefault="004F1792" w:rsidP="00826848">
            <w:pPr>
              <w:jc w:val="center"/>
              <w:rPr>
                <w:rFonts w:asciiTheme="majorHAnsi" w:hAnsiTheme="majorHAnsi" w:cstheme="majorHAnsi"/>
                <w:b/>
                <w:sz w:val="20"/>
                <w:szCs w:val="20"/>
              </w:rPr>
            </w:pPr>
            <w:r w:rsidRPr="005516CD">
              <w:rPr>
                <w:rFonts w:asciiTheme="majorHAnsi" w:hAnsiTheme="majorHAnsi" w:cstheme="majorHAnsi"/>
                <w:b/>
                <w:sz w:val="20"/>
                <w:szCs w:val="20"/>
              </w:rPr>
              <w:t>Relative priority</w:t>
            </w:r>
            <w:r w:rsidR="007411B4" w:rsidRPr="005516CD">
              <w:rPr>
                <w:rFonts w:asciiTheme="majorHAnsi" w:hAnsiTheme="majorHAnsi" w:cstheme="majorHAnsi"/>
                <w:b/>
                <w:sz w:val="20"/>
                <w:szCs w:val="20"/>
              </w:rPr>
              <w:t xml:space="preserve"> (% of total)</w:t>
            </w:r>
          </w:p>
        </w:tc>
        <w:tc>
          <w:tcPr>
            <w:tcW w:w="428" w:type="dxa"/>
            <w:shd w:val="clear" w:color="auto" w:fill="D9D9D9" w:themeFill="background1" w:themeFillShade="D9"/>
          </w:tcPr>
          <w:p w14:paraId="048E99B8" w14:textId="77777777" w:rsidR="004F1792" w:rsidRPr="005516CD" w:rsidRDefault="004F1792" w:rsidP="007411B4">
            <w:pPr>
              <w:ind w:left="-112" w:right="-166"/>
              <w:jc w:val="center"/>
              <w:rPr>
                <w:rFonts w:asciiTheme="majorHAnsi" w:hAnsiTheme="majorHAnsi" w:cstheme="majorHAnsi"/>
                <w:b/>
                <w:sz w:val="20"/>
                <w:szCs w:val="20"/>
              </w:rPr>
            </w:pPr>
            <w:r w:rsidRPr="005516CD">
              <w:rPr>
                <w:rFonts w:asciiTheme="majorHAnsi" w:hAnsiTheme="majorHAnsi" w:cstheme="majorHAnsi"/>
                <w:b/>
                <w:sz w:val="20"/>
                <w:szCs w:val="20"/>
              </w:rPr>
              <w:t>+/-</w:t>
            </w:r>
          </w:p>
        </w:tc>
        <w:tc>
          <w:tcPr>
            <w:tcW w:w="1273" w:type="dxa"/>
            <w:shd w:val="clear" w:color="auto" w:fill="D9D9D9" w:themeFill="background1" w:themeFillShade="D9"/>
          </w:tcPr>
          <w:p w14:paraId="6DABE13D" w14:textId="77777777" w:rsidR="004F1792" w:rsidRPr="005516CD" w:rsidRDefault="004F1792" w:rsidP="00826848">
            <w:pPr>
              <w:jc w:val="center"/>
              <w:rPr>
                <w:rFonts w:asciiTheme="majorHAnsi" w:hAnsiTheme="majorHAnsi" w:cstheme="majorHAnsi"/>
                <w:b/>
                <w:sz w:val="20"/>
                <w:szCs w:val="20"/>
              </w:rPr>
            </w:pPr>
            <w:r w:rsidRPr="005516CD">
              <w:rPr>
                <w:rFonts w:asciiTheme="majorHAnsi" w:hAnsiTheme="majorHAnsi" w:cstheme="majorHAnsi"/>
                <w:b/>
                <w:sz w:val="20"/>
                <w:szCs w:val="20"/>
              </w:rPr>
              <w:t>Relative priority</w:t>
            </w:r>
            <w:r w:rsidR="007411B4" w:rsidRPr="005516CD">
              <w:rPr>
                <w:rFonts w:asciiTheme="majorHAnsi" w:hAnsiTheme="majorHAnsi" w:cstheme="majorHAnsi"/>
                <w:b/>
                <w:sz w:val="20"/>
                <w:szCs w:val="20"/>
              </w:rPr>
              <w:t xml:space="preserve"> (% of total)</w:t>
            </w:r>
          </w:p>
        </w:tc>
        <w:tc>
          <w:tcPr>
            <w:tcW w:w="381" w:type="dxa"/>
            <w:shd w:val="clear" w:color="auto" w:fill="D9D9D9" w:themeFill="background1" w:themeFillShade="D9"/>
          </w:tcPr>
          <w:p w14:paraId="75ECC03E" w14:textId="77777777" w:rsidR="004F1792" w:rsidRPr="005516CD" w:rsidRDefault="004F1792" w:rsidP="007411B4">
            <w:pPr>
              <w:ind w:left="-112" w:right="-166"/>
              <w:jc w:val="center"/>
              <w:rPr>
                <w:rFonts w:asciiTheme="majorHAnsi" w:hAnsiTheme="majorHAnsi" w:cstheme="majorHAnsi"/>
                <w:b/>
                <w:sz w:val="20"/>
                <w:szCs w:val="20"/>
              </w:rPr>
            </w:pPr>
            <w:r w:rsidRPr="005516CD">
              <w:rPr>
                <w:rFonts w:asciiTheme="majorHAnsi" w:hAnsiTheme="majorHAnsi" w:cstheme="majorHAnsi"/>
                <w:b/>
                <w:sz w:val="20"/>
                <w:szCs w:val="20"/>
              </w:rPr>
              <w:t>+/-</w:t>
            </w:r>
          </w:p>
        </w:tc>
        <w:tc>
          <w:tcPr>
            <w:tcW w:w="1178" w:type="dxa"/>
            <w:shd w:val="clear" w:color="auto" w:fill="D9D9D9" w:themeFill="background1" w:themeFillShade="D9"/>
          </w:tcPr>
          <w:p w14:paraId="1697F7B2" w14:textId="77777777" w:rsidR="007411B4" w:rsidRPr="005516CD" w:rsidRDefault="004F1792" w:rsidP="00826848">
            <w:pPr>
              <w:jc w:val="center"/>
              <w:rPr>
                <w:rFonts w:asciiTheme="majorHAnsi" w:hAnsiTheme="majorHAnsi" w:cstheme="majorHAnsi"/>
                <w:b/>
                <w:sz w:val="20"/>
                <w:szCs w:val="20"/>
              </w:rPr>
            </w:pPr>
            <w:r w:rsidRPr="005516CD">
              <w:rPr>
                <w:rFonts w:asciiTheme="majorHAnsi" w:hAnsiTheme="majorHAnsi" w:cstheme="majorHAnsi"/>
                <w:b/>
                <w:sz w:val="20"/>
                <w:szCs w:val="20"/>
              </w:rPr>
              <w:t>Relative priority</w:t>
            </w:r>
          </w:p>
          <w:p w14:paraId="5F06342A" w14:textId="77777777" w:rsidR="004F1792" w:rsidRPr="005516CD" w:rsidRDefault="007411B4" w:rsidP="00826848">
            <w:pPr>
              <w:jc w:val="center"/>
              <w:rPr>
                <w:rFonts w:asciiTheme="majorHAnsi" w:hAnsiTheme="majorHAnsi" w:cstheme="majorHAnsi"/>
                <w:b/>
                <w:sz w:val="20"/>
                <w:szCs w:val="20"/>
              </w:rPr>
            </w:pPr>
            <w:r w:rsidRPr="005516CD">
              <w:rPr>
                <w:rFonts w:asciiTheme="majorHAnsi" w:hAnsiTheme="majorHAnsi" w:cstheme="majorHAnsi"/>
                <w:b/>
                <w:sz w:val="20"/>
                <w:szCs w:val="20"/>
              </w:rPr>
              <w:t>(% of total)</w:t>
            </w:r>
          </w:p>
        </w:tc>
        <w:tc>
          <w:tcPr>
            <w:tcW w:w="368" w:type="dxa"/>
            <w:shd w:val="clear" w:color="auto" w:fill="D9D9D9" w:themeFill="background1" w:themeFillShade="D9"/>
          </w:tcPr>
          <w:p w14:paraId="0C0C1A8F" w14:textId="77777777" w:rsidR="004F1792" w:rsidRPr="005516CD" w:rsidRDefault="004F1792" w:rsidP="007411B4">
            <w:pPr>
              <w:ind w:left="-112" w:right="-166"/>
              <w:jc w:val="center"/>
              <w:rPr>
                <w:rFonts w:asciiTheme="majorHAnsi" w:hAnsiTheme="majorHAnsi" w:cstheme="majorHAnsi"/>
                <w:b/>
                <w:sz w:val="20"/>
                <w:szCs w:val="20"/>
              </w:rPr>
            </w:pPr>
            <w:r w:rsidRPr="005516CD">
              <w:rPr>
                <w:rFonts w:asciiTheme="majorHAnsi" w:hAnsiTheme="majorHAnsi" w:cstheme="majorHAnsi"/>
                <w:b/>
                <w:sz w:val="20"/>
                <w:szCs w:val="20"/>
              </w:rPr>
              <w:t>+/-</w:t>
            </w:r>
          </w:p>
        </w:tc>
      </w:tr>
      <w:tr w:rsidR="00DB1B6B" w:rsidRPr="005516CD" w14:paraId="305EB1E4" w14:textId="77777777" w:rsidTr="007411B4">
        <w:tc>
          <w:tcPr>
            <w:tcW w:w="2541" w:type="dxa"/>
          </w:tcPr>
          <w:p w14:paraId="52BC8707" w14:textId="77777777" w:rsidR="00DB1B6B" w:rsidRPr="005516CD" w:rsidRDefault="002545DC" w:rsidP="002545DC">
            <w:pPr>
              <w:tabs>
                <w:tab w:val="left" w:pos="426"/>
              </w:tabs>
              <w:ind w:right="96"/>
              <w:rPr>
                <w:rFonts w:asciiTheme="majorHAnsi" w:hAnsiTheme="majorHAnsi" w:cstheme="majorHAnsi"/>
                <w:sz w:val="20"/>
                <w:szCs w:val="20"/>
              </w:rPr>
            </w:pPr>
            <w:proofErr w:type="spellStart"/>
            <w:r w:rsidRPr="005516CD">
              <w:rPr>
                <w:rFonts w:asciiTheme="majorHAnsi" w:hAnsiTheme="majorHAnsi" w:cstheme="majorHAnsi"/>
                <w:sz w:val="20"/>
                <w:szCs w:val="20"/>
                <w:lang w:val="fr-FR"/>
              </w:rPr>
              <w:t>Household</w:t>
            </w:r>
            <w:proofErr w:type="spellEnd"/>
            <w:r w:rsidRPr="005516CD">
              <w:rPr>
                <w:rFonts w:asciiTheme="majorHAnsi" w:hAnsiTheme="majorHAnsi" w:cstheme="majorHAnsi"/>
                <w:sz w:val="20"/>
                <w:szCs w:val="20"/>
                <w:lang w:val="fr-FR"/>
              </w:rPr>
              <w:t xml:space="preserve"> </w:t>
            </w:r>
            <w:proofErr w:type="spellStart"/>
            <w:r w:rsidRPr="005516CD">
              <w:rPr>
                <w:rFonts w:asciiTheme="majorHAnsi" w:hAnsiTheme="majorHAnsi" w:cstheme="majorHAnsi"/>
                <w:sz w:val="20"/>
                <w:szCs w:val="20"/>
                <w:lang w:val="fr-FR"/>
              </w:rPr>
              <w:t>food</w:t>
            </w:r>
            <w:proofErr w:type="spellEnd"/>
            <w:r w:rsidRPr="005516CD">
              <w:rPr>
                <w:rFonts w:asciiTheme="majorHAnsi" w:hAnsiTheme="majorHAnsi" w:cstheme="majorHAnsi"/>
                <w:sz w:val="20"/>
                <w:szCs w:val="20"/>
                <w:lang w:val="fr-FR"/>
              </w:rPr>
              <w:t xml:space="preserve"> </w:t>
            </w:r>
            <w:proofErr w:type="spellStart"/>
            <w:r w:rsidRPr="005516CD">
              <w:rPr>
                <w:rFonts w:asciiTheme="majorHAnsi" w:hAnsiTheme="majorHAnsi" w:cstheme="majorHAnsi"/>
                <w:sz w:val="20"/>
                <w:szCs w:val="20"/>
                <w:lang w:val="fr-FR"/>
              </w:rPr>
              <w:t>needs</w:t>
            </w:r>
            <w:proofErr w:type="spellEnd"/>
          </w:p>
        </w:tc>
        <w:tc>
          <w:tcPr>
            <w:tcW w:w="1140" w:type="dxa"/>
          </w:tcPr>
          <w:p w14:paraId="2594F056"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25</w:t>
            </w:r>
          </w:p>
        </w:tc>
        <w:tc>
          <w:tcPr>
            <w:tcW w:w="430" w:type="dxa"/>
          </w:tcPr>
          <w:p w14:paraId="5DD4D015"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271" w:type="dxa"/>
          </w:tcPr>
          <w:p w14:paraId="483FA25A"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56</w:t>
            </w:r>
          </w:p>
        </w:tc>
        <w:tc>
          <w:tcPr>
            <w:tcW w:w="428" w:type="dxa"/>
          </w:tcPr>
          <w:p w14:paraId="4C441FAD"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273" w:type="dxa"/>
          </w:tcPr>
          <w:p w14:paraId="6C80068A"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85</w:t>
            </w:r>
          </w:p>
        </w:tc>
        <w:tc>
          <w:tcPr>
            <w:tcW w:w="381" w:type="dxa"/>
          </w:tcPr>
          <w:p w14:paraId="0687BC0B"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178" w:type="dxa"/>
          </w:tcPr>
          <w:p w14:paraId="2045B8A8"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95</w:t>
            </w:r>
          </w:p>
        </w:tc>
        <w:tc>
          <w:tcPr>
            <w:tcW w:w="368" w:type="dxa"/>
          </w:tcPr>
          <w:p w14:paraId="2DC9C386"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r>
      <w:tr w:rsidR="00DB1B6B" w:rsidRPr="005516CD" w14:paraId="2CD0B8B0" w14:textId="77777777" w:rsidTr="007411B4">
        <w:tc>
          <w:tcPr>
            <w:tcW w:w="2541" w:type="dxa"/>
          </w:tcPr>
          <w:p w14:paraId="3BDB32DF" w14:textId="77777777" w:rsidR="00DB1B6B" w:rsidRPr="005516CD" w:rsidRDefault="00DB1B6B" w:rsidP="002545DC">
            <w:pPr>
              <w:tabs>
                <w:tab w:val="left" w:pos="426"/>
              </w:tabs>
              <w:ind w:right="96"/>
              <w:rPr>
                <w:rFonts w:asciiTheme="majorHAnsi" w:hAnsiTheme="majorHAnsi" w:cstheme="majorHAnsi"/>
                <w:sz w:val="20"/>
                <w:szCs w:val="20"/>
              </w:rPr>
            </w:pPr>
            <w:proofErr w:type="spellStart"/>
            <w:r w:rsidRPr="005516CD">
              <w:rPr>
                <w:rFonts w:asciiTheme="majorHAnsi" w:hAnsiTheme="majorHAnsi" w:cstheme="majorHAnsi"/>
                <w:sz w:val="20"/>
                <w:szCs w:val="20"/>
                <w:lang w:val="fr-FR"/>
              </w:rPr>
              <w:t>Re</w:t>
            </w:r>
            <w:r w:rsidR="002545DC" w:rsidRPr="005516CD">
              <w:rPr>
                <w:rFonts w:asciiTheme="majorHAnsi" w:hAnsiTheme="majorHAnsi" w:cstheme="majorHAnsi"/>
                <w:sz w:val="20"/>
                <w:szCs w:val="20"/>
                <w:lang w:val="fr-FR"/>
              </w:rPr>
              <w:t>newal</w:t>
            </w:r>
            <w:proofErr w:type="spellEnd"/>
            <w:r w:rsidR="002545DC" w:rsidRPr="005516CD">
              <w:rPr>
                <w:rFonts w:asciiTheme="majorHAnsi" w:hAnsiTheme="majorHAnsi" w:cstheme="majorHAnsi"/>
                <w:sz w:val="20"/>
                <w:szCs w:val="20"/>
                <w:lang w:val="fr-FR"/>
              </w:rPr>
              <w:t xml:space="preserve"> of the holding</w:t>
            </w:r>
          </w:p>
        </w:tc>
        <w:tc>
          <w:tcPr>
            <w:tcW w:w="1140" w:type="dxa"/>
          </w:tcPr>
          <w:p w14:paraId="633B73F2"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13</w:t>
            </w:r>
          </w:p>
        </w:tc>
        <w:tc>
          <w:tcPr>
            <w:tcW w:w="430" w:type="dxa"/>
          </w:tcPr>
          <w:p w14:paraId="7ADBEA12"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271" w:type="dxa"/>
          </w:tcPr>
          <w:p w14:paraId="61AFA89A"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7</w:t>
            </w:r>
          </w:p>
        </w:tc>
        <w:tc>
          <w:tcPr>
            <w:tcW w:w="428" w:type="dxa"/>
          </w:tcPr>
          <w:p w14:paraId="2AE403B9"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273" w:type="dxa"/>
          </w:tcPr>
          <w:p w14:paraId="086F99A4"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3</w:t>
            </w:r>
          </w:p>
        </w:tc>
        <w:tc>
          <w:tcPr>
            <w:tcW w:w="381" w:type="dxa"/>
          </w:tcPr>
          <w:p w14:paraId="3C65DC5B"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178" w:type="dxa"/>
          </w:tcPr>
          <w:p w14:paraId="2AC3563E"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1</w:t>
            </w:r>
          </w:p>
        </w:tc>
        <w:tc>
          <w:tcPr>
            <w:tcW w:w="368" w:type="dxa"/>
          </w:tcPr>
          <w:p w14:paraId="22D0516E"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r>
      <w:tr w:rsidR="00DB1B6B" w:rsidRPr="005516CD" w14:paraId="76687891" w14:textId="77777777" w:rsidTr="007411B4">
        <w:tc>
          <w:tcPr>
            <w:tcW w:w="2541" w:type="dxa"/>
          </w:tcPr>
          <w:p w14:paraId="5E49F59A" w14:textId="77777777" w:rsidR="00DB1B6B" w:rsidRPr="005516CD" w:rsidRDefault="00DB1B6B" w:rsidP="002545DC">
            <w:pPr>
              <w:tabs>
                <w:tab w:val="left" w:pos="426"/>
              </w:tabs>
              <w:ind w:right="96"/>
              <w:rPr>
                <w:rFonts w:asciiTheme="majorHAnsi" w:hAnsiTheme="majorHAnsi" w:cstheme="majorHAnsi"/>
                <w:sz w:val="20"/>
                <w:szCs w:val="20"/>
              </w:rPr>
            </w:pPr>
            <w:r w:rsidRPr="005516CD">
              <w:rPr>
                <w:rFonts w:asciiTheme="majorHAnsi" w:hAnsiTheme="majorHAnsi" w:cstheme="majorHAnsi"/>
                <w:sz w:val="20"/>
                <w:szCs w:val="20"/>
                <w:lang w:val="fr-FR"/>
              </w:rPr>
              <w:t xml:space="preserve">Extension </w:t>
            </w:r>
            <w:r w:rsidR="002545DC" w:rsidRPr="005516CD">
              <w:rPr>
                <w:rFonts w:asciiTheme="majorHAnsi" w:hAnsiTheme="majorHAnsi" w:cstheme="majorHAnsi"/>
                <w:sz w:val="20"/>
                <w:szCs w:val="20"/>
                <w:lang w:val="fr-FR"/>
              </w:rPr>
              <w:t>of the holding</w:t>
            </w:r>
          </w:p>
        </w:tc>
        <w:tc>
          <w:tcPr>
            <w:tcW w:w="1140" w:type="dxa"/>
          </w:tcPr>
          <w:p w14:paraId="56600197"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10</w:t>
            </w:r>
          </w:p>
        </w:tc>
        <w:tc>
          <w:tcPr>
            <w:tcW w:w="430" w:type="dxa"/>
          </w:tcPr>
          <w:p w14:paraId="3C29E63B"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+3</w:t>
            </w:r>
          </w:p>
        </w:tc>
        <w:tc>
          <w:tcPr>
            <w:tcW w:w="1271" w:type="dxa"/>
          </w:tcPr>
          <w:p w14:paraId="2E724040"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5</w:t>
            </w:r>
          </w:p>
        </w:tc>
        <w:tc>
          <w:tcPr>
            <w:tcW w:w="428" w:type="dxa"/>
          </w:tcPr>
          <w:p w14:paraId="7017906B"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273" w:type="dxa"/>
          </w:tcPr>
          <w:p w14:paraId="530C496A"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2</w:t>
            </w:r>
          </w:p>
        </w:tc>
        <w:tc>
          <w:tcPr>
            <w:tcW w:w="381" w:type="dxa"/>
          </w:tcPr>
          <w:p w14:paraId="19693AC1"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178" w:type="dxa"/>
          </w:tcPr>
          <w:p w14:paraId="74FFD062"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0</w:t>
            </w:r>
          </w:p>
        </w:tc>
        <w:tc>
          <w:tcPr>
            <w:tcW w:w="368" w:type="dxa"/>
          </w:tcPr>
          <w:p w14:paraId="14EA2A61"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r>
      <w:tr w:rsidR="00DB1B6B" w:rsidRPr="005516CD" w14:paraId="1CFF5657" w14:textId="77777777" w:rsidTr="007411B4">
        <w:tc>
          <w:tcPr>
            <w:tcW w:w="2541" w:type="dxa"/>
          </w:tcPr>
          <w:p w14:paraId="20E64EC2" w14:textId="77777777" w:rsidR="00DB1B6B" w:rsidRPr="005516CD" w:rsidRDefault="002545DC" w:rsidP="002545DC">
            <w:pPr>
              <w:tabs>
                <w:tab w:val="left" w:pos="426"/>
              </w:tabs>
              <w:ind w:right="96"/>
              <w:rPr>
                <w:rFonts w:asciiTheme="majorHAnsi" w:hAnsiTheme="majorHAnsi" w:cstheme="majorHAnsi"/>
                <w:sz w:val="20"/>
                <w:szCs w:val="20"/>
              </w:rPr>
            </w:pPr>
            <w:r w:rsidRPr="005516CD">
              <w:rPr>
                <w:rFonts w:asciiTheme="majorHAnsi" w:hAnsiTheme="majorHAnsi" w:cstheme="majorHAnsi"/>
                <w:sz w:val="20"/>
                <w:szCs w:val="20"/>
              </w:rPr>
              <w:t>Needs for management and renewal</w:t>
            </w:r>
          </w:p>
        </w:tc>
        <w:tc>
          <w:tcPr>
            <w:tcW w:w="1140" w:type="dxa"/>
          </w:tcPr>
          <w:p w14:paraId="3E683A86"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4</w:t>
            </w:r>
          </w:p>
        </w:tc>
        <w:tc>
          <w:tcPr>
            <w:tcW w:w="430" w:type="dxa"/>
          </w:tcPr>
          <w:p w14:paraId="3F99FC8C"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271" w:type="dxa"/>
          </w:tcPr>
          <w:p w14:paraId="117A66D8"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2</w:t>
            </w:r>
          </w:p>
        </w:tc>
        <w:tc>
          <w:tcPr>
            <w:tcW w:w="428" w:type="dxa"/>
          </w:tcPr>
          <w:p w14:paraId="1FC83A19"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273" w:type="dxa"/>
          </w:tcPr>
          <w:p w14:paraId="5F698B73"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1</w:t>
            </w:r>
          </w:p>
        </w:tc>
        <w:tc>
          <w:tcPr>
            <w:tcW w:w="381" w:type="dxa"/>
          </w:tcPr>
          <w:p w14:paraId="6F17A7B8"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178" w:type="dxa"/>
          </w:tcPr>
          <w:p w14:paraId="798A4217"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0</w:t>
            </w:r>
          </w:p>
        </w:tc>
        <w:tc>
          <w:tcPr>
            <w:tcW w:w="368" w:type="dxa"/>
          </w:tcPr>
          <w:p w14:paraId="48165D1F"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r>
      <w:tr w:rsidR="00DB1B6B" w:rsidRPr="005516CD" w14:paraId="5F5BB4F1" w14:textId="77777777" w:rsidTr="007411B4">
        <w:tc>
          <w:tcPr>
            <w:tcW w:w="2541" w:type="dxa"/>
          </w:tcPr>
          <w:p w14:paraId="0AA0068C" w14:textId="77777777" w:rsidR="00DB1B6B" w:rsidRPr="005516CD" w:rsidRDefault="002545DC" w:rsidP="002545DC">
            <w:pPr>
              <w:tabs>
                <w:tab w:val="left" w:pos="426"/>
              </w:tabs>
              <w:ind w:right="96"/>
              <w:rPr>
                <w:rFonts w:asciiTheme="majorHAnsi" w:hAnsiTheme="majorHAnsi" w:cstheme="majorHAnsi"/>
                <w:sz w:val="20"/>
                <w:szCs w:val="20"/>
              </w:rPr>
            </w:pPr>
            <w:r w:rsidRPr="005516CD">
              <w:rPr>
                <w:rFonts w:asciiTheme="majorHAnsi" w:hAnsiTheme="majorHAnsi" w:cstheme="majorHAnsi"/>
                <w:sz w:val="20"/>
                <w:szCs w:val="20"/>
              </w:rPr>
              <w:t>Basic social needs (schooling, health, travel)</w:t>
            </w:r>
          </w:p>
        </w:tc>
        <w:tc>
          <w:tcPr>
            <w:tcW w:w="1140" w:type="dxa"/>
          </w:tcPr>
          <w:p w14:paraId="3827F284"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35</w:t>
            </w:r>
          </w:p>
        </w:tc>
        <w:tc>
          <w:tcPr>
            <w:tcW w:w="430" w:type="dxa"/>
          </w:tcPr>
          <w:p w14:paraId="6F8F7AA2"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271" w:type="dxa"/>
          </w:tcPr>
          <w:p w14:paraId="6E607A08"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25</w:t>
            </w:r>
          </w:p>
        </w:tc>
        <w:tc>
          <w:tcPr>
            <w:tcW w:w="428" w:type="dxa"/>
          </w:tcPr>
          <w:p w14:paraId="06367561"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273" w:type="dxa"/>
          </w:tcPr>
          <w:p w14:paraId="7241B013"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7</w:t>
            </w:r>
          </w:p>
        </w:tc>
        <w:tc>
          <w:tcPr>
            <w:tcW w:w="381" w:type="dxa"/>
          </w:tcPr>
          <w:p w14:paraId="5D0CBEB0"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178" w:type="dxa"/>
          </w:tcPr>
          <w:p w14:paraId="4CFC5475" w14:textId="77777777" w:rsidR="00DB1B6B" w:rsidRPr="005516CD" w:rsidRDefault="00DB1B6B" w:rsidP="00DB1B6B">
            <w:pPr>
              <w:jc w:val="center"/>
              <w:rPr>
                <w:rFonts w:asciiTheme="majorHAnsi" w:hAnsiTheme="majorHAnsi" w:cstheme="majorHAnsi"/>
                <w:sz w:val="20"/>
                <w:szCs w:val="20"/>
              </w:rPr>
            </w:pPr>
            <w:r w:rsidRPr="005516CD">
              <w:rPr>
                <w:rFonts w:asciiTheme="majorHAnsi" w:hAnsiTheme="majorHAnsi" w:cstheme="majorHAnsi"/>
                <w:sz w:val="20"/>
                <w:szCs w:val="20"/>
              </w:rPr>
              <w:t>4</w:t>
            </w:r>
          </w:p>
        </w:tc>
        <w:tc>
          <w:tcPr>
            <w:tcW w:w="368" w:type="dxa"/>
          </w:tcPr>
          <w:p w14:paraId="0740E346"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r>
      <w:tr w:rsidR="00DB1B6B" w:rsidRPr="005516CD" w14:paraId="2842E010" w14:textId="77777777" w:rsidTr="007411B4">
        <w:tc>
          <w:tcPr>
            <w:tcW w:w="2541" w:type="dxa"/>
          </w:tcPr>
          <w:p w14:paraId="5C396A73" w14:textId="77777777" w:rsidR="00DB1B6B" w:rsidRPr="005516CD" w:rsidRDefault="002545DC" w:rsidP="002545DC">
            <w:pPr>
              <w:tabs>
                <w:tab w:val="left" w:pos="426"/>
              </w:tabs>
              <w:ind w:right="96"/>
              <w:rPr>
                <w:rFonts w:asciiTheme="majorHAnsi" w:hAnsiTheme="majorHAnsi" w:cstheme="majorHAnsi"/>
                <w:sz w:val="20"/>
                <w:szCs w:val="20"/>
              </w:rPr>
            </w:pPr>
            <w:proofErr w:type="spellStart"/>
            <w:r w:rsidRPr="005516CD">
              <w:rPr>
                <w:rFonts w:asciiTheme="majorHAnsi" w:hAnsiTheme="majorHAnsi" w:cstheme="majorHAnsi"/>
                <w:sz w:val="20"/>
                <w:szCs w:val="20"/>
                <w:lang w:val="fr-FR"/>
              </w:rPr>
              <w:t>Biodiversity</w:t>
            </w:r>
            <w:proofErr w:type="spellEnd"/>
            <w:r w:rsidRPr="005516CD">
              <w:rPr>
                <w:rFonts w:asciiTheme="majorHAnsi" w:hAnsiTheme="majorHAnsi" w:cstheme="majorHAnsi"/>
                <w:sz w:val="20"/>
                <w:szCs w:val="20"/>
                <w:lang w:val="fr-FR"/>
              </w:rPr>
              <w:t xml:space="preserve"> (</w:t>
            </w:r>
            <w:proofErr w:type="spellStart"/>
            <w:r w:rsidRPr="005516CD">
              <w:rPr>
                <w:rFonts w:asciiTheme="majorHAnsi" w:hAnsiTheme="majorHAnsi" w:cstheme="majorHAnsi"/>
                <w:sz w:val="20"/>
                <w:szCs w:val="20"/>
                <w:lang w:val="fr-FR"/>
              </w:rPr>
              <w:t>technical</w:t>
            </w:r>
            <w:proofErr w:type="spellEnd"/>
            <w:r w:rsidRPr="005516CD">
              <w:rPr>
                <w:rFonts w:asciiTheme="majorHAnsi" w:hAnsiTheme="majorHAnsi" w:cstheme="majorHAnsi"/>
                <w:sz w:val="20"/>
                <w:szCs w:val="20"/>
                <w:lang w:val="fr-FR"/>
              </w:rPr>
              <w:t xml:space="preserve"> innovation, marketing etc.)</w:t>
            </w:r>
          </w:p>
        </w:tc>
        <w:tc>
          <w:tcPr>
            <w:tcW w:w="1140" w:type="dxa"/>
          </w:tcPr>
          <w:p w14:paraId="21B5A302" w14:textId="77777777" w:rsidR="00DB1B6B" w:rsidRPr="005516CD" w:rsidRDefault="002545DC" w:rsidP="00DB1B6B">
            <w:pPr>
              <w:jc w:val="center"/>
              <w:rPr>
                <w:rFonts w:asciiTheme="majorHAnsi" w:hAnsiTheme="majorHAnsi" w:cstheme="majorHAnsi"/>
                <w:sz w:val="20"/>
                <w:szCs w:val="20"/>
              </w:rPr>
            </w:pPr>
            <w:r w:rsidRPr="005516CD">
              <w:rPr>
                <w:rFonts w:asciiTheme="majorHAnsi" w:hAnsiTheme="majorHAnsi" w:cstheme="majorHAnsi"/>
                <w:sz w:val="20"/>
                <w:szCs w:val="20"/>
              </w:rPr>
              <w:t>5</w:t>
            </w:r>
          </w:p>
        </w:tc>
        <w:tc>
          <w:tcPr>
            <w:tcW w:w="430" w:type="dxa"/>
          </w:tcPr>
          <w:p w14:paraId="503B4669" w14:textId="77777777" w:rsidR="00DB1B6B" w:rsidRPr="005516CD" w:rsidRDefault="005C3DDD" w:rsidP="00DB1B6B">
            <w:pPr>
              <w:jc w:val="center"/>
              <w:rPr>
                <w:rFonts w:asciiTheme="majorHAnsi" w:hAnsiTheme="majorHAnsi" w:cstheme="majorHAnsi"/>
                <w:b/>
                <w:sz w:val="20"/>
                <w:szCs w:val="20"/>
              </w:rPr>
            </w:pPr>
            <w:r w:rsidRPr="005516CD">
              <w:rPr>
                <w:rFonts w:asciiTheme="majorHAnsi" w:hAnsiTheme="majorHAnsi" w:cstheme="majorHAnsi"/>
                <w:b/>
                <w:sz w:val="20"/>
                <w:szCs w:val="20"/>
              </w:rPr>
              <w:t>+3</w:t>
            </w:r>
          </w:p>
        </w:tc>
        <w:tc>
          <w:tcPr>
            <w:tcW w:w="1271" w:type="dxa"/>
          </w:tcPr>
          <w:p w14:paraId="0D091D50" w14:textId="77777777" w:rsidR="00DB1B6B" w:rsidRPr="005516CD" w:rsidRDefault="002545DC" w:rsidP="00DB1B6B">
            <w:pPr>
              <w:jc w:val="center"/>
              <w:rPr>
                <w:rFonts w:asciiTheme="majorHAnsi" w:hAnsiTheme="majorHAnsi" w:cstheme="majorHAnsi"/>
                <w:sz w:val="20"/>
                <w:szCs w:val="20"/>
              </w:rPr>
            </w:pPr>
            <w:r w:rsidRPr="005516CD">
              <w:rPr>
                <w:rFonts w:asciiTheme="majorHAnsi" w:hAnsiTheme="majorHAnsi" w:cstheme="majorHAnsi"/>
                <w:sz w:val="20"/>
                <w:szCs w:val="20"/>
              </w:rPr>
              <w:t>3</w:t>
            </w:r>
          </w:p>
        </w:tc>
        <w:tc>
          <w:tcPr>
            <w:tcW w:w="428" w:type="dxa"/>
          </w:tcPr>
          <w:p w14:paraId="31B64082" w14:textId="77777777" w:rsidR="00DB1B6B" w:rsidRPr="005516CD" w:rsidRDefault="00EF4109" w:rsidP="00DB1B6B">
            <w:pPr>
              <w:jc w:val="center"/>
              <w:rPr>
                <w:rFonts w:asciiTheme="majorHAnsi" w:hAnsiTheme="majorHAnsi" w:cstheme="majorHAnsi"/>
                <w:b/>
                <w:sz w:val="20"/>
                <w:szCs w:val="20"/>
              </w:rPr>
            </w:pPr>
            <w:r w:rsidRPr="005516CD">
              <w:rPr>
                <w:rFonts w:asciiTheme="majorHAnsi" w:hAnsiTheme="majorHAnsi" w:cstheme="majorHAnsi"/>
                <w:b/>
                <w:sz w:val="20"/>
                <w:szCs w:val="20"/>
              </w:rPr>
              <w:t>+3</w:t>
            </w:r>
          </w:p>
        </w:tc>
        <w:tc>
          <w:tcPr>
            <w:tcW w:w="1273" w:type="dxa"/>
          </w:tcPr>
          <w:p w14:paraId="37D588C7" w14:textId="77777777" w:rsidR="00DB1B6B" w:rsidRPr="005516CD" w:rsidRDefault="002545DC" w:rsidP="00DB1B6B">
            <w:pPr>
              <w:jc w:val="center"/>
              <w:rPr>
                <w:rFonts w:asciiTheme="majorHAnsi" w:hAnsiTheme="majorHAnsi" w:cstheme="majorHAnsi"/>
                <w:sz w:val="20"/>
                <w:szCs w:val="20"/>
              </w:rPr>
            </w:pPr>
            <w:r w:rsidRPr="005516CD">
              <w:rPr>
                <w:rFonts w:asciiTheme="majorHAnsi" w:hAnsiTheme="majorHAnsi" w:cstheme="majorHAnsi"/>
                <w:sz w:val="20"/>
                <w:szCs w:val="20"/>
              </w:rPr>
              <w:t>0</w:t>
            </w:r>
          </w:p>
        </w:tc>
        <w:tc>
          <w:tcPr>
            <w:tcW w:w="381" w:type="dxa"/>
          </w:tcPr>
          <w:p w14:paraId="15ED140F"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178" w:type="dxa"/>
          </w:tcPr>
          <w:p w14:paraId="43274E27" w14:textId="77777777" w:rsidR="00DB1B6B" w:rsidRPr="005516CD" w:rsidRDefault="002545DC" w:rsidP="00DB1B6B">
            <w:pPr>
              <w:jc w:val="center"/>
              <w:rPr>
                <w:rFonts w:asciiTheme="majorHAnsi" w:hAnsiTheme="majorHAnsi" w:cstheme="majorHAnsi"/>
                <w:sz w:val="20"/>
                <w:szCs w:val="20"/>
              </w:rPr>
            </w:pPr>
            <w:r w:rsidRPr="005516CD">
              <w:rPr>
                <w:rFonts w:asciiTheme="majorHAnsi" w:hAnsiTheme="majorHAnsi" w:cstheme="majorHAnsi"/>
                <w:sz w:val="20"/>
                <w:szCs w:val="20"/>
              </w:rPr>
              <w:t>0</w:t>
            </w:r>
          </w:p>
        </w:tc>
        <w:tc>
          <w:tcPr>
            <w:tcW w:w="368" w:type="dxa"/>
          </w:tcPr>
          <w:p w14:paraId="55EE0BAD"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r>
      <w:tr w:rsidR="00DB1B6B" w:rsidRPr="005516CD" w14:paraId="79985F78" w14:textId="77777777" w:rsidTr="007411B4">
        <w:tc>
          <w:tcPr>
            <w:tcW w:w="2541" w:type="dxa"/>
          </w:tcPr>
          <w:p w14:paraId="289A9517" w14:textId="77777777" w:rsidR="00DB1B6B" w:rsidRPr="005516CD" w:rsidRDefault="002545DC" w:rsidP="002545DC">
            <w:pPr>
              <w:tabs>
                <w:tab w:val="left" w:pos="426"/>
              </w:tabs>
              <w:ind w:right="96"/>
              <w:rPr>
                <w:rFonts w:asciiTheme="majorHAnsi" w:hAnsiTheme="majorHAnsi" w:cstheme="majorHAnsi"/>
                <w:sz w:val="20"/>
                <w:szCs w:val="20"/>
              </w:rPr>
            </w:pPr>
            <w:r w:rsidRPr="005516CD">
              <w:rPr>
                <w:rFonts w:asciiTheme="majorHAnsi" w:hAnsiTheme="majorHAnsi" w:cstheme="majorHAnsi"/>
                <w:sz w:val="20"/>
                <w:szCs w:val="20"/>
              </w:rPr>
              <w:t>Other social needs (e.g. emergency reserve funds</w:t>
            </w:r>
            <w:r w:rsidR="00DB1B6B" w:rsidRPr="005516CD">
              <w:rPr>
                <w:rFonts w:asciiTheme="majorHAnsi" w:hAnsiTheme="majorHAnsi" w:cstheme="majorHAnsi"/>
                <w:sz w:val="20"/>
                <w:szCs w:val="20"/>
              </w:rPr>
              <w:t>)</w:t>
            </w:r>
          </w:p>
        </w:tc>
        <w:tc>
          <w:tcPr>
            <w:tcW w:w="1140" w:type="dxa"/>
          </w:tcPr>
          <w:p w14:paraId="4D564D93" w14:textId="77777777" w:rsidR="00DB1B6B" w:rsidRPr="005516CD" w:rsidRDefault="002545DC" w:rsidP="00DB1B6B">
            <w:pPr>
              <w:jc w:val="center"/>
              <w:rPr>
                <w:rFonts w:asciiTheme="majorHAnsi" w:hAnsiTheme="majorHAnsi" w:cstheme="majorHAnsi"/>
                <w:sz w:val="20"/>
                <w:szCs w:val="20"/>
              </w:rPr>
            </w:pPr>
            <w:r w:rsidRPr="005516CD">
              <w:rPr>
                <w:rFonts w:asciiTheme="majorHAnsi" w:hAnsiTheme="majorHAnsi" w:cstheme="majorHAnsi"/>
                <w:sz w:val="20"/>
                <w:szCs w:val="20"/>
              </w:rPr>
              <w:t>14</w:t>
            </w:r>
          </w:p>
        </w:tc>
        <w:tc>
          <w:tcPr>
            <w:tcW w:w="430" w:type="dxa"/>
          </w:tcPr>
          <w:p w14:paraId="02EADF6A"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-6</w:t>
            </w:r>
          </w:p>
        </w:tc>
        <w:tc>
          <w:tcPr>
            <w:tcW w:w="1271" w:type="dxa"/>
          </w:tcPr>
          <w:p w14:paraId="0789A547" w14:textId="77777777" w:rsidR="00DB1B6B" w:rsidRPr="005516CD" w:rsidRDefault="002545DC" w:rsidP="00DB1B6B">
            <w:pPr>
              <w:jc w:val="center"/>
              <w:rPr>
                <w:rFonts w:asciiTheme="majorHAnsi" w:hAnsiTheme="majorHAnsi" w:cstheme="majorHAnsi"/>
                <w:sz w:val="20"/>
                <w:szCs w:val="20"/>
              </w:rPr>
            </w:pPr>
            <w:r w:rsidRPr="005516CD">
              <w:rPr>
                <w:rFonts w:asciiTheme="majorHAnsi" w:hAnsiTheme="majorHAnsi" w:cstheme="majorHAnsi"/>
                <w:sz w:val="20"/>
                <w:szCs w:val="20"/>
              </w:rPr>
              <w:t>6</w:t>
            </w:r>
          </w:p>
        </w:tc>
        <w:tc>
          <w:tcPr>
            <w:tcW w:w="428" w:type="dxa"/>
          </w:tcPr>
          <w:p w14:paraId="46963803" w14:textId="77777777" w:rsidR="00DB1B6B" w:rsidRPr="005516CD" w:rsidRDefault="00EF4109" w:rsidP="00DB1B6B">
            <w:pPr>
              <w:jc w:val="center"/>
              <w:rPr>
                <w:rFonts w:asciiTheme="majorHAnsi" w:hAnsiTheme="majorHAnsi" w:cstheme="majorHAnsi"/>
                <w:sz w:val="20"/>
                <w:szCs w:val="20"/>
              </w:rPr>
            </w:pPr>
            <w:r w:rsidRPr="005516CD">
              <w:rPr>
                <w:rFonts w:asciiTheme="majorHAnsi" w:hAnsiTheme="majorHAnsi" w:cstheme="majorHAnsi"/>
                <w:sz w:val="20"/>
                <w:szCs w:val="20"/>
              </w:rPr>
              <w:t>-3</w:t>
            </w:r>
          </w:p>
        </w:tc>
        <w:tc>
          <w:tcPr>
            <w:tcW w:w="1273" w:type="dxa"/>
          </w:tcPr>
          <w:p w14:paraId="0BEFA3CD" w14:textId="77777777" w:rsidR="00DB1B6B" w:rsidRPr="005516CD" w:rsidRDefault="002545DC" w:rsidP="00DB1B6B">
            <w:pPr>
              <w:jc w:val="center"/>
              <w:rPr>
                <w:rFonts w:asciiTheme="majorHAnsi" w:hAnsiTheme="majorHAnsi" w:cstheme="majorHAnsi"/>
                <w:sz w:val="20"/>
                <w:szCs w:val="20"/>
              </w:rPr>
            </w:pPr>
            <w:r w:rsidRPr="005516CD">
              <w:rPr>
                <w:rFonts w:asciiTheme="majorHAnsi" w:hAnsiTheme="majorHAnsi" w:cstheme="majorHAnsi"/>
                <w:sz w:val="20"/>
                <w:szCs w:val="20"/>
              </w:rPr>
              <w:t>3</w:t>
            </w:r>
          </w:p>
        </w:tc>
        <w:tc>
          <w:tcPr>
            <w:tcW w:w="381" w:type="dxa"/>
          </w:tcPr>
          <w:p w14:paraId="036B9611"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c>
          <w:tcPr>
            <w:tcW w:w="1178" w:type="dxa"/>
          </w:tcPr>
          <w:p w14:paraId="5168AC31" w14:textId="77777777" w:rsidR="00DB1B6B" w:rsidRPr="005516CD" w:rsidRDefault="002545DC" w:rsidP="00DB1B6B">
            <w:pPr>
              <w:jc w:val="center"/>
              <w:rPr>
                <w:rFonts w:asciiTheme="majorHAnsi" w:hAnsiTheme="majorHAnsi" w:cstheme="majorHAnsi"/>
                <w:sz w:val="20"/>
                <w:szCs w:val="20"/>
              </w:rPr>
            </w:pPr>
            <w:r w:rsidRPr="005516CD">
              <w:rPr>
                <w:rFonts w:asciiTheme="majorHAnsi" w:hAnsiTheme="majorHAnsi" w:cstheme="majorHAnsi"/>
                <w:sz w:val="20"/>
                <w:szCs w:val="20"/>
              </w:rPr>
              <w:t>0</w:t>
            </w:r>
          </w:p>
        </w:tc>
        <w:tc>
          <w:tcPr>
            <w:tcW w:w="368" w:type="dxa"/>
          </w:tcPr>
          <w:p w14:paraId="37A2BF79" w14:textId="77777777" w:rsidR="00DB1B6B" w:rsidRPr="005516CD" w:rsidRDefault="00173FEB" w:rsidP="00DB1B6B">
            <w:pPr>
              <w:jc w:val="center"/>
              <w:rPr>
                <w:rFonts w:asciiTheme="majorHAnsi" w:hAnsiTheme="majorHAnsi" w:cstheme="majorHAnsi"/>
                <w:sz w:val="20"/>
                <w:szCs w:val="20"/>
              </w:rPr>
            </w:pPr>
            <w:r w:rsidRPr="005516CD">
              <w:rPr>
                <w:rFonts w:asciiTheme="majorHAnsi" w:hAnsiTheme="majorHAnsi" w:cstheme="majorHAnsi"/>
                <w:sz w:val="20"/>
                <w:szCs w:val="20"/>
              </w:rPr>
              <w:t>-</w:t>
            </w:r>
          </w:p>
        </w:tc>
      </w:tr>
    </w:tbl>
    <w:p w14:paraId="6593689E" w14:textId="64284B3C" w:rsidR="00773AA0" w:rsidRPr="005516CD" w:rsidRDefault="003333F9" w:rsidP="006B27F4">
      <w:pPr>
        <w:numPr>
          <w:ilvl w:val="0"/>
          <w:numId w:val="87"/>
        </w:numPr>
        <w:tabs>
          <w:tab w:val="clear" w:pos="720"/>
          <w:tab w:val="num" w:pos="-284"/>
          <w:tab w:val="left" w:pos="426"/>
        </w:tabs>
        <w:spacing w:before="120"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Focus groups also served to evaluate members’ perceptions on the importance of biodiversity. The results </w:t>
      </w:r>
      <w:r w:rsidR="00F73FC0" w:rsidRPr="005516CD">
        <w:rPr>
          <w:rFonts w:asciiTheme="majorHAnsi" w:hAnsiTheme="majorHAnsi" w:cstheme="majorHAnsi"/>
          <w:sz w:val="20"/>
          <w:szCs w:val="20"/>
        </w:rPr>
        <w:t>(</w:t>
      </w:r>
      <w:r w:rsidR="00F73FC0" w:rsidRPr="005516CD">
        <w:rPr>
          <w:rFonts w:asciiTheme="majorHAnsi" w:hAnsiTheme="majorHAnsi" w:cstheme="majorHAnsi"/>
          <w:sz w:val="20"/>
          <w:szCs w:val="20"/>
        </w:rPr>
        <w:fldChar w:fldCharType="begin"/>
      </w:r>
      <w:r w:rsidR="00F73FC0" w:rsidRPr="005516CD">
        <w:rPr>
          <w:rFonts w:asciiTheme="majorHAnsi" w:hAnsiTheme="majorHAnsi" w:cstheme="majorHAnsi"/>
          <w:sz w:val="20"/>
          <w:szCs w:val="20"/>
        </w:rPr>
        <w:instrText xml:space="preserve"> REF _Ref532493736 \r \h </w:instrText>
      </w:r>
      <w:r w:rsidR="005516CD">
        <w:rPr>
          <w:rFonts w:asciiTheme="majorHAnsi" w:hAnsiTheme="majorHAnsi" w:cstheme="majorHAnsi"/>
          <w:sz w:val="20"/>
          <w:szCs w:val="20"/>
        </w:rPr>
        <w:instrText xml:space="preserve"> \* MERGEFORMAT </w:instrText>
      </w:r>
      <w:r w:rsidR="00F73FC0" w:rsidRPr="005516CD">
        <w:rPr>
          <w:rFonts w:asciiTheme="majorHAnsi" w:hAnsiTheme="majorHAnsi" w:cstheme="majorHAnsi"/>
          <w:sz w:val="20"/>
          <w:szCs w:val="20"/>
        </w:rPr>
      </w:r>
      <w:r w:rsidR="00F73FC0"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Table 8</w:t>
      </w:r>
      <w:r w:rsidR="00F73FC0" w:rsidRPr="005516CD">
        <w:rPr>
          <w:rFonts w:asciiTheme="majorHAnsi" w:hAnsiTheme="majorHAnsi" w:cstheme="majorHAnsi"/>
          <w:sz w:val="20"/>
          <w:szCs w:val="20"/>
        </w:rPr>
        <w:fldChar w:fldCharType="end"/>
      </w:r>
      <w:r w:rsidR="00F73FC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again suggest limited interest in specifically providing for biodiversity unless it contributes to cropping systems or is of medicinal use. </w:t>
      </w:r>
    </w:p>
    <w:p w14:paraId="63215023" w14:textId="77777777" w:rsidR="003333F9" w:rsidRPr="005516CD" w:rsidRDefault="003333F9" w:rsidP="006B27F4">
      <w:pPr>
        <w:keepNext/>
        <w:numPr>
          <w:ilvl w:val="3"/>
          <w:numId w:val="90"/>
        </w:numPr>
        <w:tabs>
          <w:tab w:val="num" w:pos="-284"/>
          <w:tab w:val="left" w:pos="426"/>
        </w:tabs>
        <w:spacing w:after="60"/>
        <w:ind w:left="851" w:right="96" w:hanging="851"/>
        <w:jc w:val="both"/>
        <w:rPr>
          <w:rFonts w:asciiTheme="majorHAnsi" w:hAnsiTheme="majorHAnsi" w:cstheme="majorHAnsi"/>
          <w:b/>
          <w:sz w:val="20"/>
          <w:szCs w:val="20"/>
        </w:rPr>
      </w:pPr>
      <w:bookmarkStart w:id="22" w:name="_Ref532493736"/>
      <w:r w:rsidRPr="005516CD">
        <w:rPr>
          <w:rFonts w:asciiTheme="majorHAnsi" w:hAnsiTheme="majorHAnsi" w:cstheme="majorHAnsi"/>
          <w:b/>
          <w:sz w:val="20"/>
          <w:szCs w:val="20"/>
        </w:rPr>
        <w:t>Focus groups responses regarding the importance of biodiversity</w:t>
      </w:r>
      <w:bookmarkEnd w:id="22"/>
    </w:p>
    <w:tbl>
      <w:tblPr>
        <w:tblStyle w:val="TableGrid"/>
        <w:tblW w:w="0" w:type="auto"/>
        <w:tblLook w:val="04A0" w:firstRow="1" w:lastRow="0" w:firstColumn="1" w:lastColumn="0" w:noHBand="0" w:noVBand="1"/>
      </w:tblPr>
      <w:tblGrid>
        <w:gridCol w:w="7755"/>
        <w:gridCol w:w="1255"/>
      </w:tblGrid>
      <w:tr w:rsidR="004F1792" w:rsidRPr="005516CD" w14:paraId="1E96323A" w14:textId="77777777" w:rsidTr="004F1792">
        <w:tc>
          <w:tcPr>
            <w:tcW w:w="7933" w:type="dxa"/>
            <w:shd w:val="clear" w:color="auto" w:fill="D9D9D9" w:themeFill="background1" w:themeFillShade="D9"/>
          </w:tcPr>
          <w:p w14:paraId="100C2749" w14:textId="77777777" w:rsidR="004F1792" w:rsidRPr="005516CD" w:rsidRDefault="004F1792" w:rsidP="004F1792">
            <w:pPr>
              <w:jc w:val="center"/>
              <w:rPr>
                <w:rFonts w:asciiTheme="majorHAnsi" w:hAnsiTheme="majorHAnsi" w:cstheme="majorHAnsi"/>
                <w:b/>
                <w:sz w:val="20"/>
                <w:szCs w:val="20"/>
              </w:rPr>
            </w:pPr>
            <w:r w:rsidRPr="005516CD">
              <w:rPr>
                <w:rFonts w:asciiTheme="majorHAnsi" w:hAnsiTheme="majorHAnsi" w:cstheme="majorHAnsi"/>
                <w:b/>
                <w:sz w:val="20"/>
                <w:szCs w:val="20"/>
              </w:rPr>
              <w:t>Comments</w:t>
            </w:r>
          </w:p>
        </w:tc>
        <w:tc>
          <w:tcPr>
            <w:tcW w:w="1077" w:type="dxa"/>
            <w:shd w:val="clear" w:color="auto" w:fill="D9D9D9" w:themeFill="background1" w:themeFillShade="D9"/>
          </w:tcPr>
          <w:p w14:paraId="3D4BC375" w14:textId="77777777" w:rsidR="004F1792" w:rsidRPr="005516CD" w:rsidRDefault="004F1792" w:rsidP="004F1792">
            <w:pPr>
              <w:jc w:val="center"/>
              <w:rPr>
                <w:rFonts w:asciiTheme="majorHAnsi" w:hAnsiTheme="majorHAnsi" w:cstheme="majorHAnsi"/>
                <w:b/>
                <w:sz w:val="20"/>
                <w:szCs w:val="20"/>
              </w:rPr>
            </w:pPr>
            <w:r w:rsidRPr="005516CD">
              <w:rPr>
                <w:rFonts w:asciiTheme="majorHAnsi" w:hAnsiTheme="majorHAnsi" w:cstheme="majorHAnsi"/>
                <w:b/>
                <w:sz w:val="20"/>
                <w:szCs w:val="20"/>
              </w:rPr>
              <w:t>% of respondents</w:t>
            </w:r>
          </w:p>
        </w:tc>
      </w:tr>
      <w:tr w:rsidR="004F1792" w:rsidRPr="005516CD" w14:paraId="761F570E" w14:textId="77777777" w:rsidTr="004F1792">
        <w:tc>
          <w:tcPr>
            <w:tcW w:w="7933" w:type="dxa"/>
          </w:tcPr>
          <w:p w14:paraId="0311A2EE" w14:textId="77777777" w:rsidR="004F1792" w:rsidRPr="005516CD" w:rsidRDefault="004F1792" w:rsidP="0054189D">
            <w:pPr>
              <w:jc w:val="both"/>
              <w:rPr>
                <w:rFonts w:asciiTheme="majorHAnsi" w:hAnsiTheme="majorHAnsi" w:cstheme="majorHAnsi"/>
                <w:sz w:val="20"/>
                <w:szCs w:val="20"/>
              </w:rPr>
            </w:pPr>
            <w:r w:rsidRPr="005516CD">
              <w:rPr>
                <w:rFonts w:asciiTheme="majorHAnsi" w:hAnsiTheme="majorHAnsi" w:cstheme="majorHAnsi"/>
                <w:sz w:val="20"/>
                <w:szCs w:val="20"/>
              </w:rPr>
              <w:t>Aware of the importance of some elements of BD, however they increase the cost of plot management work and reduce productive due to competition for space</w:t>
            </w:r>
          </w:p>
        </w:tc>
        <w:tc>
          <w:tcPr>
            <w:tcW w:w="1077" w:type="dxa"/>
          </w:tcPr>
          <w:p w14:paraId="56A43F5B" w14:textId="77777777" w:rsidR="004F1792" w:rsidRPr="005516CD" w:rsidRDefault="004F1792" w:rsidP="004F1792">
            <w:pPr>
              <w:jc w:val="center"/>
              <w:rPr>
                <w:rFonts w:asciiTheme="majorHAnsi" w:hAnsiTheme="majorHAnsi" w:cstheme="majorHAnsi"/>
                <w:sz w:val="20"/>
                <w:szCs w:val="20"/>
              </w:rPr>
            </w:pPr>
            <w:r w:rsidRPr="005516CD">
              <w:rPr>
                <w:rFonts w:asciiTheme="majorHAnsi" w:hAnsiTheme="majorHAnsi" w:cstheme="majorHAnsi"/>
                <w:sz w:val="20"/>
                <w:szCs w:val="20"/>
              </w:rPr>
              <w:t>53</w:t>
            </w:r>
          </w:p>
        </w:tc>
      </w:tr>
      <w:tr w:rsidR="004F1792" w:rsidRPr="005516CD" w14:paraId="338EAF79" w14:textId="77777777" w:rsidTr="004F1792">
        <w:tc>
          <w:tcPr>
            <w:tcW w:w="7933" w:type="dxa"/>
          </w:tcPr>
          <w:p w14:paraId="2B5BB27E" w14:textId="77777777" w:rsidR="004F1792" w:rsidRPr="005516CD" w:rsidRDefault="004F1792" w:rsidP="0054189D">
            <w:pPr>
              <w:jc w:val="both"/>
              <w:rPr>
                <w:rFonts w:asciiTheme="majorHAnsi" w:hAnsiTheme="majorHAnsi" w:cstheme="majorHAnsi"/>
                <w:sz w:val="20"/>
                <w:szCs w:val="20"/>
              </w:rPr>
            </w:pPr>
            <w:r w:rsidRPr="005516CD">
              <w:rPr>
                <w:rFonts w:asciiTheme="majorHAnsi" w:hAnsiTheme="majorHAnsi" w:cstheme="majorHAnsi"/>
                <w:sz w:val="20"/>
                <w:szCs w:val="20"/>
              </w:rPr>
              <w:t>Interested in BD but would require technical support to see how to integrate it into cropping systems</w:t>
            </w:r>
          </w:p>
        </w:tc>
        <w:tc>
          <w:tcPr>
            <w:tcW w:w="1077" w:type="dxa"/>
          </w:tcPr>
          <w:p w14:paraId="77DB4FBB" w14:textId="77777777" w:rsidR="004F1792" w:rsidRPr="005516CD" w:rsidRDefault="004F1792" w:rsidP="004F1792">
            <w:pPr>
              <w:jc w:val="center"/>
              <w:rPr>
                <w:rFonts w:asciiTheme="majorHAnsi" w:hAnsiTheme="majorHAnsi" w:cstheme="majorHAnsi"/>
                <w:sz w:val="20"/>
                <w:szCs w:val="20"/>
              </w:rPr>
            </w:pPr>
            <w:r w:rsidRPr="005516CD">
              <w:rPr>
                <w:rFonts w:asciiTheme="majorHAnsi" w:hAnsiTheme="majorHAnsi" w:cstheme="majorHAnsi"/>
                <w:sz w:val="20"/>
                <w:szCs w:val="20"/>
              </w:rPr>
              <w:t>15</w:t>
            </w:r>
          </w:p>
        </w:tc>
      </w:tr>
      <w:tr w:rsidR="004F1792" w:rsidRPr="005516CD" w14:paraId="478B9AE8" w14:textId="77777777" w:rsidTr="004F1792">
        <w:tc>
          <w:tcPr>
            <w:tcW w:w="7933" w:type="dxa"/>
          </w:tcPr>
          <w:p w14:paraId="03EE7639" w14:textId="77777777" w:rsidR="004F1792" w:rsidRPr="005516CD" w:rsidRDefault="004F1792" w:rsidP="0054189D">
            <w:pPr>
              <w:jc w:val="both"/>
              <w:rPr>
                <w:rFonts w:asciiTheme="majorHAnsi" w:hAnsiTheme="majorHAnsi" w:cstheme="majorHAnsi"/>
                <w:sz w:val="20"/>
                <w:szCs w:val="20"/>
              </w:rPr>
            </w:pPr>
            <w:r w:rsidRPr="005516CD">
              <w:rPr>
                <w:rFonts w:asciiTheme="majorHAnsi" w:hAnsiTheme="majorHAnsi" w:cstheme="majorHAnsi"/>
                <w:sz w:val="20"/>
                <w:szCs w:val="20"/>
              </w:rPr>
              <w:t>Always protect plants with medicinal uses, which are used to treat local people due to the lack of a health centre.</w:t>
            </w:r>
          </w:p>
        </w:tc>
        <w:tc>
          <w:tcPr>
            <w:tcW w:w="1077" w:type="dxa"/>
          </w:tcPr>
          <w:p w14:paraId="6E3A2433" w14:textId="77777777" w:rsidR="004F1792" w:rsidRPr="005516CD" w:rsidRDefault="004F1792" w:rsidP="004F1792">
            <w:pPr>
              <w:jc w:val="center"/>
              <w:rPr>
                <w:rFonts w:asciiTheme="majorHAnsi" w:hAnsiTheme="majorHAnsi" w:cstheme="majorHAnsi"/>
                <w:sz w:val="20"/>
                <w:szCs w:val="20"/>
              </w:rPr>
            </w:pPr>
            <w:r w:rsidRPr="005516CD">
              <w:rPr>
                <w:rFonts w:asciiTheme="majorHAnsi" w:hAnsiTheme="majorHAnsi" w:cstheme="majorHAnsi"/>
                <w:sz w:val="20"/>
                <w:szCs w:val="20"/>
              </w:rPr>
              <w:t>15</w:t>
            </w:r>
          </w:p>
        </w:tc>
      </w:tr>
      <w:tr w:rsidR="004F1792" w:rsidRPr="005516CD" w14:paraId="37FCA871" w14:textId="77777777" w:rsidTr="004F1792">
        <w:tc>
          <w:tcPr>
            <w:tcW w:w="7933" w:type="dxa"/>
          </w:tcPr>
          <w:p w14:paraId="51C2A327" w14:textId="77777777" w:rsidR="004F1792" w:rsidRPr="005516CD" w:rsidRDefault="004F1792" w:rsidP="0054189D">
            <w:pPr>
              <w:jc w:val="both"/>
              <w:rPr>
                <w:rFonts w:asciiTheme="majorHAnsi" w:hAnsiTheme="majorHAnsi" w:cstheme="majorHAnsi"/>
                <w:sz w:val="20"/>
                <w:szCs w:val="20"/>
              </w:rPr>
            </w:pPr>
            <w:r w:rsidRPr="005516CD">
              <w:rPr>
                <w:rFonts w:asciiTheme="majorHAnsi" w:hAnsiTheme="majorHAnsi" w:cstheme="majorHAnsi"/>
                <w:sz w:val="20"/>
                <w:szCs w:val="20"/>
              </w:rPr>
              <w:t xml:space="preserve">Solely interested in cultivated plants, food crops and the management of coffee, </w:t>
            </w:r>
            <w:proofErr w:type="spellStart"/>
            <w:r w:rsidRPr="005516CD">
              <w:rPr>
                <w:rFonts w:asciiTheme="majorHAnsi" w:hAnsiTheme="majorHAnsi" w:cstheme="majorHAnsi"/>
                <w:sz w:val="20"/>
                <w:szCs w:val="20"/>
              </w:rPr>
              <w:t>coaco</w:t>
            </w:r>
            <w:proofErr w:type="spellEnd"/>
            <w:r w:rsidRPr="005516CD">
              <w:rPr>
                <w:rFonts w:asciiTheme="majorHAnsi" w:hAnsiTheme="majorHAnsi" w:cstheme="majorHAnsi"/>
                <w:sz w:val="20"/>
                <w:szCs w:val="20"/>
              </w:rPr>
              <w:t>, yam and ginger shade</w:t>
            </w:r>
          </w:p>
        </w:tc>
        <w:tc>
          <w:tcPr>
            <w:tcW w:w="1077" w:type="dxa"/>
          </w:tcPr>
          <w:p w14:paraId="32F9E616" w14:textId="77777777" w:rsidR="004F1792" w:rsidRPr="005516CD" w:rsidRDefault="004F1792" w:rsidP="004F1792">
            <w:pPr>
              <w:jc w:val="center"/>
              <w:rPr>
                <w:rFonts w:asciiTheme="majorHAnsi" w:hAnsiTheme="majorHAnsi" w:cstheme="majorHAnsi"/>
                <w:sz w:val="20"/>
                <w:szCs w:val="20"/>
              </w:rPr>
            </w:pPr>
            <w:r w:rsidRPr="005516CD">
              <w:rPr>
                <w:rFonts w:asciiTheme="majorHAnsi" w:hAnsiTheme="majorHAnsi" w:cstheme="majorHAnsi"/>
                <w:sz w:val="20"/>
                <w:szCs w:val="20"/>
              </w:rPr>
              <w:t>9</w:t>
            </w:r>
          </w:p>
        </w:tc>
      </w:tr>
      <w:tr w:rsidR="004F1792" w:rsidRPr="005516CD" w14:paraId="19DA8804" w14:textId="77777777" w:rsidTr="004F1792">
        <w:tc>
          <w:tcPr>
            <w:tcW w:w="7933" w:type="dxa"/>
          </w:tcPr>
          <w:p w14:paraId="72D6D7B5" w14:textId="77777777" w:rsidR="004F1792" w:rsidRPr="005516CD" w:rsidRDefault="004F1792" w:rsidP="004F1792">
            <w:pPr>
              <w:jc w:val="both"/>
              <w:rPr>
                <w:rFonts w:asciiTheme="majorHAnsi" w:hAnsiTheme="majorHAnsi" w:cstheme="majorHAnsi"/>
                <w:sz w:val="20"/>
                <w:szCs w:val="20"/>
              </w:rPr>
            </w:pPr>
            <w:r w:rsidRPr="005516CD">
              <w:rPr>
                <w:rFonts w:asciiTheme="majorHAnsi" w:hAnsiTheme="majorHAnsi" w:cstheme="majorHAnsi"/>
                <w:sz w:val="20"/>
                <w:szCs w:val="20"/>
              </w:rPr>
              <w:t>Do not understand the important of non-agricultural BD</w:t>
            </w:r>
          </w:p>
        </w:tc>
        <w:tc>
          <w:tcPr>
            <w:tcW w:w="1077" w:type="dxa"/>
          </w:tcPr>
          <w:p w14:paraId="371E20BB" w14:textId="77777777" w:rsidR="004F1792" w:rsidRPr="005516CD" w:rsidRDefault="004F1792" w:rsidP="004F1792">
            <w:pPr>
              <w:jc w:val="center"/>
              <w:rPr>
                <w:rFonts w:asciiTheme="majorHAnsi" w:hAnsiTheme="majorHAnsi" w:cstheme="majorHAnsi"/>
                <w:sz w:val="20"/>
                <w:szCs w:val="20"/>
              </w:rPr>
            </w:pPr>
            <w:r w:rsidRPr="005516CD">
              <w:rPr>
                <w:rFonts w:asciiTheme="majorHAnsi" w:hAnsiTheme="majorHAnsi" w:cstheme="majorHAnsi"/>
                <w:sz w:val="20"/>
                <w:szCs w:val="20"/>
              </w:rPr>
              <w:t>8</w:t>
            </w:r>
          </w:p>
        </w:tc>
      </w:tr>
    </w:tbl>
    <w:p w14:paraId="6FA0D260" w14:textId="77777777" w:rsidR="00014423" w:rsidRPr="005516CD" w:rsidRDefault="004C6B45" w:rsidP="00F12699">
      <w:pPr>
        <w:pStyle w:val="Heading6"/>
        <w:keepNext/>
        <w:spacing w:before="120" w:after="120"/>
        <w:rPr>
          <w:rFonts w:asciiTheme="majorHAnsi" w:eastAsia="Calibri" w:hAnsiTheme="majorHAnsi" w:cstheme="majorHAnsi"/>
          <w:b/>
          <w:sz w:val="20"/>
          <w:lang w:val="en-US"/>
        </w:rPr>
      </w:pPr>
      <w:r w:rsidRPr="005516CD">
        <w:rPr>
          <w:rFonts w:asciiTheme="majorHAnsi" w:eastAsia="Calibri" w:hAnsiTheme="majorHAnsi" w:cstheme="majorHAnsi"/>
          <w:b/>
          <w:sz w:val="20"/>
          <w:lang w:val="en-US"/>
        </w:rPr>
        <w:t>Value chains</w:t>
      </w:r>
      <w:r w:rsidR="001A736B" w:rsidRPr="005516CD">
        <w:rPr>
          <w:rFonts w:asciiTheme="majorHAnsi" w:eastAsia="Calibri" w:hAnsiTheme="majorHAnsi" w:cstheme="majorHAnsi"/>
          <w:b/>
          <w:sz w:val="20"/>
          <w:lang w:val="en-US"/>
        </w:rPr>
        <w:t xml:space="preserve"> and market</w:t>
      </w:r>
      <w:r w:rsidR="00F1212A" w:rsidRPr="005516CD">
        <w:rPr>
          <w:rFonts w:asciiTheme="majorHAnsi" w:eastAsia="Calibri" w:hAnsiTheme="majorHAnsi" w:cstheme="majorHAnsi"/>
          <w:b/>
          <w:sz w:val="20"/>
          <w:lang w:val="en-US"/>
        </w:rPr>
        <w:t xml:space="preserve"> potential</w:t>
      </w:r>
    </w:p>
    <w:p w14:paraId="07B38D50" w14:textId="77777777" w:rsidR="001A736B" w:rsidRPr="005516CD" w:rsidRDefault="002529CE"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i/>
        </w:rPr>
      </w:pPr>
      <w:r w:rsidRPr="005516CD">
        <w:rPr>
          <w:rFonts w:asciiTheme="majorHAnsi" w:hAnsiTheme="majorHAnsi" w:cstheme="majorHAnsi"/>
          <w:color w:val="000000"/>
          <w:sz w:val="20"/>
          <w:szCs w:val="20"/>
        </w:rPr>
        <w:t>Haitian</w:t>
      </w:r>
      <w:r w:rsidRPr="005516CD">
        <w:rPr>
          <w:rFonts w:asciiTheme="majorHAnsi" w:hAnsiTheme="majorHAnsi" w:cstheme="majorHAnsi"/>
          <w:sz w:val="20"/>
          <w:szCs w:val="20"/>
        </w:rPr>
        <w:t xml:space="preserve"> agriculture is predominantly focused on domestic markets. </w:t>
      </w:r>
      <w:r w:rsidR="00AE4ED0" w:rsidRPr="005516CD">
        <w:rPr>
          <w:rFonts w:asciiTheme="majorHAnsi" w:hAnsiTheme="majorHAnsi" w:cstheme="majorHAnsi"/>
          <w:sz w:val="20"/>
          <w:szCs w:val="20"/>
        </w:rPr>
        <w:t>Although progress has been made in improving and simplifying value chains for crops such as mango, vetiver, coffee and cacao, v</w:t>
      </w:r>
      <w:r w:rsidRPr="005516CD">
        <w:rPr>
          <w:rFonts w:asciiTheme="majorHAnsi" w:hAnsiTheme="majorHAnsi" w:cstheme="majorHAnsi"/>
          <w:sz w:val="20"/>
          <w:szCs w:val="20"/>
        </w:rPr>
        <w:t xml:space="preserve">alue chains </w:t>
      </w:r>
      <w:r w:rsidR="00AE4ED0" w:rsidRPr="005516CD">
        <w:rPr>
          <w:rFonts w:asciiTheme="majorHAnsi" w:hAnsiTheme="majorHAnsi" w:cstheme="majorHAnsi"/>
          <w:sz w:val="20"/>
          <w:szCs w:val="20"/>
        </w:rPr>
        <w:t xml:space="preserve">for food crops </w:t>
      </w:r>
      <w:r w:rsidRPr="005516CD">
        <w:rPr>
          <w:rFonts w:asciiTheme="majorHAnsi" w:hAnsiTheme="majorHAnsi" w:cstheme="majorHAnsi"/>
          <w:sz w:val="20"/>
          <w:szCs w:val="20"/>
        </w:rPr>
        <w:t>are typically long and complex, with high transport costs</w:t>
      </w:r>
      <w:r w:rsidR="00AE4ED0" w:rsidRPr="005516CD">
        <w:rPr>
          <w:rFonts w:asciiTheme="majorHAnsi" w:hAnsiTheme="majorHAnsi" w:cstheme="majorHAnsi"/>
          <w:sz w:val="20"/>
          <w:szCs w:val="20"/>
        </w:rPr>
        <w:t xml:space="preserve">: this </w:t>
      </w:r>
      <w:r w:rsidRPr="005516CD">
        <w:rPr>
          <w:rFonts w:asciiTheme="majorHAnsi" w:hAnsiTheme="majorHAnsi" w:cstheme="majorHAnsi"/>
          <w:sz w:val="20"/>
          <w:szCs w:val="20"/>
        </w:rPr>
        <w:t xml:space="preserve">results in high sales prices for consumers, little of which feeds back to the farmer. This also means that in some cases it is more attractive for businesses to import their agricultural raw materials than to purchase them </w:t>
      </w:r>
      <w:r w:rsidR="00567EBA" w:rsidRPr="005516CD">
        <w:rPr>
          <w:rFonts w:asciiTheme="majorHAnsi" w:hAnsiTheme="majorHAnsi" w:cstheme="majorHAnsi"/>
          <w:sz w:val="20"/>
          <w:szCs w:val="20"/>
        </w:rPr>
        <w:t>from these local value chains: imports may also allow them to access larger and more reliable volumes, with higher standards of quality control</w:t>
      </w:r>
      <w:r w:rsidR="00AE4ED0" w:rsidRPr="005516CD">
        <w:rPr>
          <w:rFonts w:asciiTheme="majorHAnsi" w:hAnsiTheme="majorHAnsi" w:cstheme="majorHAnsi"/>
          <w:sz w:val="20"/>
          <w:szCs w:val="20"/>
        </w:rPr>
        <w:t xml:space="preserve"> (for example, better drying standards and mycotoxin control)</w:t>
      </w:r>
      <w:r w:rsidR="00AE4ED0" w:rsidRPr="005516CD">
        <w:rPr>
          <w:rStyle w:val="FootnoteReference"/>
          <w:rFonts w:asciiTheme="majorHAnsi" w:hAnsiTheme="majorHAnsi" w:cstheme="majorHAnsi"/>
          <w:sz w:val="20"/>
          <w:szCs w:val="20"/>
        </w:rPr>
        <w:footnoteReference w:id="18"/>
      </w:r>
      <w:r w:rsidR="00567EBA" w:rsidRPr="005516CD">
        <w:rPr>
          <w:rFonts w:asciiTheme="majorHAnsi" w:hAnsiTheme="majorHAnsi" w:cstheme="majorHAnsi"/>
          <w:sz w:val="20"/>
          <w:szCs w:val="20"/>
        </w:rPr>
        <w:t xml:space="preserve">. </w:t>
      </w:r>
    </w:p>
    <w:p w14:paraId="0E40E0DA" w14:textId="77777777" w:rsidR="004C6B45" w:rsidRPr="005516CD" w:rsidRDefault="004C6B45" w:rsidP="00F12699">
      <w:pPr>
        <w:pStyle w:val="Heading7"/>
        <w:spacing w:before="0"/>
        <w:ind w:left="0"/>
        <w:rPr>
          <w:rFonts w:asciiTheme="majorHAnsi" w:hAnsiTheme="majorHAnsi" w:cstheme="majorHAnsi"/>
          <w:i/>
        </w:rPr>
      </w:pPr>
      <w:r w:rsidRPr="005516CD">
        <w:rPr>
          <w:rFonts w:asciiTheme="majorHAnsi" w:hAnsiTheme="majorHAnsi" w:cstheme="majorHAnsi"/>
          <w:i/>
        </w:rPr>
        <w:t>C</w:t>
      </w:r>
      <w:r w:rsidR="00A504BA" w:rsidRPr="005516CD">
        <w:rPr>
          <w:rFonts w:asciiTheme="majorHAnsi" w:hAnsiTheme="majorHAnsi" w:cstheme="majorHAnsi"/>
          <w:i/>
        </w:rPr>
        <w:t>o</w:t>
      </w:r>
      <w:r w:rsidRPr="005516CD">
        <w:rPr>
          <w:rFonts w:asciiTheme="majorHAnsi" w:hAnsiTheme="majorHAnsi" w:cstheme="majorHAnsi"/>
          <w:i/>
        </w:rPr>
        <w:t>c</w:t>
      </w:r>
      <w:r w:rsidR="00A504BA" w:rsidRPr="005516CD">
        <w:rPr>
          <w:rFonts w:asciiTheme="majorHAnsi" w:hAnsiTheme="majorHAnsi" w:cstheme="majorHAnsi"/>
          <w:i/>
        </w:rPr>
        <w:t>o</w:t>
      </w:r>
      <w:r w:rsidRPr="005516CD">
        <w:rPr>
          <w:rFonts w:asciiTheme="majorHAnsi" w:hAnsiTheme="majorHAnsi" w:cstheme="majorHAnsi"/>
          <w:i/>
        </w:rPr>
        <w:t xml:space="preserve">a </w:t>
      </w:r>
    </w:p>
    <w:p w14:paraId="69FEB3CE" w14:textId="77777777" w:rsidR="004C6B45" w:rsidRPr="005516CD" w:rsidRDefault="004C6B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color w:val="000000"/>
          <w:sz w:val="20"/>
          <w:szCs w:val="20"/>
        </w:rPr>
        <w:t xml:space="preserve">There is </w:t>
      </w:r>
      <w:r w:rsidRPr="005516CD">
        <w:rPr>
          <w:rFonts w:asciiTheme="majorHAnsi" w:hAnsiTheme="majorHAnsi" w:cstheme="majorHAnsi"/>
          <w:sz w:val="20"/>
          <w:szCs w:val="20"/>
        </w:rPr>
        <w:t>great</w:t>
      </w:r>
      <w:r w:rsidRPr="005516CD">
        <w:rPr>
          <w:rFonts w:asciiTheme="majorHAnsi" w:hAnsiTheme="majorHAnsi" w:cstheme="majorHAnsi"/>
          <w:color w:val="000000"/>
          <w:sz w:val="20"/>
          <w:szCs w:val="20"/>
        </w:rPr>
        <w:t xml:space="preserve"> potential for growth of cocoa exports, given the predicted 25% supply deficit worldwide by 2020: </w:t>
      </w:r>
      <w:r w:rsidR="00F73FC0" w:rsidRPr="005516CD">
        <w:rPr>
          <w:rFonts w:asciiTheme="majorHAnsi" w:hAnsiTheme="majorHAnsi" w:cstheme="majorHAnsi"/>
          <w:color w:val="000000"/>
          <w:sz w:val="20"/>
          <w:szCs w:val="20"/>
        </w:rPr>
        <w:t xml:space="preserve">global </w:t>
      </w:r>
      <w:r w:rsidRPr="005516CD">
        <w:rPr>
          <w:rFonts w:asciiTheme="majorHAnsi" w:hAnsiTheme="majorHAnsi" w:cstheme="majorHAnsi"/>
          <w:color w:val="000000"/>
          <w:sz w:val="20"/>
          <w:szCs w:val="20"/>
        </w:rPr>
        <w:t xml:space="preserve">demand has grown by 1% </w:t>
      </w:r>
      <w:r w:rsidRPr="005516CD">
        <w:rPr>
          <w:rFonts w:asciiTheme="majorHAnsi" w:hAnsiTheme="majorHAnsi" w:cstheme="majorHAnsi"/>
          <w:sz w:val="20"/>
          <w:szCs w:val="20"/>
        </w:rPr>
        <w:t>annually</w:t>
      </w:r>
      <w:r w:rsidRPr="005516CD">
        <w:rPr>
          <w:rFonts w:asciiTheme="majorHAnsi" w:hAnsiTheme="majorHAnsi" w:cstheme="majorHAnsi"/>
          <w:color w:val="000000"/>
          <w:sz w:val="20"/>
          <w:szCs w:val="20"/>
        </w:rPr>
        <w:t>, while supply has only grown by 3%, and prices have almost doubled over the last 10 years. However, there are significant technical obstacles to the growth of the sector: for example, while 95% of production in Latin American countries is from grafted disease-resistant material, in Haiti there is limited or no knowledge of the varietal heritage available, which consists of multiple varieties, or consequently of their management. In consequence, typical yields are around 250</w:t>
      </w:r>
      <w:r w:rsidR="00F73FC0" w:rsidRPr="005516CD">
        <w:rPr>
          <w:rFonts w:asciiTheme="majorHAnsi" w:hAnsiTheme="majorHAnsi" w:cstheme="majorHAnsi"/>
          <w:color w:val="000000"/>
          <w:sz w:val="20"/>
          <w:szCs w:val="20"/>
        </w:rPr>
        <w:t xml:space="preserve"> </w:t>
      </w:r>
      <w:r w:rsidRPr="005516CD">
        <w:rPr>
          <w:rFonts w:asciiTheme="majorHAnsi" w:hAnsiTheme="majorHAnsi" w:cstheme="majorHAnsi"/>
          <w:color w:val="000000"/>
          <w:sz w:val="20"/>
          <w:szCs w:val="20"/>
        </w:rPr>
        <w:t>kg/ha as compared to 3,000</w:t>
      </w:r>
      <w:r w:rsidR="00F73FC0" w:rsidRPr="005516CD">
        <w:rPr>
          <w:rFonts w:asciiTheme="majorHAnsi" w:hAnsiTheme="majorHAnsi" w:cstheme="majorHAnsi"/>
          <w:color w:val="000000"/>
          <w:sz w:val="20"/>
          <w:szCs w:val="20"/>
        </w:rPr>
        <w:t xml:space="preserve"> </w:t>
      </w:r>
      <w:r w:rsidRPr="005516CD">
        <w:rPr>
          <w:rFonts w:asciiTheme="majorHAnsi" w:hAnsiTheme="majorHAnsi" w:cstheme="majorHAnsi"/>
          <w:color w:val="000000"/>
          <w:sz w:val="20"/>
          <w:szCs w:val="20"/>
        </w:rPr>
        <w:t>kg in some countries of Latin America with similar agroecological conditions. There are significant opportunities for improving productivity, for example through the use of grafted plants and improved fertility and disease management</w:t>
      </w:r>
      <w:r w:rsidRPr="005516CD">
        <w:rPr>
          <w:rStyle w:val="FootnoteReference"/>
          <w:rFonts w:asciiTheme="majorHAnsi" w:hAnsiTheme="majorHAnsi" w:cstheme="majorHAnsi"/>
          <w:sz w:val="20"/>
          <w:szCs w:val="20"/>
        </w:rPr>
        <w:footnoteReference w:id="19"/>
      </w:r>
      <w:r w:rsidRPr="005516CD">
        <w:rPr>
          <w:rFonts w:asciiTheme="majorHAnsi" w:hAnsiTheme="majorHAnsi" w:cstheme="majorHAnsi"/>
          <w:color w:val="000000"/>
          <w:sz w:val="20"/>
          <w:szCs w:val="20"/>
        </w:rPr>
        <w:t>.</w:t>
      </w:r>
    </w:p>
    <w:p w14:paraId="6B44D0E8" w14:textId="77777777" w:rsidR="004C6B45" w:rsidRPr="005516CD" w:rsidRDefault="004C6B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color w:val="000000"/>
          <w:sz w:val="20"/>
          <w:szCs w:val="20"/>
        </w:rPr>
        <w:t xml:space="preserve">Although the predominant varieties of cocoa grown in Haiti are in strong demand worldwide, the potential of Haiti’s cocoa has never been </w:t>
      </w:r>
      <w:r w:rsidRPr="005516CD">
        <w:rPr>
          <w:rFonts w:asciiTheme="majorHAnsi" w:hAnsiTheme="majorHAnsi" w:cstheme="majorHAnsi"/>
          <w:sz w:val="20"/>
          <w:szCs w:val="20"/>
        </w:rPr>
        <w:t>optimized</w:t>
      </w:r>
      <w:r w:rsidRPr="005516CD">
        <w:rPr>
          <w:rFonts w:asciiTheme="majorHAnsi" w:hAnsiTheme="majorHAnsi" w:cstheme="majorHAnsi"/>
          <w:color w:val="000000"/>
          <w:sz w:val="20"/>
          <w:szCs w:val="20"/>
        </w:rPr>
        <w:t xml:space="preserve">, as it has long been sold on the international market in the form of ordinary unfermented cocoa. Only recently have producers become aware of the benefits of producing fermented cocoa. In 2009, thanks to technical assistance from the Peruvian cooperative </w:t>
      </w:r>
      <w:r w:rsidRPr="005516CD">
        <w:rPr>
          <w:rFonts w:asciiTheme="majorHAnsi" w:eastAsia="Calibri" w:hAnsiTheme="majorHAnsi" w:cstheme="majorHAnsi"/>
          <w:sz w:val="20"/>
          <w:szCs w:val="20"/>
        </w:rPr>
        <w:t>CEPICAFE</w:t>
      </w:r>
      <w:r w:rsidRPr="005516CD">
        <w:rPr>
          <w:rFonts w:asciiTheme="majorHAnsi" w:hAnsiTheme="majorHAnsi" w:cstheme="majorHAnsi"/>
          <w:color w:val="000000"/>
          <w:sz w:val="20"/>
          <w:szCs w:val="20"/>
        </w:rPr>
        <w:t xml:space="preserve"> for the Haitian cooperative network FECCANO, and support from the French NGO </w:t>
      </w:r>
      <w:proofErr w:type="spellStart"/>
      <w:r w:rsidRPr="005516CD">
        <w:rPr>
          <w:rFonts w:asciiTheme="majorHAnsi" w:hAnsiTheme="majorHAnsi" w:cstheme="majorHAnsi"/>
          <w:color w:val="000000"/>
          <w:sz w:val="20"/>
          <w:szCs w:val="20"/>
        </w:rPr>
        <w:t>Agronomes</w:t>
      </w:r>
      <w:proofErr w:type="spellEnd"/>
      <w:r w:rsidRPr="005516CD">
        <w:rPr>
          <w:rFonts w:asciiTheme="majorHAnsi" w:hAnsiTheme="majorHAnsi" w:cstheme="majorHAnsi"/>
          <w:color w:val="000000"/>
          <w:sz w:val="20"/>
          <w:szCs w:val="20"/>
        </w:rPr>
        <w:t xml:space="preserve"> et </w:t>
      </w:r>
      <w:proofErr w:type="spellStart"/>
      <w:r w:rsidRPr="005516CD">
        <w:rPr>
          <w:rFonts w:asciiTheme="majorHAnsi" w:hAnsiTheme="majorHAnsi" w:cstheme="majorHAnsi"/>
          <w:color w:val="000000"/>
          <w:sz w:val="20"/>
          <w:szCs w:val="20"/>
        </w:rPr>
        <w:t>Vétérinaires</w:t>
      </w:r>
      <w:proofErr w:type="spellEnd"/>
      <w:r w:rsidRPr="005516CD">
        <w:rPr>
          <w:rFonts w:asciiTheme="majorHAnsi" w:hAnsiTheme="majorHAnsi" w:cstheme="majorHAnsi"/>
          <w:color w:val="000000"/>
          <w:sz w:val="20"/>
          <w:szCs w:val="20"/>
        </w:rPr>
        <w:t xml:space="preserve"> Sans </w:t>
      </w:r>
      <w:proofErr w:type="spellStart"/>
      <w:r w:rsidRPr="005516CD">
        <w:rPr>
          <w:rFonts w:asciiTheme="majorHAnsi" w:hAnsiTheme="majorHAnsi" w:cstheme="majorHAnsi"/>
          <w:color w:val="000000"/>
          <w:sz w:val="20"/>
          <w:szCs w:val="20"/>
        </w:rPr>
        <w:t>Frontières</w:t>
      </w:r>
      <w:proofErr w:type="spellEnd"/>
      <w:r w:rsidRPr="005516CD">
        <w:rPr>
          <w:rFonts w:asciiTheme="majorHAnsi" w:hAnsiTheme="majorHAnsi" w:cstheme="majorHAnsi"/>
          <w:color w:val="000000"/>
          <w:sz w:val="20"/>
          <w:szCs w:val="20"/>
        </w:rPr>
        <w:t xml:space="preserve"> (AVSF), their fermented cocoa output was immediately taken up and marketed by European firms, including the French fair-trade company </w:t>
      </w:r>
      <w:proofErr w:type="spellStart"/>
      <w:r w:rsidRPr="005516CD">
        <w:rPr>
          <w:rFonts w:asciiTheme="majorHAnsi" w:hAnsiTheme="majorHAnsi" w:cstheme="majorHAnsi"/>
          <w:color w:val="000000"/>
          <w:sz w:val="20"/>
          <w:szCs w:val="20"/>
        </w:rPr>
        <w:t>Ethiquable</w:t>
      </w:r>
      <w:proofErr w:type="spellEnd"/>
      <w:r w:rsidRPr="005516CD">
        <w:rPr>
          <w:rStyle w:val="FootnoteReference"/>
          <w:rFonts w:asciiTheme="majorHAnsi" w:hAnsiTheme="majorHAnsi" w:cstheme="majorHAnsi"/>
          <w:sz w:val="20"/>
          <w:szCs w:val="20"/>
        </w:rPr>
        <w:footnoteReference w:id="20"/>
      </w:r>
      <w:r w:rsidRPr="005516CD">
        <w:rPr>
          <w:rFonts w:asciiTheme="majorHAnsi" w:hAnsiTheme="majorHAnsi" w:cstheme="majorHAnsi"/>
          <w:color w:val="000000"/>
          <w:sz w:val="20"/>
          <w:szCs w:val="20"/>
        </w:rPr>
        <w:t>.</w:t>
      </w:r>
    </w:p>
    <w:p w14:paraId="4A0F43C6" w14:textId="77777777" w:rsidR="00EB2A20" w:rsidRPr="005516CD" w:rsidRDefault="00EB2A20"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eastAsia="Calibri" w:hAnsiTheme="majorHAnsi" w:cstheme="majorHAnsi"/>
          <w:b/>
          <w:sz w:val="20"/>
          <w:szCs w:val="20"/>
        </w:rPr>
      </w:pPr>
      <w:r w:rsidRPr="005516CD">
        <w:rPr>
          <w:rFonts w:asciiTheme="majorHAnsi" w:eastAsia="Calibri" w:hAnsiTheme="majorHAnsi" w:cstheme="majorHAnsi"/>
          <w:b/>
          <w:sz w:val="20"/>
          <w:szCs w:val="20"/>
        </w:rPr>
        <w:t>Trends in value of c</w:t>
      </w:r>
      <w:r w:rsidR="00A504BA" w:rsidRPr="005516CD">
        <w:rPr>
          <w:rFonts w:asciiTheme="majorHAnsi" w:eastAsia="Calibri" w:hAnsiTheme="majorHAnsi" w:cstheme="majorHAnsi"/>
          <w:b/>
          <w:sz w:val="20"/>
          <w:szCs w:val="20"/>
        </w:rPr>
        <w:t>o</w:t>
      </w:r>
      <w:r w:rsidRPr="005516CD">
        <w:rPr>
          <w:rFonts w:asciiTheme="majorHAnsi" w:eastAsia="Calibri" w:hAnsiTheme="majorHAnsi" w:cstheme="majorHAnsi"/>
          <w:b/>
          <w:sz w:val="20"/>
          <w:szCs w:val="20"/>
        </w:rPr>
        <w:t>c</w:t>
      </w:r>
      <w:r w:rsidR="00A504BA" w:rsidRPr="005516CD">
        <w:rPr>
          <w:rFonts w:asciiTheme="majorHAnsi" w:eastAsia="Calibri" w:hAnsiTheme="majorHAnsi" w:cstheme="majorHAnsi"/>
          <w:b/>
          <w:sz w:val="20"/>
          <w:szCs w:val="20"/>
        </w:rPr>
        <w:t>o</w:t>
      </w:r>
      <w:r w:rsidRPr="005516CD">
        <w:rPr>
          <w:rFonts w:asciiTheme="majorHAnsi" w:eastAsia="Calibri" w:hAnsiTheme="majorHAnsi" w:cstheme="majorHAnsi"/>
          <w:b/>
          <w:sz w:val="20"/>
          <w:szCs w:val="20"/>
        </w:rPr>
        <w:t>a exports from Haiti 1960 - 2010</w:t>
      </w:r>
    </w:p>
    <w:p w14:paraId="46A7E78F" w14:textId="77777777" w:rsidR="00EB2A20" w:rsidRPr="005516CD" w:rsidRDefault="00EB2A20" w:rsidP="00EB2A20">
      <w:pPr>
        <w:tabs>
          <w:tab w:val="left" w:pos="426"/>
        </w:tabs>
        <w:spacing w:after="120"/>
        <w:ind w:right="96"/>
        <w:jc w:val="center"/>
        <w:rPr>
          <w:rFonts w:asciiTheme="majorHAnsi" w:hAnsiTheme="majorHAnsi" w:cstheme="majorHAnsi"/>
          <w:color w:val="000000"/>
          <w:sz w:val="20"/>
          <w:szCs w:val="20"/>
        </w:rPr>
      </w:pPr>
      <w:r w:rsidRPr="005516CD">
        <w:rPr>
          <w:rFonts w:asciiTheme="majorHAnsi" w:hAnsiTheme="majorHAnsi" w:cstheme="majorHAnsi"/>
          <w:noProof/>
          <w:color w:val="000000"/>
          <w:sz w:val="20"/>
          <w:szCs w:val="20"/>
          <w:lang w:val="en-US" w:eastAsia="en-US"/>
        </w:rPr>
        <w:drawing>
          <wp:inline distT="0" distB="0" distL="0" distR="0" wp14:anchorId="620D1076" wp14:editId="2A3D5902">
            <wp:extent cx="4132834" cy="1956739"/>
            <wp:effectExtent l="0" t="0" r="127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142264" cy="1961204"/>
                    </a:xfrm>
                    <a:prstGeom prst="rect">
                      <a:avLst/>
                    </a:prstGeom>
                    <a:noFill/>
                    <a:ln>
                      <a:noFill/>
                    </a:ln>
                  </pic:spPr>
                </pic:pic>
              </a:graphicData>
            </a:graphic>
          </wp:inline>
        </w:drawing>
      </w:r>
    </w:p>
    <w:p w14:paraId="326B309E" w14:textId="77777777" w:rsidR="004C6B45" w:rsidRPr="005516CD" w:rsidRDefault="004C6B45" w:rsidP="00A03089">
      <w:pPr>
        <w:pStyle w:val="Heading7"/>
        <w:keepNext/>
        <w:ind w:left="0"/>
        <w:rPr>
          <w:rFonts w:asciiTheme="majorHAnsi" w:hAnsiTheme="majorHAnsi" w:cstheme="majorHAnsi"/>
          <w:i/>
        </w:rPr>
      </w:pPr>
      <w:r w:rsidRPr="005516CD">
        <w:rPr>
          <w:rFonts w:asciiTheme="majorHAnsi" w:hAnsiTheme="majorHAnsi" w:cstheme="majorHAnsi"/>
          <w:i/>
        </w:rPr>
        <w:t xml:space="preserve">Coffee </w:t>
      </w:r>
    </w:p>
    <w:p w14:paraId="5534E4CE" w14:textId="77777777" w:rsidR="004C6B45" w:rsidRPr="005516CD" w:rsidRDefault="004C6B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Coffee exports have declined sharply in recent years, and current exports are reported to be minimal or nil, while internal demand has increased at a steady rate of 2-3% annually. </w:t>
      </w:r>
      <w:r w:rsidR="007F4A56" w:rsidRPr="005516CD">
        <w:rPr>
          <w:rFonts w:asciiTheme="majorHAnsi" w:hAnsiTheme="majorHAnsi" w:cstheme="majorHAnsi"/>
          <w:sz w:val="20"/>
          <w:szCs w:val="20"/>
        </w:rPr>
        <w:t>The decline commenced in the 1980s, with production falling from 42,900 tonnes to 30,088 tonnes by 1987: by 2003, production fell to around 27,000 tonnes.  Haïti is currently an insignificant actor on global markets, accounting for only 0.4% of global production between 1995 and 2000</w:t>
      </w:r>
      <w:r w:rsidR="007F4A56" w:rsidRPr="005516CD">
        <w:rPr>
          <w:rStyle w:val="FootnoteReference"/>
          <w:rFonts w:asciiTheme="majorHAnsi" w:hAnsiTheme="majorHAnsi" w:cstheme="majorHAnsi"/>
          <w:sz w:val="20"/>
          <w:szCs w:val="20"/>
        </w:rPr>
        <w:footnoteReference w:id="21"/>
      </w:r>
      <w:r w:rsidR="007F4A56" w:rsidRPr="005516CD">
        <w:rPr>
          <w:rFonts w:asciiTheme="majorHAnsi" w:hAnsiTheme="majorHAnsi" w:cstheme="majorHAnsi"/>
          <w:sz w:val="20"/>
          <w:szCs w:val="20"/>
        </w:rPr>
        <w:t>.</w:t>
      </w:r>
    </w:p>
    <w:p w14:paraId="693A90A5" w14:textId="77777777" w:rsidR="004C6B45" w:rsidRPr="005516CD" w:rsidRDefault="004C6B45"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eastAsia="Calibri" w:hAnsiTheme="majorHAnsi" w:cstheme="majorHAnsi"/>
          <w:b/>
          <w:sz w:val="20"/>
          <w:szCs w:val="20"/>
        </w:rPr>
      </w:pPr>
      <w:bookmarkStart w:id="23" w:name="_Ref529729728"/>
      <w:r w:rsidRPr="005516CD">
        <w:rPr>
          <w:rFonts w:asciiTheme="majorHAnsi" w:eastAsia="Calibri" w:hAnsiTheme="majorHAnsi" w:cstheme="majorHAnsi"/>
          <w:b/>
          <w:color w:val="000000" w:themeColor="text1"/>
          <w:sz w:val="20"/>
          <w:szCs w:val="20"/>
        </w:rPr>
        <w:t>Quantity</w:t>
      </w:r>
      <w:r w:rsidRPr="005516CD">
        <w:rPr>
          <w:rFonts w:asciiTheme="majorHAnsi" w:eastAsia="Calibri" w:hAnsiTheme="majorHAnsi" w:cstheme="majorHAnsi"/>
          <w:b/>
          <w:sz w:val="20"/>
          <w:szCs w:val="20"/>
        </w:rPr>
        <w:t xml:space="preserve"> and value of Haitian coffee exports 1961-2007</w:t>
      </w:r>
      <w:bookmarkEnd w:id="23"/>
    </w:p>
    <w:p w14:paraId="06CBF3AB" w14:textId="77777777" w:rsidR="004C6B45" w:rsidRPr="005516CD" w:rsidRDefault="004C6B45" w:rsidP="004C6B45">
      <w:pPr>
        <w:pStyle w:val="Body"/>
        <w:jc w:val="left"/>
        <w:rPr>
          <w:rStyle w:val="None"/>
          <w:b/>
          <w:bCs/>
          <w:lang w:val="es-ES_tradnl"/>
        </w:rPr>
      </w:pPr>
      <w:r w:rsidRPr="005516CD">
        <w:rPr>
          <w:noProof/>
          <w:sz w:val="22"/>
          <w:szCs w:val="22"/>
          <w:lang w:val="en-US" w:eastAsia="en-US"/>
        </w:rPr>
        <w:drawing>
          <wp:inline distT="0" distB="0" distL="0" distR="0" wp14:anchorId="0E8C68E9" wp14:editId="3BA17B8D">
            <wp:extent cx="5727700" cy="2156847"/>
            <wp:effectExtent l="0" t="0" r="635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27700" cy="2156847"/>
                    </a:xfrm>
                    <a:prstGeom prst="rect">
                      <a:avLst/>
                    </a:prstGeom>
                    <a:noFill/>
                    <a:ln>
                      <a:noFill/>
                    </a:ln>
                  </pic:spPr>
                </pic:pic>
              </a:graphicData>
            </a:graphic>
          </wp:inline>
        </w:drawing>
      </w:r>
    </w:p>
    <w:p w14:paraId="594FA5E9" w14:textId="77777777" w:rsidR="00A76573" w:rsidRPr="005516CD" w:rsidRDefault="00A7657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More than 90% of coffee produced corresponds to natural (or dry-processed) coffee, where the beans are left to dry in the sun </w:t>
      </w:r>
      <w:r w:rsidRPr="005516CD">
        <w:rPr>
          <w:rFonts w:asciiTheme="majorHAnsi" w:eastAsia="Calibri" w:hAnsiTheme="majorHAnsi" w:cstheme="majorHAnsi"/>
          <w:sz w:val="20"/>
          <w:szCs w:val="20"/>
        </w:rPr>
        <w:t>for</w:t>
      </w:r>
      <w:r w:rsidRPr="005516CD">
        <w:rPr>
          <w:rFonts w:asciiTheme="majorHAnsi" w:hAnsiTheme="majorHAnsi" w:cstheme="majorHAnsi"/>
          <w:sz w:val="20"/>
          <w:szCs w:val="20"/>
        </w:rPr>
        <w:t xml:space="preserve"> a period of three to four months, then milled by rudimentary means (typically by women) at the farm, producing </w:t>
      </w:r>
      <w:r w:rsidRPr="005516CD">
        <w:rPr>
          <w:rFonts w:asciiTheme="majorHAnsi" w:hAnsiTheme="majorHAnsi" w:cstheme="majorHAnsi"/>
          <w:i/>
          <w:iCs/>
          <w:sz w:val="20"/>
          <w:szCs w:val="20"/>
        </w:rPr>
        <w:t xml:space="preserve">café </w:t>
      </w:r>
      <w:proofErr w:type="spellStart"/>
      <w:r w:rsidRPr="005516CD">
        <w:rPr>
          <w:rFonts w:asciiTheme="majorHAnsi" w:hAnsiTheme="majorHAnsi" w:cstheme="majorHAnsi"/>
          <w:i/>
          <w:iCs/>
          <w:sz w:val="20"/>
          <w:szCs w:val="20"/>
        </w:rPr>
        <w:t>pilé</w:t>
      </w:r>
      <w:proofErr w:type="spellEnd"/>
      <w:r w:rsidRPr="005516CD">
        <w:rPr>
          <w:rFonts w:asciiTheme="majorHAnsi" w:hAnsiTheme="majorHAnsi" w:cstheme="majorHAnsi"/>
          <w:i/>
          <w:iCs/>
          <w:sz w:val="20"/>
          <w:szCs w:val="20"/>
        </w:rPr>
        <w:t xml:space="preserve">, </w:t>
      </w:r>
      <w:r w:rsidRPr="005516CD">
        <w:rPr>
          <w:rFonts w:asciiTheme="majorHAnsi" w:hAnsiTheme="majorHAnsi" w:cstheme="majorHAnsi"/>
          <w:iCs/>
          <w:sz w:val="20"/>
          <w:szCs w:val="20"/>
        </w:rPr>
        <w:t xml:space="preserve">or </w:t>
      </w:r>
      <w:r w:rsidRPr="005516CD">
        <w:rPr>
          <w:rFonts w:asciiTheme="majorHAnsi" w:hAnsiTheme="majorHAnsi" w:cstheme="majorHAnsi"/>
          <w:sz w:val="20"/>
          <w:szCs w:val="20"/>
        </w:rPr>
        <w:t>milled in facilities that are equipped to produce “</w:t>
      </w:r>
      <w:r w:rsidRPr="005516CD">
        <w:rPr>
          <w:rFonts w:asciiTheme="majorHAnsi" w:hAnsiTheme="majorHAnsi" w:cstheme="majorHAnsi"/>
          <w:i/>
          <w:iCs/>
          <w:sz w:val="20"/>
          <w:szCs w:val="20"/>
        </w:rPr>
        <w:t>natural coffee”</w:t>
      </w:r>
      <w:r w:rsidRPr="005516CD">
        <w:rPr>
          <w:rFonts w:asciiTheme="majorHAnsi" w:hAnsiTheme="majorHAnsi" w:cstheme="majorHAnsi"/>
          <w:sz w:val="20"/>
          <w:szCs w:val="20"/>
        </w:rPr>
        <w:t>.</w:t>
      </w:r>
      <w:r w:rsidR="003801B3" w:rsidRPr="005516CD">
        <w:rPr>
          <w:rFonts w:asciiTheme="majorHAnsi" w:hAnsiTheme="majorHAnsi" w:cstheme="majorHAnsi"/>
          <w:sz w:val="20"/>
          <w:szCs w:val="20"/>
        </w:rPr>
        <w:t xml:space="preserve"> Very few farmers carry out “wet </w:t>
      </w:r>
      <w:r w:rsidR="003801B3" w:rsidRPr="005516CD">
        <w:rPr>
          <w:rFonts w:asciiTheme="majorHAnsi" w:hAnsiTheme="majorHAnsi" w:cstheme="majorHAnsi"/>
          <w:bCs/>
          <w:iCs/>
          <w:sz w:val="20"/>
          <w:szCs w:val="20"/>
        </w:rPr>
        <w:t>processing</w:t>
      </w:r>
      <w:r w:rsidR="003801B3" w:rsidRPr="005516CD">
        <w:rPr>
          <w:rFonts w:asciiTheme="majorHAnsi" w:hAnsiTheme="majorHAnsi" w:cstheme="majorHAnsi"/>
          <w:sz w:val="20"/>
          <w:szCs w:val="20"/>
        </w:rPr>
        <w:t xml:space="preserve">”, which involves de-pulping, washing and fermentation, despite the promotion of this practice by some agencies with the aim of improving coffee value. The option in fact exists of </w:t>
      </w:r>
      <w:r w:rsidR="003801B3" w:rsidRPr="005516CD">
        <w:rPr>
          <w:rFonts w:asciiTheme="majorHAnsi" w:eastAsia="Calibri" w:hAnsiTheme="majorHAnsi" w:cstheme="majorHAnsi"/>
          <w:sz w:val="20"/>
          <w:szCs w:val="20"/>
        </w:rPr>
        <w:t>promoting</w:t>
      </w:r>
      <w:r w:rsidR="003801B3" w:rsidRPr="005516CD">
        <w:rPr>
          <w:rFonts w:asciiTheme="majorHAnsi" w:hAnsiTheme="majorHAnsi" w:cstheme="majorHAnsi"/>
          <w:sz w:val="20"/>
          <w:szCs w:val="20"/>
        </w:rPr>
        <w:t xml:space="preserve"> “</w:t>
      </w:r>
      <w:r w:rsidR="003801B3" w:rsidRPr="005516CD">
        <w:rPr>
          <w:rFonts w:asciiTheme="majorHAnsi" w:hAnsiTheme="majorHAnsi" w:cstheme="majorHAnsi"/>
          <w:i/>
          <w:sz w:val="20"/>
          <w:szCs w:val="20"/>
        </w:rPr>
        <w:t>naturel</w:t>
      </w:r>
      <w:r w:rsidR="003801B3" w:rsidRPr="005516CD">
        <w:rPr>
          <w:rFonts w:asciiTheme="majorHAnsi" w:hAnsiTheme="majorHAnsi" w:cstheme="majorHAnsi"/>
          <w:sz w:val="20"/>
          <w:szCs w:val="20"/>
        </w:rPr>
        <w:t xml:space="preserve">” coffee (dried without de-pulping) as a niche product for certain markets, given </w:t>
      </w:r>
      <w:r w:rsidR="00A30FC8" w:rsidRPr="005516CD">
        <w:rPr>
          <w:rFonts w:asciiTheme="majorHAnsi" w:hAnsiTheme="majorHAnsi" w:cstheme="majorHAnsi"/>
          <w:sz w:val="20"/>
          <w:szCs w:val="20"/>
        </w:rPr>
        <w:t xml:space="preserve">its </w:t>
      </w:r>
      <w:r w:rsidR="003801B3" w:rsidRPr="005516CD">
        <w:rPr>
          <w:rFonts w:asciiTheme="majorHAnsi" w:hAnsiTheme="majorHAnsi" w:cstheme="majorHAnsi"/>
          <w:sz w:val="20"/>
          <w:szCs w:val="20"/>
        </w:rPr>
        <w:t>full</w:t>
      </w:r>
      <w:r w:rsidR="00A30FC8" w:rsidRPr="005516CD">
        <w:rPr>
          <w:rFonts w:asciiTheme="majorHAnsi" w:hAnsiTheme="majorHAnsi" w:cstheme="majorHAnsi"/>
          <w:sz w:val="20"/>
          <w:szCs w:val="20"/>
        </w:rPr>
        <w:t>-</w:t>
      </w:r>
      <w:r w:rsidR="003801B3" w:rsidRPr="005516CD">
        <w:rPr>
          <w:rFonts w:asciiTheme="majorHAnsi" w:hAnsiTheme="majorHAnsi" w:cstheme="majorHAnsi"/>
          <w:sz w:val="20"/>
          <w:szCs w:val="20"/>
        </w:rPr>
        <w:t>bodied taste.</w:t>
      </w:r>
    </w:p>
    <w:p w14:paraId="5F9CBDB9" w14:textId="77777777" w:rsidR="004C6B45" w:rsidRPr="005516CD" w:rsidRDefault="00A7657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Local roasters commonly buy coffee from speculators and occasionally from farmers’ associations; small and medium enterprises are involved in roasting and grinding, and in 2010 the coffee chain had only four private exporters.</w:t>
      </w:r>
    </w:p>
    <w:p w14:paraId="1B27597F" w14:textId="77777777" w:rsidR="004C6B45" w:rsidRPr="005516CD" w:rsidRDefault="004C6B45" w:rsidP="006B27F4">
      <w:pPr>
        <w:pStyle w:val="ListParagraph"/>
        <w:keepNext/>
        <w:numPr>
          <w:ilvl w:val="3"/>
          <w:numId w:val="90"/>
        </w:numPr>
        <w:spacing w:after="60"/>
        <w:ind w:left="851" w:right="96" w:hanging="851"/>
        <w:contextualSpacing/>
        <w:jc w:val="both"/>
        <w:rPr>
          <w:rFonts w:asciiTheme="majorHAnsi" w:hAnsiTheme="majorHAnsi" w:cstheme="majorHAnsi"/>
          <w:b/>
          <w:sz w:val="20"/>
          <w:szCs w:val="20"/>
        </w:rPr>
      </w:pPr>
      <w:r w:rsidRPr="005516CD">
        <w:rPr>
          <w:rFonts w:asciiTheme="majorHAnsi" w:hAnsiTheme="majorHAnsi" w:cstheme="majorHAnsi"/>
          <w:b/>
          <w:sz w:val="20"/>
          <w:szCs w:val="20"/>
        </w:rPr>
        <w:t>Summary of coffee value chain constraints</w:t>
      </w:r>
      <w:r w:rsidRPr="005516CD">
        <w:rPr>
          <w:rStyle w:val="FootnoteReference"/>
          <w:rFonts w:asciiTheme="majorHAnsi" w:hAnsiTheme="majorHAnsi" w:cstheme="majorHAnsi"/>
          <w:sz w:val="20"/>
          <w:szCs w:val="20"/>
        </w:rPr>
        <w:footnoteReference w:id="22"/>
      </w:r>
    </w:p>
    <w:tbl>
      <w:tblPr>
        <w:tblStyle w:val="TableGrid"/>
        <w:tblW w:w="0" w:type="auto"/>
        <w:tblLook w:val="04A0" w:firstRow="1" w:lastRow="0" w:firstColumn="1" w:lastColumn="0" w:noHBand="0" w:noVBand="1"/>
      </w:tblPr>
      <w:tblGrid>
        <w:gridCol w:w="1838"/>
        <w:gridCol w:w="2410"/>
        <w:gridCol w:w="4762"/>
      </w:tblGrid>
      <w:tr w:rsidR="004C6B45" w:rsidRPr="005516CD" w14:paraId="68EFC895" w14:textId="77777777" w:rsidTr="00BB71EF">
        <w:trPr>
          <w:tblHeader/>
        </w:trPr>
        <w:tc>
          <w:tcPr>
            <w:tcW w:w="1838" w:type="dxa"/>
            <w:shd w:val="clear" w:color="auto" w:fill="D9D9D9" w:themeFill="background1" w:themeFillShade="D9"/>
          </w:tcPr>
          <w:p w14:paraId="4FA11735" w14:textId="77777777" w:rsidR="004C6B45" w:rsidRPr="005516CD" w:rsidRDefault="004C6B45" w:rsidP="00DB1908">
            <w:pPr>
              <w:spacing w:after="60"/>
              <w:ind w:right="96"/>
              <w:contextualSpacing/>
              <w:jc w:val="center"/>
              <w:rPr>
                <w:rFonts w:asciiTheme="majorHAnsi" w:hAnsiTheme="majorHAnsi" w:cstheme="majorHAnsi"/>
                <w:b/>
                <w:sz w:val="20"/>
                <w:szCs w:val="20"/>
              </w:rPr>
            </w:pPr>
            <w:r w:rsidRPr="005516CD">
              <w:rPr>
                <w:rFonts w:asciiTheme="majorHAnsi" w:hAnsiTheme="majorHAnsi" w:cstheme="majorHAnsi"/>
                <w:b/>
                <w:sz w:val="20"/>
                <w:szCs w:val="20"/>
              </w:rPr>
              <w:t>Links in the chain</w:t>
            </w:r>
          </w:p>
        </w:tc>
        <w:tc>
          <w:tcPr>
            <w:tcW w:w="2410" w:type="dxa"/>
            <w:shd w:val="clear" w:color="auto" w:fill="D9D9D9" w:themeFill="background1" w:themeFillShade="D9"/>
          </w:tcPr>
          <w:p w14:paraId="72041D53" w14:textId="77777777" w:rsidR="004C6B45" w:rsidRPr="005516CD" w:rsidRDefault="004C6B45" w:rsidP="00DB1908">
            <w:pPr>
              <w:spacing w:after="60"/>
              <w:ind w:right="96"/>
              <w:contextualSpacing/>
              <w:jc w:val="center"/>
              <w:rPr>
                <w:rFonts w:asciiTheme="majorHAnsi" w:hAnsiTheme="majorHAnsi" w:cstheme="majorHAnsi"/>
                <w:b/>
                <w:sz w:val="20"/>
                <w:szCs w:val="20"/>
              </w:rPr>
            </w:pPr>
            <w:r w:rsidRPr="005516CD">
              <w:rPr>
                <w:rFonts w:asciiTheme="majorHAnsi" w:hAnsiTheme="majorHAnsi" w:cstheme="majorHAnsi"/>
                <w:b/>
                <w:sz w:val="20"/>
                <w:szCs w:val="20"/>
              </w:rPr>
              <w:t>Constraints</w:t>
            </w:r>
          </w:p>
        </w:tc>
        <w:tc>
          <w:tcPr>
            <w:tcW w:w="4762" w:type="dxa"/>
            <w:shd w:val="clear" w:color="auto" w:fill="D9D9D9" w:themeFill="background1" w:themeFillShade="D9"/>
          </w:tcPr>
          <w:p w14:paraId="22E5E786" w14:textId="77777777" w:rsidR="004C6B45" w:rsidRPr="005516CD" w:rsidRDefault="004C6B45" w:rsidP="00DB1908">
            <w:pPr>
              <w:spacing w:after="60"/>
              <w:ind w:right="96"/>
              <w:contextualSpacing/>
              <w:jc w:val="center"/>
              <w:rPr>
                <w:rFonts w:asciiTheme="majorHAnsi" w:hAnsiTheme="majorHAnsi" w:cstheme="majorHAnsi"/>
                <w:b/>
                <w:sz w:val="20"/>
                <w:szCs w:val="20"/>
              </w:rPr>
            </w:pPr>
            <w:r w:rsidRPr="005516CD">
              <w:rPr>
                <w:rFonts w:asciiTheme="majorHAnsi" w:hAnsiTheme="majorHAnsi" w:cstheme="majorHAnsi"/>
                <w:b/>
                <w:sz w:val="20"/>
                <w:szCs w:val="20"/>
              </w:rPr>
              <w:t>Strategic objectives necessary to address constraints</w:t>
            </w:r>
          </w:p>
        </w:tc>
      </w:tr>
      <w:tr w:rsidR="004C6B45" w:rsidRPr="005516CD" w14:paraId="5DCB45E3" w14:textId="77777777" w:rsidTr="00BB71EF">
        <w:tc>
          <w:tcPr>
            <w:tcW w:w="1838" w:type="dxa"/>
            <w:vMerge w:val="restart"/>
          </w:tcPr>
          <w:p w14:paraId="51EEF237" w14:textId="77777777" w:rsidR="004C6B45" w:rsidRPr="005516CD" w:rsidRDefault="004C6B45" w:rsidP="00DB1908">
            <w:pPr>
              <w:spacing w:after="60"/>
              <w:ind w:right="96"/>
              <w:contextualSpacing/>
              <w:jc w:val="both"/>
              <w:rPr>
                <w:rFonts w:asciiTheme="majorHAnsi" w:hAnsiTheme="majorHAnsi" w:cstheme="majorHAnsi"/>
                <w:sz w:val="20"/>
                <w:szCs w:val="20"/>
              </w:rPr>
            </w:pPr>
            <w:r w:rsidRPr="005516CD">
              <w:rPr>
                <w:rFonts w:asciiTheme="majorHAnsi" w:hAnsiTheme="majorHAnsi" w:cstheme="majorHAnsi"/>
                <w:sz w:val="20"/>
                <w:szCs w:val="20"/>
              </w:rPr>
              <w:t>Production</w:t>
            </w:r>
          </w:p>
        </w:tc>
        <w:tc>
          <w:tcPr>
            <w:tcW w:w="2410" w:type="dxa"/>
          </w:tcPr>
          <w:p w14:paraId="56CF0C02"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No effective state policy toward coffee subsector</w:t>
            </w:r>
          </w:p>
        </w:tc>
        <w:tc>
          <w:tcPr>
            <w:tcW w:w="4762" w:type="dxa"/>
          </w:tcPr>
          <w:p w14:paraId="600C955F"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Define state policies toward coffee sub-sector</w:t>
            </w:r>
          </w:p>
        </w:tc>
      </w:tr>
      <w:tr w:rsidR="004C6B45" w:rsidRPr="005516CD" w14:paraId="04A4EAC3" w14:textId="77777777" w:rsidTr="00BB71EF">
        <w:tc>
          <w:tcPr>
            <w:tcW w:w="1838" w:type="dxa"/>
            <w:vMerge/>
          </w:tcPr>
          <w:p w14:paraId="5A44F047" w14:textId="77777777" w:rsidR="004C6B45" w:rsidRPr="005516CD" w:rsidRDefault="004C6B45" w:rsidP="00DB1908">
            <w:pPr>
              <w:spacing w:after="60"/>
              <w:ind w:right="96"/>
              <w:contextualSpacing/>
              <w:jc w:val="both"/>
              <w:rPr>
                <w:rFonts w:asciiTheme="majorHAnsi" w:hAnsiTheme="majorHAnsi" w:cstheme="majorHAnsi"/>
                <w:sz w:val="20"/>
                <w:szCs w:val="20"/>
              </w:rPr>
            </w:pPr>
          </w:p>
        </w:tc>
        <w:tc>
          <w:tcPr>
            <w:tcW w:w="2410" w:type="dxa"/>
          </w:tcPr>
          <w:p w14:paraId="21C2B354"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Low access to capital</w:t>
            </w:r>
          </w:p>
        </w:tc>
        <w:tc>
          <w:tcPr>
            <w:tcW w:w="4762" w:type="dxa"/>
          </w:tcPr>
          <w:p w14:paraId="456667B2"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Improve access to capital for coffee producers</w:t>
            </w:r>
          </w:p>
        </w:tc>
      </w:tr>
      <w:tr w:rsidR="004C6B45" w:rsidRPr="005516CD" w14:paraId="7C3CA8CD" w14:textId="77777777" w:rsidTr="00BB71EF">
        <w:tc>
          <w:tcPr>
            <w:tcW w:w="1838" w:type="dxa"/>
            <w:vMerge/>
          </w:tcPr>
          <w:p w14:paraId="45CEFF2D" w14:textId="77777777" w:rsidR="004C6B45" w:rsidRPr="005516CD" w:rsidRDefault="004C6B45" w:rsidP="00DB1908">
            <w:pPr>
              <w:spacing w:after="60"/>
              <w:ind w:right="96"/>
              <w:contextualSpacing/>
              <w:jc w:val="both"/>
              <w:rPr>
                <w:rFonts w:asciiTheme="majorHAnsi" w:hAnsiTheme="majorHAnsi" w:cstheme="majorHAnsi"/>
                <w:sz w:val="20"/>
                <w:szCs w:val="20"/>
              </w:rPr>
            </w:pPr>
          </w:p>
        </w:tc>
        <w:tc>
          <w:tcPr>
            <w:tcW w:w="2410" w:type="dxa"/>
          </w:tcPr>
          <w:p w14:paraId="31202E00"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Insufficient technical assistance</w:t>
            </w:r>
          </w:p>
        </w:tc>
        <w:tc>
          <w:tcPr>
            <w:tcW w:w="4762" w:type="dxa"/>
          </w:tcPr>
          <w:p w14:paraId="3A9188DF"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Make technical assistance available, efficient and appropriate</w:t>
            </w:r>
          </w:p>
        </w:tc>
      </w:tr>
      <w:tr w:rsidR="004C6B45" w:rsidRPr="005516CD" w14:paraId="09BBB4C1" w14:textId="77777777" w:rsidTr="00BB71EF">
        <w:tc>
          <w:tcPr>
            <w:tcW w:w="1838" w:type="dxa"/>
            <w:vMerge/>
          </w:tcPr>
          <w:p w14:paraId="3E24BFDA" w14:textId="77777777" w:rsidR="004C6B45" w:rsidRPr="005516CD" w:rsidRDefault="004C6B45" w:rsidP="00DB1908">
            <w:pPr>
              <w:spacing w:after="60"/>
              <w:ind w:right="96"/>
              <w:contextualSpacing/>
              <w:jc w:val="both"/>
              <w:rPr>
                <w:rFonts w:asciiTheme="majorHAnsi" w:hAnsiTheme="majorHAnsi" w:cstheme="majorHAnsi"/>
                <w:sz w:val="20"/>
                <w:szCs w:val="20"/>
              </w:rPr>
            </w:pPr>
          </w:p>
        </w:tc>
        <w:tc>
          <w:tcPr>
            <w:tcW w:w="2410" w:type="dxa"/>
          </w:tcPr>
          <w:p w14:paraId="22E0DFF2"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High incidence of pests and diseases</w:t>
            </w:r>
          </w:p>
        </w:tc>
        <w:tc>
          <w:tcPr>
            <w:tcW w:w="4762" w:type="dxa"/>
          </w:tcPr>
          <w:p w14:paraId="27FC00E9"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Reduce incidence and spread of pests and diseases</w:t>
            </w:r>
          </w:p>
        </w:tc>
      </w:tr>
      <w:tr w:rsidR="004C6B45" w:rsidRPr="005516CD" w14:paraId="1C3CFBF2" w14:textId="77777777" w:rsidTr="00BB71EF">
        <w:tc>
          <w:tcPr>
            <w:tcW w:w="1838" w:type="dxa"/>
            <w:vMerge/>
          </w:tcPr>
          <w:p w14:paraId="0111F5E2" w14:textId="77777777" w:rsidR="004C6B45" w:rsidRPr="005516CD" w:rsidRDefault="004C6B45" w:rsidP="00DB1908">
            <w:pPr>
              <w:spacing w:after="60"/>
              <w:ind w:right="96"/>
              <w:contextualSpacing/>
              <w:jc w:val="both"/>
              <w:rPr>
                <w:rFonts w:asciiTheme="majorHAnsi" w:hAnsiTheme="majorHAnsi" w:cstheme="majorHAnsi"/>
                <w:sz w:val="20"/>
                <w:szCs w:val="20"/>
              </w:rPr>
            </w:pPr>
          </w:p>
        </w:tc>
        <w:tc>
          <w:tcPr>
            <w:tcW w:w="2410" w:type="dxa"/>
          </w:tcPr>
          <w:p w14:paraId="29128132"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Soil erosion</w:t>
            </w:r>
          </w:p>
        </w:tc>
        <w:tc>
          <w:tcPr>
            <w:tcW w:w="4762" w:type="dxa"/>
          </w:tcPr>
          <w:p w14:paraId="45F32771"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Foster soil protection</w:t>
            </w:r>
          </w:p>
        </w:tc>
      </w:tr>
      <w:tr w:rsidR="004C6B45" w:rsidRPr="005516CD" w14:paraId="0CE8C01C" w14:textId="77777777" w:rsidTr="00BB71EF">
        <w:tc>
          <w:tcPr>
            <w:tcW w:w="1838" w:type="dxa"/>
            <w:vMerge w:val="restart"/>
          </w:tcPr>
          <w:p w14:paraId="6A9A45A2" w14:textId="77777777" w:rsidR="004C6B45" w:rsidRPr="005516CD" w:rsidRDefault="004C6B45" w:rsidP="00DB1908">
            <w:pPr>
              <w:spacing w:after="60"/>
              <w:ind w:right="96"/>
              <w:contextualSpacing/>
              <w:jc w:val="both"/>
              <w:rPr>
                <w:rFonts w:asciiTheme="majorHAnsi" w:hAnsiTheme="majorHAnsi" w:cstheme="majorHAnsi"/>
                <w:sz w:val="20"/>
                <w:szCs w:val="20"/>
              </w:rPr>
            </w:pPr>
            <w:r w:rsidRPr="005516CD">
              <w:rPr>
                <w:rFonts w:asciiTheme="majorHAnsi" w:hAnsiTheme="majorHAnsi" w:cstheme="majorHAnsi"/>
                <w:sz w:val="20"/>
                <w:szCs w:val="20"/>
              </w:rPr>
              <w:t>Transformation</w:t>
            </w:r>
          </w:p>
        </w:tc>
        <w:tc>
          <w:tcPr>
            <w:tcW w:w="2410" w:type="dxa"/>
            <w:vMerge w:val="restart"/>
          </w:tcPr>
          <w:p w14:paraId="3B6E4612"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Scarce infrastructure and local skills available for processing washed coffee</w:t>
            </w:r>
          </w:p>
        </w:tc>
        <w:tc>
          <w:tcPr>
            <w:tcW w:w="4762" w:type="dxa"/>
          </w:tcPr>
          <w:p w14:paraId="108301CD"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Promote basic infrastructure for processing washed coffee</w:t>
            </w:r>
          </w:p>
        </w:tc>
      </w:tr>
      <w:tr w:rsidR="004C6B45" w:rsidRPr="005516CD" w14:paraId="24F6DC8C" w14:textId="77777777" w:rsidTr="00BB71EF">
        <w:tc>
          <w:tcPr>
            <w:tcW w:w="1838" w:type="dxa"/>
            <w:vMerge/>
          </w:tcPr>
          <w:p w14:paraId="581EB335" w14:textId="77777777" w:rsidR="004C6B45" w:rsidRPr="005516CD" w:rsidRDefault="004C6B45" w:rsidP="00DB1908">
            <w:pPr>
              <w:spacing w:after="60"/>
              <w:ind w:right="96"/>
              <w:contextualSpacing/>
              <w:jc w:val="both"/>
              <w:rPr>
                <w:rFonts w:asciiTheme="majorHAnsi" w:hAnsiTheme="majorHAnsi" w:cstheme="majorHAnsi"/>
                <w:sz w:val="20"/>
                <w:szCs w:val="20"/>
              </w:rPr>
            </w:pPr>
          </w:p>
        </w:tc>
        <w:tc>
          <w:tcPr>
            <w:tcW w:w="2410" w:type="dxa"/>
            <w:vMerge/>
          </w:tcPr>
          <w:p w14:paraId="2CCDEB92" w14:textId="77777777" w:rsidR="004C6B45" w:rsidRPr="005516CD" w:rsidRDefault="004C6B45" w:rsidP="00DB1908">
            <w:pPr>
              <w:spacing w:after="60"/>
              <w:ind w:right="96"/>
              <w:contextualSpacing/>
              <w:rPr>
                <w:rFonts w:asciiTheme="majorHAnsi" w:hAnsiTheme="majorHAnsi" w:cstheme="majorHAnsi"/>
                <w:sz w:val="20"/>
                <w:szCs w:val="20"/>
              </w:rPr>
            </w:pPr>
          </w:p>
        </w:tc>
        <w:tc>
          <w:tcPr>
            <w:tcW w:w="4762" w:type="dxa"/>
          </w:tcPr>
          <w:p w14:paraId="72D3086B"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Local capacity building (focus on maintaining quality)</w:t>
            </w:r>
          </w:p>
        </w:tc>
      </w:tr>
      <w:tr w:rsidR="004C6B45" w:rsidRPr="005516CD" w14:paraId="07F39150" w14:textId="77777777" w:rsidTr="00BB71EF">
        <w:tc>
          <w:tcPr>
            <w:tcW w:w="1838" w:type="dxa"/>
            <w:vMerge/>
          </w:tcPr>
          <w:p w14:paraId="2D779B16" w14:textId="77777777" w:rsidR="004C6B45" w:rsidRPr="005516CD" w:rsidRDefault="004C6B45" w:rsidP="00DB1908">
            <w:pPr>
              <w:spacing w:after="60"/>
              <w:ind w:right="96"/>
              <w:contextualSpacing/>
              <w:jc w:val="both"/>
              <w:rPr>
                <w:rFonts w:asciiTheme="majorHAnsi" w:hAnsiTheme="majorHAnsi" w:cstheme="majorHAnsi"/>
                <w:sz w:val="20"/>
                <w:szCs w:val="20"/>
              </w:rPr>
            </w:pPr>
          </w:p>
        </w:tc>
        <w:tc>
          <w:tcPr>
            <w:tcW w:w="2410" w:type="dxa"/>
            <w:vMerge/>
          </w:tcPr>
          <w:p w14:paraId="6085659E" w14:textId="77777777" w:rsidR="004C6B45" w:rsidRPr="005516CD" w:rsidRDefault="004C6B45" w:rsidP="00DB1908">
            <w:pPr>
              <w:spacing w:after="60"/>
              <w:ind w:right="96"/>
              <w:contextualSpacing/>
              <w:rPr>
                <w:rFonts w:asciiTheme="majorHAnsi" w:hAnsiTheme="majorHAnsi" w:cstheme="majorHAnsi"/>
                <w:sz w:val="20"/>
                <w:szCs w:val="20"/>
              </w:rPr>
            </w:pPr>
          </w:p>
        </w:tc>
        <w:tc>
          <w:tcPr>
            <w:tcW w:w="4762" w:type="dxa"/>
          </w:tcPr>
          <w:p w14:paraId="78985B4D"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Foster the development of cupping labs in selected cooperatives</w:t>
            </w:r>
          </w:p>
        </w:tc>
      </w:tr>
      <w:tr w:rsidR="004C6B45" w:rsidRPr="005516CD" w14:paraId="6395C218" w14:textId="77777777" w:rsidTr="00BB71EF">
        <w:tc>
          <w:tcPr>
            <w:tcW w:w="1838" w:type="dxa"/>
          </w:tcPr>
          <w:p w14:paraId="261A52C0" w14:textId="77777777" w:rsidR="004C6B45" w:rsidRPr="005516CD" w:rsidRDefault="004C6B45" w:rsidP="00DB1908">
            <w:pPr>
              <w:spacing w:after="60"/>
              <w:ind w:right="96"/>
              <w:contextualSpacing/>
              <w:jc w:val="both"/>
              <w:rPr>
                <w:rFonts w:asciiTheme="majorHAnsi" w:hAnsiTheme="majorHAnsi" w:cstheme="majorHAnsi"/>
                <w:sz w:val="20"/>
                <w:szCs w:val="20"/>
              </w:rPr>
            </w:pPr>
            <w:r w:rsidRPr="005516CD">
              <w:rPr>
                <w:rFonts w:asciiTheme="majorHAnsi" w:hAnsiTheme="majorHAnsi" w:cstheme="majorHAnsi"/>
                <w:sz w:val="20"/>
                <w:szCs w:val="20"/>
              </w:rPr>
              <w:t>Commercialisation</w:t>
            </w:r>
          </w:p>
        </w:tc>
        <w:tc>
          <w:tcPr>
            <w:tcW w:w="2410" w:type="dxa"/>
          </w:tcPr>
          <w:p w14:paraId="5AE55B6D"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Weak business management skills at grassroots level</w:t>
            </w:r>
          </w:p>
        </w:tc>
        <w:tc>
          <w:tcPr>
            <w:tcW w:w="4762" w:type="dxa"/>
          </w:tcPr>
          <w:p w14:paraId="2BF14FF9" w14:textId="77777777" w:rsidR="004C6B45" w:rsidRPr="005516CD" w:rsidRDefault="004C6B45" w:rsidP="00DB1908">
            <w:pPr>
              <w:spacing w:after="60"/>
              <w:ind w:right="96"/>
              <w:contextualSpacing/>
              <w:rPr>
                <w:rFonts w:asciiTheme="majorHAnsi" w:hAnsiTheme="majorHAnsi" w:cstheme="majorHAnsi"/>
                <w:sz w:val="20"/>
                <w:szCs w:val="20"/>
              </w:rPr>
            </w:pPr>
            <w:r w:rsidRPr="005516CD">
              <w:rPr>
                <w:rFonts w:asciiTheme="majorHAnsi" w:hAnsiTheme="majorHAnsi" w:cstheme="majorHAnsi"/>
                <w:sz w:val="20"/>
                <w:szCs w:val="20"/>
              </w:rPr>
              <w:t>Strengthen regional networks (and co-ops) in organisational and business management skills with a strong market orientation</w:t>
            </w:r>
          </w:p>
        </w:tc>
      </w:tr>
    </w:tbl>
    <w:p w14:paraId="03440D3B" w14:textId="77777777" w:rsidR="004C6B45" w:rsidRPr="005516CD" w:rsidRDefault="004C6B45" w:rsidP="004C6B45">
      <w:pPr>
        <w:spacing w:after="60"/>
        <w:ind w:right="96"/>
        <w:contextualSpacing/>
        <w:jc w:val="both"/>
        <w:rPr>
          <w:rFonts w:asciiTheme="majorHAnsi" w:hAnsiTheme="majorHAnsi" w:cstheme="majorHAnsi"/>
          <w:sz w:val="20"/>
          <w:szCs w:val="20"/>
        </w:rPr>
      </w:pPr>
    </w:p>
    <w:p w14:paraId="64BC433C" w14:textId="77777777" w:rsidR="007F4A56" w:rsidRPr="005516CD" w:rsidRDefault="007F4A56"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Despite declines in production and export since the 1990s, a number of new market opportunities have opened up, including export to the Dominican Republic, growin</w:t>
      </w:r>
      <w:r w:rsidR="00F73FC0" w:rsidRPr="005516CD">
        <w:rPr>
          <w:rFonts w:asciiTheme="majorHAnsi" w:hAnsiTheme="majorHAnsi" w:cstheme="majorHAnsi"/>
          <w:sz w:val="20"/>
          <w:szCs w:val="20"/>
        </w:rPr>
        <w:t>g</w:t>
      </w:r>
      <w:r w:rsidRPr="005516CD">
        <w:rPr>
          <w:rFonts w:asciiTheme="majorHAnsi" w:hAnsiTheme="majorHAnsi" w:cstheme="majorHAnsi"/>
          <w:sz w:val="20"/>
          <w:szCs w:val="20"/>
        </w:rPr>
        <w:t xml:space="preserve"> domestic demand and growing global demand for premium quality coffees.  </w:t>
      </w:r>
    </w:p>
    <w:p w14:paraId="256C347C" w14:textId="77777777" w:rsidR="002F4288" w:rsidRPr="005516CD" w:rsidRDefault="007F4A56"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Growing domestic demand</w:t>
      </w:r>
      <w:r w:rsidR="009B7219" w:rsidRPr="005516CD">
        <w:rPr>
          <w:rFonts w:asciiTheme="majorHAnsi" w:hAnsiTheme="majorHAnsi" w:cstheme="majorHAnsi"/>
          <w:sz w:val="20"/>
          <w:szCs w:val="20"/>
        </w:rPr>
        <w:t xml:space="preserve"> is largely </w:t>
      </w:r>
      <w:r w:rsidRPr="005516CD">
        <w:rPr>
          <w:rFonts w:asciiTheme="majorHAnsi" w:hAnsiTheme="majorHAnsi" w:cstheme="majorHAnsi"/>
          <w:sz w:val="20"/>
          <w:szCs w:val="20"/>
        </w:rPr>
        <w:t xml:space="preserve">related to </w:t>
      </w:r>
      <w:proofErr w:type="spellStart"/>
      <w:r w:rsidRPr="005516CD">
        <w:rPr>
          <w:rFonts w:asciiTheme="majorHAnsi" w:hAnsiTheme="majorHAnsi" w:cstheme="majorHAnsi"/>
          <w:sz w:val="20"/>
          <w:szCs w:val="20"/>
        </w:rPr>
        <w:t>demoraphic</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rowth</w:t>
      </w:r>
      <w:proofErr w:type="spellEnd"/>
      <w:r w:rsidRPr="005516CD">
        <w:rPr>
          <w:rFonts w:asciiTheme="majorHAnsi" w:hAnsiTheme="majorHAnsi" w:cstheme="majorHAnsi"/>
          <w:sz w:val="20"/>
          <w:szCs w:val="20"/>
        </w:rPr>
        <w:t xml:space="preserve"> and increasing urbanization: today, domestic consumption accounts for 68% of production. </w:t>
      </w:r>
      <w:r w:rsidR="002F4288" w:rsidRPr="005516CD">
        <w:rPr>
          <w:rFonts w:asciiTheme="majorHAnsi" w:hAnsiTheme="majorHAnsi" w:cstheme="majorHAnsi"/>
          <w:sz w:val="20"/>
          <w:szCs w:val="20"/>
        </w:rPr>
        <w:t>Domestic demand significantly exceeds supply (processing capacity in organizations/</w:t>
      </w:r>
      <w:r w:rsidR="002F4288" w:rsidRPr="005516CD">
        <w:rPr>
          <w:rFonts w:asciiTheme="majorHAnsi" w:hAnsiTheme="majorHAnsi" w:cstheme="majorHAnsi"/>
          <w:bCs/>
          <w:iCs/>
          <w:sz w:val="20"/>
          <w:szCs w:val="20"/>
        </w:rPr>
        <w:t>regional</w:t>
      </w:r>
      <w:r w:rsidR="002F4288" w:rsidRPr="005516CD">
        <w:rPr>
          <w:rFonts w:asciiTheme="majorHAnsi" w:hAnsiTheme="majorHAnsi" w:cstheme="majorHAnsi"/>
          <w:sz w:val="20"/>
          <w:szCs w:val="20"/>
        </w:rPr>
        <w:t xml:space="preserve"> networks is frequently underutilized due to low volumes of available coffee), and domestic prices are </w:t>
      </w:r>
      <w:r w:rsidR="002F4288" w:rsidRPr="005516CD">
        <w:rPr>
          <w:rFonts w:asciiTheme="majorHAnsi" w:eastAsia="Calibri" w:hAnsiTheme="majorHAnsi" w:cstheme="majorHAnsi"/>
          <w:sz w:val="20"/>
          <w:szCs w:val="20"/>
        </w:rPr>
        <w:t>significantly</w:t>
      </w:r>
      <w:r w:rsidR="002F4288" w:rsidRPr="005516CD">
        <w:rPr>
          <w:rFonts w:asciiTheme="majorHAnsi" w:hAnsiTheme="majorHAnsi" w:cstheme="majorHAnsi"/>
          <w:sz w:val="20"/>
          <w:szCs w:val="20"/>
        </w:rPr>
        <w:t xml:space="preserve"> higher than those available on international markets, both of which factors constitute disincentives for entering into export markets, apart from any quality constraints. A further factor that makes domestic markets more attractive than international markets is the fact that when exporting, the sector is required to offer advance payments to producers while revenues are generated only when green coffee reaches the final market, whereas the domestic market offers immediate payments upon the sale of coffee cherries.</w:t>
      </w:r>
    </w:p>
    <w:p w14:paraId="432641CD" w14:textId="77777777" w:rsidR="007F4A56" w:rsidRPr="005516CD" w:rsidRDefault="002F4288"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agroecological conditions in Haiti are favourable for the production of high</w:t>
      </w:r>
      <w:r w:rsidR="009F0C55" w:rsidRPr="005516CD">
        <w:rPr>
          <w:rFonts w:asciiTheme="majorHAnsi" w:hAnsiTheme="majorHAnsi" w:cstheme="majorHAnsi"/>
          <w:sz w:val="20"/>
          <w:szCs w:val="20"/>
        </w:rPr>
        <w:t>-</w:t>
      </w:r>
      <w:r w:rsidRPr="005516CD">
        <w:rPr>
          <w:rFonts w:asciiTheme="majorHAnsi" w:hAnsiTheme="majorHAnsi" w:cstheme="majorHAnsi"/>
          <w:sz w:val="20"/>
          <w:szCs w:val="20"/>
        </w:rPr>
        <w:t xml:space="preserve">quality coffee, with potential to obtain premium prices on international markets, as shown by recent initiatives </w:t>
      </w:r>
      <w:r w:rsidR="009F0C55" w:rsidRPr="005516CD">
        <w:rPr>
          <w:rFonts w:asciiTheme="majorHAnsi" w:hAnsiTheme="majorHAnsi" w:cstheme="majorHAnsi"/>
          <w:sz w:val="20"/>
          <w:szCs w:val="20"/>
        </w:rPr>
        <w:t>s</w:t>
      </w:r>
      <w:r w:rsidRPr="005516CD">
        <w:rPr>
          <w:rFonts w:asciiTheme="majorHAnsi" w:hAnsiTheme="majorHAnsi" w:cstheme="majorHAnsi"/>
          <w:sz w:val="20"/>
          <w:szCs w:val="20"/>
        </w:rPr>
        <w:t>uch as the promotion of Haitian Blue coffee</w:t>
      </w:r>
      <w:r w:rsidR="009F0C55" w:rsidRPr="005516CD">
        <w:rPr>
          <w:rStyle w:val="FootnoteReference"/>
          <w:rFonts w:asciiTheme="majorHAnsi" w:hAnsiTheme="majorHAnsi" w:cstheme="majorHAnsi"/>
          <w:sz w:val="20"/>
          <w:szCs w:val="20"/>
        </w:rPr>
        <w:footnoteReference w:id="23"/>
      </w:r>
      <w:r w:rsidRPr="005516CD">
        <w:rPr>
          <w:rFonts w:asciiTheme="majorHAnsi" w:hAnsiTheme="majorHAnsi" w:cstheme="majorHAnsi"/>
          <w:sz w:val="20"/>
          <w:szCs w:val="20"/>
        </w:rPr>
        <w:t xml:space="preserve">. </w:t>
      </w:r>
    </w:p>
    <w:p w14:paraId="2DB73DA0" w14:textId="77777777" w:rsidR="00DD2539" w:rsidRPr="005516CD" w:rsidRDefault="00173D4C" w:rsidP="00BB71EF">
      <w:pPr>
        <w:pStyle w:val="Heading7"/>
        <w:keepNext/>
        <w:spacing w:before="0"/>
        <w:ind w:left="0"/>
        <w:rPr>
          <w:rFonts w:asciiTheme="majorHAnsi" w:hAnsiTheme="majorHAnsi" w:cstheme="majorHAnsi"/>
          <w:i/>
        </w:rPr>
      </w:pPr>
      <w:proofErr w:type="spellStart"/>
      <w:r w:rsidRPr="005516CD">
        <w:rPr>
          <w:rFonts w:asciiTheme="majorHAnsi" w:hAnsiTheme="majorHAnsi" w:cstheme="majorHAnsi"/>
          <w:i/>
        </w:rPr>
        <w:t>Rootcrops</w:t>
      </w:r>
      <w:proofErr w:type="spellEnd"/>
      <w:r w:rsidRPr="005516CD">
        <w:rPr>
          <w:rFonts w:asciiTheme="majorHAnsi" w:hAnsiTheme="majorHAnsi" w:cstheme="majorHAnsi"/>
          <w:i/>
        </w:rPr>
        <w:t xml:space="preserve"> and plantains</w:t>
      </w:r>
    </w:p>
    <w:p w14:paraId="69C3E908" w14:textId="77777777" w:rsidR="00173D4C" w:rsidRPr="005516CD" w:rsidRDefault="00173D4C"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Demand in this sector is growing, including for yam and taro, which are commonly associated with cacao and coffee agroforestry systems in the north of the country. The exception is the dominant crop banana/plantain, which is stagnating due to a combination of its high demand </w:t>
      </w:r>
      <w:r w:rsidR="00D46C15" w:rsidRPr="005516CD">
        <w:rPr>
          <w:rFonts w:asciiTheme="majorHAnsi" w:hAnsiTheme="majorHAnsi" w:cstheme="majorHAnsi"/>
          <w:sz w:val="20"/>
          <w:szCs w:val="20"/>
        </w:rPr>
        <w:t xml:space="preserve">for water </w:t>
      </w:r>
      <w:r w:rsidRPr="005516CD">
        <w:rPr>
          <w:rFonts w:asciiTheme="majorHAnsi" w:hAnsiTheme="majorHAnsi" w:cstheme="majorHAnsi"/>
          <w:sz w:val="20"/>
          <w:szCs w:val="20"/>
        </w:rPr>
        <w:t xml:space="preserve">and </w:t>
      </w:r>
      <w:r w:rsidR="00D46C15" w:rsidRPr="005516CD">
        <w:rPr>
          <w:rFonts w:asciiTheme="majorHAnsi" w:hAnsiTheme="majorHAnsi" w:cstheme="majorHAnsi"/>
          <w:sz w:val="20"/>
          <w:szCs w:val="20"/>
        </w:rPr>
        <w:t xml:space="preserve">its </w:t>
      </w:r>
      <w:r w:rsidRPr="005516CD">
        <w:rPr>
          <w:rFonts w:asciiTheme="majorHAnsi" w:hAnsiTheme="majorHAnsi" w:cstheme="majorHAnsi"/>
          <w:sz w:val="20"/>
          <w:szCs w:val="20"/>
        </w:rPr>
        <w:t xml:space="preserve">susceptibility to Sigatoka disease.  </w:t>
      </w:r>
    </w:p>
    <w:p w14:paraId="1BCFC3CE" w14:textId="77777777" w:rsidR="0035245B" w:rsidRPr="005516CD" w:rsidRDefault="0035245B" w:rsidP="00BB71EF">
      <w:pPr>
        <w:pStyle w:val="Heading7"/>
        <w:keepNext/>
        <w:spacing w:before="0"/>
        <w:ind w:left="0"/>
        <w:rPr>
          <w:rFonts w:asciiTheme="majorHAnsi" w:hAnsiTheme="majorHAnsi" w:cstheme="majorHAnsi"/>
          <w:i/>
        </w:rPr>
      </w:pPr>
      <w:r w:rsidRPr="005516CD">
        <w:rPr>
          <w:rFonts w:asciiTheme="majorHAnsi" w:hAnsiTheme="majorHAnsi" w:cstheme="majorHAnsi"/>
          <w:i/>
        </w:rPr>
        <w:t>Fruit</w:t>
      </w:r>
    </w:p>
    <w:p w14:paraId="0C977EE5" w14:textId="77777777" w:rsidR="0035245B" w:rsidRPr="005516CD" w:rsidRDefault="0035245B" w:rsidP="006B27F4">
      <w:pPr>
        <w:numPr>
          <w:ilvl w:val="0"/>
          <w:numId w:val="87"/>
        </w:numPr>
        <w:tabs>
          <w:tab w:val="clear" w:pos="720"/>
          <w:tab w:val="num" w:pos="-284"/>
          <w:tab w:val="left" w:pos="426"/>
        </w:tabs>
        <w:spacing w:after="120"/>
        <w:ind w:left="0" w:right="96" w:firstLine="0"/>
        <w:jc w:val="both"/>
        <w:rPr>
          <w:rFonts w:ascii="Times-Roman" w:eastAsia="Arial Unicode MS" w:hAnsi="Times-Roman" w:cs="Times-Roman"/>
          <w:sz w:val="22"/>
          <w:szCs w:val="22"/>
          <w:bdr w:val="nil"/>
        </w:rPr>
      </w:pPr>
      <w:r w:rsidRPr="005516CD">
        <w:rPr>
          <w:rFonts w:asciiTheme="majorHAnsi" w:hAnsiTheme="majorHAnsi" w:cstheme="majorHAnsi"/>
          <w:sz w:val="20"/>
          <w:szCs w:val="20"/>
        </w:rPr>
        <w:t xml:space="preserve">Investments in support of tree crops by the Government and donors have to date focused principally on coffee, cacao and mango; this does not, however, reflect their relative importance in terms of the total value of production in the country. Avocado and breadfruit are the highest-ranking tree crops in terms of product value: avocado is the most consumed fruit on national markets, and also has significant export potential. </w:t>
      </w:r>
    </w:p>
    <w:p w14:paraId="2AEBCE7D" w14:textId="77777777" w:rsidR="002A6218" w:rsidRPr="005516CD" w:rsidRDefault="002A6218" w:rsidP="006B27F4">
      <w:pPr>
        <w:pStyle w:val="ListParagraph"/>
        <w:keepNext/>
        <w:numPr>
          <w:ilvl w:val="3"/>
          <w:numId w:val="90"/>
        </w:numPr>
        <w:spacing w:after="60"/>
        <w:ind w:left="851" w:right="96" w:hanging="851"/>
        <w:contextualSpacing/>
        <w:jc w:val="both"/>
        <w:rPr>
          <w:rFonts w:asciiTheme="majorHAnsi" w:hAnsiTheme="majorHAnsi" w:cstheme="majorHAnsi"/>
          <w:b/>
          <w:sz w:val="20"/>
          <w:szCs w:val="20"/>
        </w:rPr>
      </w:pPr>
      <w:r w:rsidRPr="005516CD">
        <w:rPr>
          <w:rFonts w:asciiTheme="majorHAnsi" w:hAnsiTheme="majorHAnsi" w:cstheme="majorHAnsi"/>
          <w:b/>
          <w:sz w:val="20"/>
          <w:szCs w:val="20"/>
        </w:rPr>
        <w:t>Value of tree crop/fruit production</w:t>
      </w:r>
    </w:p>
    <w:tbl>
      <w:tblPr>
        <w:tblStyle w:val="TableGrid"/>
        <w:tblW w:w="0" w:type="auto"/>
        <w:tblLook w:val="04A0" w:firstRow="1" w:lastRow="0" w:firstColumn="1" w:lastColumn="0" w:noHBand="0" w:noVBand="1"/>
      </w:tblPr>
      <w:tblGrid>
        <w:gridCol w:w="1413"/>
        <w:gridCol w:w="1701"/>
        <w:gridCol w:w="1559"/>
        <w:gridCol w:w="1843"/>
        <w:gridCol w:w="2410"/>
      </w:tblGrid>
      <w:tr w:rsidR="0035245B" w:rsidRPr="005516CD" w14:paraId="057E0AD3" w14:textId="77777777" w:rsidTr="00123F3A">
        <w:tc>
          <w:tcPr>
            <w:tcW w:w="1413" w:type="dxa"/>
            <w:shd w:val="clear" w:color="auto" w:fill="D9D9D9" w:themeFill="background1" w:themeFillShade="D9"/>
          </w:tcPr>
          <w:p w14:paraId="335D6D33" w14:textId="77777777" w:rsidR="0035245B" w:rsidRPr="005516CD" w:rsidRDefault="0035245B" w:rsidP="007626CA">
            <w:pPr>
              <w:keepNext/>
              <w:tabs>
                <w:tab w:val="left" w:pos="426"/>
              </w:tabs>
              <w:ind w:right="96"/>
              <w:jc w:val="center"/>
              <w:rPr>
                <w:rFonts w:asciiTheme="majorHAnsi" w:eastAsia="Arial Unicode MS" w:hAnsiTheme="majorHAnsi" w:cstheme="majorHAnsi"/>
                <w:b/>
                <w:sz w:val="20"/>
                <w:szCs w:val="22"/>
                <w:bdr w:val="nil"/>
              </w:rPr>
            </w:pPr>
            <w:r w:rsidRPr="005516CD">
              <w:rPr>
                <w:rFonts w:asciiTheme="majorHAnsi" w:eastAsia="Arial Unicode MS" w:hAnsiTheme="majorHAnsi" w:cstheme="majorHAnsi"/>
                <w:b/>
                <w:sz w:val="20"/>
                <w:szCs w:val="22"/>
                <w:bdr w:val="nil"/>
              </w:rPr>
              <w:t>Crop</w:t>
            </w:r>
          </w:p>
        </w:tc>
        <w:tc>
          <w:tcPr>
            <w:tcW w:w="1701" w:type="dxa"/>
            <w:shd w:val="clear" w:color="auto" w:fill="D9D9D9" w:themeFill="background1" w:themeFillShade="D9"/>
          </w:tcPr>
          <w:p w14:paraId="22330490" w14:textId="77777777" w:rsidR="0035245B" w:rsidRPr="005516CD" w:rsidRDefault="0035245B" w:rsidP="007626CA">
            <w:pPr>
              <w:keepNext/>
              <w:tabs>
                <w:tab w:val="left" w:pos="426"/>
              </w:tabs>
              <w:ind w:right="96"/>
              <w:jc w:val="center"/>
              <w:rPr>
                <w:rFonts w:asciiTheme="majorHAnsi" w:eastAsia="Arial Unicode MS" w:hAnsiTheme="majorHAnsi" w:cstheme="majorHAnsi"/>
                <w:b/>
                <w:sz w:val="20"/>
                <w:szCs w:val="22"/>
                <w:bdr w:val="nil"/>
              </w:rPr>
            </w:pPr>
            <w:r w:rsidRPr="005516CD">
              <w:rPr>
                <w:rFonts w:asciiTheme="majorHAnsi" w:eastAsia="Arial Unicode MS" w:hAnsiTheme="majorHAnsi" w:cstheme="majorHAnsi"/>
                <w:b/>
                <w:sz w:val="20"/>
                <w:szCs w:val="22"/>
                <w:bdr w:val="nil"/>
              </w:rPr>
              <w:t>Numbers of trees</w:t>
            </w:r>
            <w:r w:rsidR="00BB71EF" w:rsidRPr="005516CD">
              <w:rPr>
                <w:rFonts w:asciiTheme="majorHAnsi" w:eastAsia="Arial Unicode MS" w:hAnsiTheme="majorHAnsi" w:cstheme="majorHAnsi"/>
                <w:b/>
                <w:sz w:val="20"/>
                <w:szCs w:val="22"/>
                <w:bdr w:val="nil"/>
              </w:rPr>
              <w:t xml:space="preserve">, or </w:t>
            </w:r>
            <w:r w:rsidRPr="005516CD">
              <w:rPr>
                <w:rFonts w:asciiTheme="majorHAnsi" w:eastAsia="Arial Unicode MS" w:hAnsiTheme="majorHAnsi" w:cstheme="majorHAnsi"/>
                <w:b/>
                <w:sz w:val="20"/>
                <w:szCs w:val="22"/>
                <w:bdr w:val="nil"/>
              </w:rPr>
              <w:t>area</w:t>
            </w:r>
          </w:p>
        </w:tc>
        <w:tc>
          <w:tcPr>
            <w:tcW w:w="1559" w:type="dxa"/>
            <w:shd w:val="clear" w:color="auto" w:fill="D9D9D9" w:themeFill="background1" w:themeFillShade="D9"/>
          </w:tcPr>
          <w:p w14:paraId="1A42C349" w14:textId="77777777" w:rsidR="0035245B" w:rsidRPr="005516CD" w:rsidRDefault="0035245B" w:rsidP="007626CA">
            <w:pPr>
              <w:keepNext/>
              <w:tabs>
                <w:tab w:val="left" w:pos="426"/>
              </w:tabs>
              <w:ind w:right="96"/>
              <w:jc w:val="center"/>
              <w:rPr>
                <w:rFonts w:asciiTheme="majorHAnsi" w:eastAsia="Arial Unicode MS" w:hAnsiTheme="majorHAnsi" w:cstheme="majorHAnsi"/>
                <w:b/>
                <w:sz w:val="20"/>
                <w:szCs w:val="22"/>
                <w:bdr w:val="nil"/>
              </w:rPr>
            </w:pPr>
            <w:r w:rsidRPr="005516CD">
              <w:rPr>
                <w:rFonts w:asciiTheme="majorHAnsi" w:eastAsia="Arial Unicode MS" w:hAnsiTheme="majorHAnsi" w:cstheme="majorHAnsi"/>
                <w:b/>
                <w:sz w:val="20"/>
                <w:szCs w:val="22"/>
                <w:bdr w:val="nil"/>
              </w:rPr>
              <w:t>Yield (t/ha)</w:t>
            </w:r>
          </w:p>
        </w:tc>
        <w:tc>
          <w:tcPr>
            <w:tcW w:w="1843" w:type="dxa"/>
            <w:shd w:val="clear" w:color="auto" w:fill="D9D9D9" w:themeFill="background1" w:themeFillShade="D9"/>
          </w:tcPr>
          <w:p w14:paraId="0E4A7920" w14:textId="77777777" w:rsidR="0035245B" w:rsidRPr="005516CD" w:rsidRDefault="0035245B" w:rsidP="007626CA">
            <w:pPr>
              <w:keepNext/>
              <w:tabs>
                <w:tab w:val="left" w:pos="426"/>
              </w:tabs>
              <w:ind w:right="96"/>
              <w:jc w:val="center"/>
              <w:rPr>
                <w:rFonts w:asciiTheme="majorHAnsi" w:eastAsia="Arial Unicode MS" w:hAnsiTheme="majorHAnsi" w:cstheme="majorHAnsi"/>
                <w:b/>
                <w:sz w:val="20"/>
                <w:szCs w:val="22"/>
                <w:bdr w:val="nil"/>
              </w:rPr>
            </w:pPr>
            <w:r w:rsidRPr="005516CD">
              <w:rPr>
                <w:rFonts w:asciiTheme="majorHAnsi" w:eastAsia="Arial Unicode MS" w:hAnsiTheme="majorHAnsi" w:cstheme="majorHAnsi"/>
                <w:b/>
                <w:sz w:val="20"/>
                <w:szCs w:val="22"/>
                <w:bdr w:val="nil"/>
              </w:rPr>
              <w:t>Approximate price (USD/t)</w:t>
            </w:r>
          </w:p>
        </w:tc>
        <w:tc>
          <w:tcPr>
            <w:tcW w:w="2410" w:type="dxa"/>
            <w:shd w:val="clear" w:color="auto" w:fill="D9D9D9" w:themeFill="background1" w:themeFillShade="D9"/>
          </w:tcPr>
          <w:p w14:paraId="5A157D8A" w14:textId="77777777" w:rsidR="0035245B" w:rsidRPr="005516CD" w:rsidRDefault="0035245B" w:rsidP="007626CA">
            <w:pPr>
              <w:keepNext/>
              <w:tabs>
                <w:tab w:val="left" w:pos="426"/>
              </w:tabs>
              <w:ind w:right="96"/>
              <w:jc w:val="center"/>
              <w:rPr>
                <w:rFonts w:asciiTheme="majorHAnsi" w:eastAsia="Arial Unicode MS" w:hAnsiTheme="majorHAnsi" w:cstheme="majorHAnsi"/>
                <w:b/>
                <w:sz w:val="20"/>
                <w:szCs w:val="22"/>
                <w:bdr w:val="nil"/>
              </w:rPr>
            </w:pPr>
            <w:r w:rsidRPr="005516CD">
              <w:rPr>
                <w:rFonts w:asciiTheme="majorHAnsi" w:eastAsia="Arial Unicode MS" w:hAnsiTheme="majorHAnsi" w:cstheme="majorHAnsi"/>
                <w:b/>
                <w:sz w:val="20"/>
                <w:szCs w:val="22"/>
                <w:bdr w:val="nil"/>
              </w:rPr>
              <w:t>Total value of production</w:t>
            </w:r>
            <w:r w:rsidR="00C70864" w:rsidRPr="005516CD">
              <w:rPr>
                <w:rFonts w:asciiTheme="majorHAnsi" w:eastAsia="Arial Unicode MS" w:hAnsiTheme="majorHAnsi" w:cstheme="majorHAnsi"/>
                <w:b/>
                <w:sz w:val="20"/>
                <w:szCs w:val="22"/>
                <w:bdr w:val="nil"/>
              </w:rPr>
              <w:t xml:space="preserve"> (USD million)</w:t>
            </w:r>
          </w:p>
        </w:tc>
      </w:tr>
      <w:tr w:rsidR="0035245B" w:rsidRPr="005516CD" w14:paraId="053DD5DB" w14:textId="77777777" w:rsidTr="00BB71EF">
        <w:tc>
          <w:tcPr>
            <w:tcW w:w="1413" w:type="dxa"/>
          </w:tcPr>
          <w:p w14:paraId="4F720583" w14:textId="77777777" w:rsidR="0035245B" w:rsidRPr="005516CD" w:rsidRDefault="0035245B" w:rsidP="0035245B">
            <w:pPr>
              <w:keepNext/>
              <w:tabs>
                <w:tab w:val="left" w:pos="426"/>
              </w:tabs>
              <w:ind w:right="96"/>
              <w:jc w:val="both"/>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Avocado</w:t>
            </w:r>
          </w:p>
        </w:tc>
        <w:tc>
          <w:tcPr>
            <w:tcW w:w="1701" w:type="dxa"/>
          </w:tcPr>
          <w:p w14:paraId="644A49A8" w14:textId="77777777" w:rsidR="0035245B" w:rsidRPr="005516CD" w:rsidRDefault="007626CA" w:rsidP="0035245B">
            <w:pPr>
              <w:keepNext/>
              <w:tabs>
                <w:tab w:val="left" w:pos="426"/>
              </w:tabs>
              <w:ind w:right="96"/>
              <w:jc w:val="both"/>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2,096,506 trees</w:t>
            </w:r>
          </w:p>
        </w:tc>
        <w:tc>
          <w:tcPr>
            <w:tcW w:w="1559" w:type="dxa"/>
          </w:tcPr>
          <w:p w14:paraId="10F88E6C" w14:textId="77777777" w:rsidR="0035245B" w:rsidRPr="005516CD" w:rsidRDefault="0035245B" w:rsidP="007626CA">
            <w:pPr>
              <w:keepNext/>
              <w:tabs>
                <w:tab w:val="left" w:pos="426"/>
              </w:tabs>
              <w:ind w:right="96"/>
              <w:jc w:val="center"/>
              <w:rPr>
                <w:rFonts w:asciiTheme="majorHAnsi" w:eastAsia="Arial Unicode MS" w:hAnsiTheme="majorHAnsi" w:cstheme="majorHAnsi"/>
                <w:sz w:val="20"/>
                <w:szCs w:val="22"/>
                <w:bdr w:val="nil"/>
              </w:rPr>
            </w:pPr>
          </w:p>
        </w:tc>
        <w:tc>
          <w:tcPr>
            <w:tcW w:w="1843" w:type="dxa"/>
          </w:tcPr>
          <w:p w14:paraId="2A7C774A"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315</w:t>
            </w:r>
          </w:p>
        </w:tc>
        <w:tc>
          <w:tcPr>
            <w:tcW w:w="2410" w:type="dxa"/>
          </w:tcPr>
          <w:p w14:paraId="03F91240"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53</w:t>
            </w:r>
          </w:p>
        </w:tc>
      </w:tr>
      <w:tr w:rsidR="0035245B" w:rsidRPr="005516CD" w14:paraId="5E92F077" w14:textId="77777777" w:rsidTr="00BB71EF">
        <w:tc>
          <w:tcPr>
            <w:tcW w:w="1413" w:type="dxa"/>
          </w:tcPr>
          <w:p w14:paraId="3041D34E" w14:textId="77777777" w:rsidR="0035245B" w:rsidRPr="005516CD" w:rsidRDefault="0035245B" w:rsidP="0035245B">
            <w:pPr>
              <w:keepNext/>
              <w:tabs>
                <w:tab w:val="left" w:pos="426"/>
              </w:tabs>
              <w:ind w:right="96"/>
              <w:jc w:val="both"/>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Breadfruit</w:t>
            </w:r>
          </w:p>
        </w:tc>
        <w:tc>
          <w:tcPr>
            <w:tcW w:w="1701" w:type="dxa"/>
          </w:tcPr>
          <w:p w14:paraId="68541945" w14:textId="77777777" w:rsidR="0035245B" w:rsidRPr="005516CD" w:rsidRDefault="007626CA" w:rsidP="0035245B">
            <w:pPr>
              <w:keepNext/>
              <w:tabs>
                <w:tab w:val="left" w:pos="426"/>
              </w:tabs>
              <w:ind w:right="96"/>
              <w:jc w:val="both"/>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1,522,211 trees</w:t>
            </w:r>
          </w:p>
        </w:tc>
        <w:tc>
          <w:tcPr>
            <w:tcW w:w="1559" w:type="dxa"/>
          </w:tcPr>
          <w:p w14:paraId="7D5A6645" w14:textId="77777777" w:rsidR="0035245B" w:rsidRPr="005516CD" w:rsidRDefault="0035245B" w:rsidP="007626CA">
            <w:pPr>
              <w:keepNext/>
              <w:tabs>
                <w:tab w:val="left" w:pos="426"/>
              </w:tabs>
              <w:ind w:right="96"/>
              <w:jc w:val="center"/>
              <w:rPr>
                <w:rFonts w:asciiTheme="majorHAnsi" w:eastAsia="Arial Unicode MS" w:hAnsiTheme="majorHAnsi" w:cstheme="majorHAnsi"/>
                <w:sz w:val="20"/>
                <w:szCs w:val="22"/>
                <w:bdr w:val="nil"/>
              </w:rPr>
            </w:pPr>
          </w:p>
        </w:tc>
        <w:tc>
          <w:tcPr>
            <w:tcW w:w="1843" w:type="dxa"/>
          </w:tcPr>
          <w:p w14:paraId="10126F16"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300</w:t>
            </w:r>
          </w:p>
        </w:tc>
        <w:tc>
          <w:tcPr>
            <w:tcW w:w="2410" w:type="dxa"/>
          </w:tcPr>
          <w:p w14:paraId="2E3C68F3"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37</w:t>
            </w:r>
          </w:p>
        </w:tc>
      </w:tr>
      <w:tr w:rsidR="0035245B" w:rsidRPr="005516CD" w14:paraId="2CB49E2F" w14:textId="77777777" w:rsidTr="00BB71EF">
        <w:tc>
          <w:tcPr>
            <w:tcW w:w="1413" w:type="dxa"/>
          </w:tcPr>
          <w:p w14:paraId="461FFC4B" w14:textId="77777777" w:rsidR="0035245B" w:rsidRPr="005516CD" w:rsidRDefault="0035245B" w:rsidP="0035245B">
            <w:pPr>
              <w:keepNext/>
              <w:tabs>
                <w:tab w:val="left" w:pos="426"/>
              </w:tabs>
              <w:ind w:right="96"/>
              <w:jc w:val="both"/>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 xml:space="preserve">Coffee </w:t>
            </w:r>
          </w:p>
        </w:tc>
        <w:tc>
          <w:tcPr>
            <w:tcW w:w="1701" w:type="dxa"/>
          </w:tcPr>
          <w:p w14:paraId="541E94C6" w14:textId="77777777" w:rsidR="0035245B" w:rsidRPr="005516CD" w:rsidRDefault="007626CA" w:rsidP="0035245B">
            <w:pPr>
              <w:keepNext/>
              <w:tabs>
                <w:tab w:val="left" w:pos="426"/>
              </w:tabs>
              <w:ind w:right="96"/>
              <w:jc w:val="both"/>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25,000 ha</w:t>
            </w:r>
          </w:p>
        </w:tc>
        <w:tc>
          <w:tcPr>
            <w:tcW w:w="1559" w:type="dxa"/>
          </w:tcPr>
          <w:p w14:paraId="343E4D5E"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0.35</w:t>
            </w:r>
          </w:p>
        </w:tc>
        <w:tc>
          <w:tcPr>
            <w:tcW w:w="1843" w:type="dxa"/>
          </w:tcPr>
          <w:p w14:paraId="552AD608"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3,200</w:t>
            </w:r>
          </w:p>
        </w:tc>
        <w:tc>
          <w:tcPr>
            <w:tcW w:w="2410" w:type="dxa"/>
          </w:tcPr>
          <w:p w14:paraId="6761C44D"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28</w:t>
            </w:r>
          </w:p>
        </w:tc>
      </w:tr>
      <w:tr w:rsidR="0035245B" w:rsidRPr="005516CD" w14:paraId="41C2A8B0" w14:textId="77777777" w:rsidTr="00BB71EF">
        <w:tc>
          <w:tcPr>
            <w:tcW w:w="1413" w:type="dxa"/>
          </w:tcPr>
          <w:p w14:paraId="28252D3E" w14:textId="77777777" w:rsidR="0035245B" w:rsidRPr="005516CD" w:rsidRDefault="007626CA" w:rsidP="0035245B">
            <w:pPr>
              <w:keepNext/>
              <w:tabs>
                <w:tab w:val="left" w:pos="426"/>
              </w:tabs>
              <w:ind w:right="96"/>
              <w:jc w:val="both"/>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Mango</w:t>
            </w:r>
          </w:p>
        </w:tc>
        <w:tc>
          <w:tcPr>
            <w:tcW w:w="1701" w:type="dxa"/>
          </w:tcPr>
          <w:p w14:paraId="354577E5" w14:textId="77777777" w:rsidR="0035245B" w:rsidRPr="005516CD" w:rsidRDefault="007626CA" w:rsidP="0035245B">
            <w:pPr>
              <w:keepNext/>
              <w:tabs>
                <w:tab w:val="left" w:pos="426"/>
              </w:tabs>
              <w:ind w:right="96"/>
              <w:jc w:val="both"/>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392,000 trees</w:t>
            </w:r>
          </w:p>
        </w:tc>
        <w:tc>
          <w:tcPr>
            <w:tcW w:w="1559" w:type="dxa"/>
          </w:tcPr>
          <w:p w14:paraId="451553E6" w14:textId="77777777" w:rsidR="0035245B" w:rsidRPr="005516CD" w:rsidRDefault="0035245B" w:rsidP="007626CA">
            <w:pPr>
              <w:keepNext/>
              <w:tabs>
                <w:tab w:val="left" w:pos="426"/>
              </w:tabs>
              <w:ind w:right="96"/>
              <w:jc w:val="center"/>
              <w:rPr>
                <w:rFonts w:asciiTheme="majorHAnsi" w:eastAsia="Arial Unicode MS" w:hAnsiTheme="majorHAnsi" w:cstheme="majorHAnsi"/>
                <w:sz w:val="20"/>
                <w:szCs w:val="22"/>
                <w:bdr w:val="nil"/>
              </w:rPr>
            </w:pPr>
          </w:p>
        </w:tc>
        <w:tc>
          <w:tcPr>
            <w:tcW w:w="1843" w:type="dxa"/>
          </w:tcPr>
          <w:p w14:paraId="5E4071E0"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420</w:t>
            </w:r>
          </w:p>
        </w:tc>
        <w:tc>
          <w:tcPr>
            <w:tcW w:w="2410" w:type="dxa"/>
          </w:tcPr>
          <w:p w14:paraId="695D779D"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13</w:t>
            </w:r>
          </w:p>
        </w:tc>
      </w:tr>
      <w:tr w:rsidR="0035245B" w:rsidRPr="005516CD" w14:paraId="56FD0592" w14:textId="77777777" w:rsidTr="00BB71EF">
        <w:tc>
          <w:tcPr>
            <w:tcW w:w="1413" w:type="dxa"/>
          </w:tcPr>
          <w:p w14:paraId="63CE3BEE" w14:textId="77777777" w:rsidR="0035245B" w:rsidRPr="005516CD" w:rsidRDefault="007626CA" w:rsidP="0035245B">
            <w:pPr>
              <w:keepNext/>
              <w:tabs>
                <w:tab w:val="left" w:pos="426"/>
              </w:tabs>
              <w:ind w:right="96"/>
              <w:jc w:val="both"/>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Cacao</w:t>
            </w:r>
          </w:p>
        </w:tc>
        <w:tc>
          <w:tcPr>
            <w:tcW w:w="1701" w:type="dxa"/>
          </w:tcPr>
          <w:p w14:paraId="79DE0B0D" w14:textId="77777777" w:rsidR="0035245B" w:rsidRPr="005516CD" w:rsidRDefault="007626CA" w:rsidP="0035245B">
            <w:pPr>
              <w:keepNext/>
              <w:tabs>
                <w:tab w:val="left" w:pos="426"/>
              </w:tabs>
              <w:ind w:right="96"/>
              <w:jc w:val="both"/>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4,967 ha</w:t>
            </w:r>
          </w:p>
        </w:tc>
        <w:tc>
          <w:tcPr>
            <w:tcW w:w="1559" w:type="dxa"/>
          </w:tcPr>
          <w:p w14:paraId="565AD9A6"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0.65</w:t>
            </w:r>
          </w:p>
        </w:tc>
        <w:tc>
          <w:tcPr>
            <w:tcW w:w="1843" w:type="dxa"/>
          </w:tcPr>
          <w:p w14:paraId="765C8CBE"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3,500</w:t>
            </w:r>
          </w:p>
        </w:tc>
        <w:tc>
          <w:tcPr>
            <w:tcW w:w="2410" w:type="dxa"/>
          </w:tcPr>
          <w:p w14:paraId="57905440" w14:textId="77777777" w:rsidR="0035245B" w:rsidRPr="005516CD" w:rsidRDefault="007626CA" w:rsidP="007626CA">
            <w:pPr>
              <w:keepNext/>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11</w:t>
            </w:r>
          </w:p>
        </w:tc>
      </w:tr>
      <w:tr w:rsidR="0035245B" w:rsidRPr="005516CD" w14:paraId="2071C9A0" w14:textId="77777777" w:rsidTr="00BB71EF">
        <w:tc>
          <w:tcPr>
            <w:tcW w:w="1413" w:type="dxa"/>
          </w:tcPr>
          <w:p w14:paraId="43CBA893" w14:textId="77777777" w:rsidR="0035245B" w:rsidRPr="005516CD" w:rsidRDefault="0035245B" w:rsidP="0035245B">
            <w:pPr>
              <w:keepLines/>
              <w:tabs>
                <w:tab w:val="left" w:pos="426"/>
              </w:tabs>
              <w:ind w:right="96"/>
              <w:jc w:val="both"/>
              <w:rPr>
                <w:rFonts w:asciiTheme="majorHAnsi" w:eastAsia="Arial Unicode MS" w:hAnsiTheme="majorHAnsi" w:cstheme="majorHAnsi"/>
                <w:sz w:val="20"/>
                <w:szCs w:val="22"/>
                <w:bdr w:val="nil"/>
              </w:rPr>
            </w:pPr>
          </w:p>
        </w:tc>
        <w:tc>
          <w:tcPr>
            <w:tcW w:w="1701" w:type="dxa"/>
          </w:tcPr>
          <w:p w14:paraId="770EF6E0" w14:textId="77777777" w:rsidR="0035245B" w:rsidRPr="005516CD" w:rsidRDefault="0035245B" w:rsidP="0035245B">
            <w:pPr>
              <w:keepLines/>
              <w:tabs>
                <w:tab w:val="left" w:pos="426"/>
              </w:tabs>
              <w:ind w:right="96"/>
              <w:jc w:val="both"/>
              <w:rPr>
                <w:rFonts w:asciiTheme="majorHAnsi" w:eastAsia="Arial Unicode MS" w:hAnsiTheme="majorHAnsi" w:cstheme="majorHAnsi"/>
                <w:sz w:val="20"/>
                <w:szCs w:val="22"/>
                <w:bdr w:val="nil"/>
              </w:rPr>
            </w:pPr>
          </w:p>
        </w:tc>
        <w:tc>
          <w:tcPr>
            <w:tcW w:w="1559" w:type="dxa"/>
          </w:tcPr>
          <w:p w14:paraId="1421E9A9" w14:textId="77777777" w:rsidR="0035245B" w:rsidRPr="005516CD" w:rsidRDefault="0035245B" w:rsidP="007626CA">
            <w:pPr>
              <w:keepLines/>
              <w:tabs>
                <w:tab w:val="left" w:pos="426"/>
              </w:tabs>
              <w:ind w:right="96"/>
              <w:jc w:val="center"/>
              <w:rPr>
                <w:rFonts w:asciiTheme="majorHAnsi" w:eastAsia="Arial Unicode MS" w:hAnsiTheme="majorHAnsi" w:cstheme="majorHAnsi"/>
                <w:sz w:val="20"/>
                <w:szCs w:val="22"/>
                <w:bdr w:val="nil"/>
              </w:rPr>
            </w:pPr>
          </w:p>
        </w:tc>
        <w:tc>
          <w:tcPr>
            <w:tcW w:w="1843" w:type="dxa"/>
          </w:tcPr>
          <w:p w14:paraId="740DBCA7" w14:textId="77777777" w:rsidR="0035245B" w:rsidRPr="005516CD" w:rsidRDefault="0035245B" w:rsidP="007626CA">
            <w:pPr>
              <w:keepLines/>
              <w:tabs>
                <w:tab w:val="left" w:pos="426"/>
              </w:tabs>
              <w:ind w:right="96"/>
              <w:jc w:val="center"/>
              <w:rPr>
                <w:rFonts w:asciiTheme="majorHAnsi" w:eastAsia="Arial Unicode MS" w:hAnsiTheme="majorHAnsi" w:cstheme="majorHAnsi"/>
                <w:sz w:val="20"/>
                <w:szCs w:val="22"/>
                <w:bdr w:val="nil"/>
              </w:rPr>
            </w:pPr>
          </w:p>
        </w:tc>
        <w:tc>
          <w:tcPr>
            <w:tcW w:w="2410" w:type="dxa"/>
          </w:tcPr>
          <w:p w14:paraId="4E0B3EB7" w14:textId="77777777" w:rsidR="0035245B" w:rsidRPr="005516CD" w:rsidRDefault="007626CA" w:rsidP="007626CA">
            <w:pPr>
              <w:keepLines/>
              <w:tabs>
                <w:tab w:val="left" w:pos="426"/>
              </w:tabs>
              <w:ind w:right="96"/>
              <w:jc w:val="center"/>
              <w:rPr>
                <w:rFonts w:asciiTheme="majorHAnsi" w:eastAsia="Arial Unicode MS" w:hAnsiTheme="majorHAnsi" w:cstheme="majorHAnsi"/>
                <w:sz w:val="20"/>
                <w:szCs w:val="22"/>
                <w:bdr w:val="nil"/>
              </w:rPr>
            </w:pPr>
            <w:r w:rsidRPr="005516CD">
              <w:rPr>
                <w:rFonts w:asciiTheme="majorHAnsi" w:eastAsia="Arial Unicode MS" w:hAnsiTheme="majorHAnsi" w:cstheme="majorHAnsi"/>
                <w:sz w:val="20"/>
                <w:szCs w:val="22"/>
                <w:bdr w:val="nil"/>
              </w:rPr>
              <w:t>142</w:t>
            </w:r>
          </w:p>
        </w:tc>
      </w:tr>
    </w:tbl>
    <w:p w14:paraId="4850BC1E" w14:textId="77777777" w:rsidR="00D72BC5" w:rsidRPr="005516CD" w:rsidRDefault="00D72BC5" w:rsidP="006B27F4">
      <w:pPr>
        <w:numPr>
          <w:ilvl w:val="0"/>
          <w:numId w:val="87"/>
        </w:numPr>
        <w:tabs>
          <w:tab w:val="clear" w:pos="720"/>
          <w:tab w:val="num" w:pos="-284"/>
          <w:tab w:val="left" w:pos="426"/>
        </w:tabs>
        <w:spacing w:before="120"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Plantains and bananas are almost exclusively for domestic consumption, but there is major potential for export, and organic certification opens up additional opportunities in European and American markets if organisational and value chain issues can be addressed, as well as post-harvest losses due to poor harvesting and transport conditions. </w:t>
      </w:r>
    </w:p>
    <w:p w14:paraId="5C4D9F31" w14:textId="77777777" w:rsidR="0077128E" w:rsidRPr="005516CD" w:rsidRDefault="00882368"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In the case of citrus, the diversity of species and varieties grown in traditional agroforestry systems means that there is production all year round. </w:t>
      </w:r>
      <w:r w:rsidR="00D72BC5" w:rsidRPr="005516CD">
        <w:rPr>
          <w:rFonts w:asciiTheme="majorHAnsi" w:hAnsiTheme="majorHAnsi" w:cstheme="majorHAnsi"/>
          <w:sz w:val="20"/>
          <w:szCs w:val="20"/>
        </w:rPr>
        <w:t>The importan</w:t>
      </w:r>
      <w:r w:rsidRPr="005516CD">
        <w:rPr>
          <w:rFonts w:asciiTheme="majorHAnsi" w:hAnsiTheme="majorHAnsi" w:cstheme="majorHAnsi"/>
          <w:sz w:val="20"/>
          <w:szCs w:val="20"/>
        </w:rPr>
        <w:t>c</w:t>
      </w:r>
      <w:r w:rsidR="00D72BC5" w:rsidRPr="005516CD">
        <w:rPr>
          <w:rFonts w:asciiTheme="majorHAnsi" w:hAnsiTheme="majorHAnsi" w:cstheme="majorHAnsi"/>
          <w:sz w:val="20"/>
          <w:szCs w:val="20"/>
        </w:rPr>
        <w:t xml:space="preserve">e of citrus and grapefruit varies between communes. Overall, around 60-70% is sold in other regions of the country, 10% is consumed locally and 20-30% is left unharvested. </w:t>
      </w:r>
      <w:r w:rsidRPr="005516CD">
        <w:rPr>
          <w:rFonts w:asciiTheme="majorHAnsi" w:hAnsiTheme="majorHAnsi" w:cstheme="majorHAnsi"/>
          <w:sz w:val="20"/>
          <w:szCs w:val="20"/>
        </w:rPr>
        <w:t xml:space="preserve">Around 20-30% of production is lost in transport. </w:t>
      </w:r>
      <w:r w:rsidR="0077128E" w:rsidRPr="005516CD">
        <w:rPr>
          <w:rFonts w:asciiTheme="majorHAnsi" w:hAnsiTheme="majorHAnsi" w:cstheme="majorHAnsi"/>
          <w:sz w:val="20"/>
          <w:szCs w:val="20"/>
        </w:rPr>
        <w:t xml:space="preserve">Fruit value chains are similar to those of bananas and plantains: farmers supply markets regularly, and the product is purchased by first level intermediaries who then resell it to wholesalers, or second level intermediaries, who in turn place the product on sale in markets. In </w:t>
      </w:r>
      <w:proofErr w:type="spellStart"/>
      <w:r w:rsidR="0077128E" w:rsidRPr="005516CD">
        <w:rPr>
          <w:rFonts w:asciiTheme="majorHAnsi" w:hAnsiTheme="majorHAnsi" w:cstheme="majorHAnsi"/>
          <w:sz w:val="20"/>
          <w:szCs w:val="20"/>
        </w:rPr>
        <w:t>Marmelade</w:t>
      </w:r>
      <w:proofErr w:type="spellEnd"/>
      <w:r w:rsidR="0077128E" w:rsidRPr="005516CD">
        <w:rPr>
          <w:rFonts w:asciiTheme="majorHAnsi" w:hAnsiTheme="majorHAnsi" w:cstheme="majorHAnsi"/>
          <w:sz w:val="20"/>
          <w:szCs w:val="20"/>
        </w:rPr>
        <w:t xml:space="preserve">, </w:t>
      </w:r>
      <w:r w:rsidR="004F03F5" w:rsidRPr="005516CD">
        <w:rPr>
          <w:rFonts w:asciiTheme="majorHAnsi" w:hAnsiTheme="majorHAnsi" w:cstheme="majorHAnsi"/>
          <w:sz w:val="20"/>
          <w:szCs w:val="20"/>
        </w:rPr>
        <w:t>the Federation of Native Coffee Associations (</w:t>
      </w:r>
      <w:r w:rsidR="0077128E" w:rsidRPr="005516CD">
        <w:rPr>
          <w:rFonts w:asciiTheme="majorHAnsi" w:hAnsiTheme="majorHAnsi" w:cstheme="majorHAnsi"/>
          <w:sz w:val="20"/>
          <w:szCs w:val="20"/>
        </w:rPr>
        <w:t>FACN</w:t>
      </w:r>
      <w:r w:rsidR="004F03F5" w:rsidRPr="005516CD">
        <w:rPr>
          <w:rFonts w:asciiTheme="majorHAnsi" w:hAnsiTheme="majorHAnsi" w:cstheme="majorHAnsi"/>
          <w:sz w:val="20"/>
          <w:szCs w:val="20"/>
        </w:rPr>
        <w:t>)</w:t>
      </w:r>
      <w:r w:rsidR="0077128E" w:rsidRPr="005516CD">
        <w:rPr>
          <w:rFonts w:asciiTheme="majorHAnsi" w:hAnsiTheme="majorHAnsi" w:cstheme="majorHAnsi"/>
          <w:sz w:val="20"/>
          <w:szCs w:val="20"/>
        </w:rPr>
        <w:t xml:space="preserve"> has organised to collect fruit from coffee collection centres, paying farmers a fixed price during the whole harvest season, and making special provisions to minimise losses in transport to the factory.</w:t>
      </w:r>
    </w:p>
    <w:p w14:paraId="28E101E7" w14:textId="77777777" w:rsidR="0077128E" w:rsidRPr="005516CD" w:rsidRDefault="0077128E"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Significant quantities of fruit are imported from the neighbouring Dominican Republic</w:t>
      </w:r>
      <w:r w:rsidR="00354BE8" w:rsidRPr="005516CD">
        <w:rPr>
          <w:rFonts w:asciiTheme="majorHAnsi" w:hAnsiTheme="majorHAnsi" w:cstheme="majorHAnsi"/>
          <w:sz w:val="20"/>
          <w:szCs w:val="20"/>
        </w:rPr>
        <w:t xml:space="preserve"> (worth USD 12,416,713 in 2011): t</w:t>
      </w:r>
      <w:r w:rsidRPr="005516CD">
        <w:rPr>
          <w:rFonts w:asciiTheme="majorHAnsi" w:hAnsiTheme="majorHAnsi" w:cstheme="majorHAnsi"/>
          <w:sz w:val="20"/>
          <w:szCs w:val="20"/>
        </w:rPr>
        <w:t>hese imports serve to satisfy national demand which cannot be met by national production, a situation which confirms that there is ample market potential for the fruit produced in the agroforestry systems of project area.</w:t>
      </w:r>
    </w:p>
    <w:p w14:paraId="5B12D25C" w14:textId="77777777" w:rsidR="004C037F" w:rsidRPr="005516CD" w:rsidRDefault="00882368" w:rsidP="006B27F4">
      <w:pPr>
        <w:numPr>
          <w:ilvl w:val="0"/>
          <w:numId w:val="87"/>
        </w:numPr>
        <w:tabs>
          <w:tab w:val="clear" w:pos="720"/>
          <w:tab w:val="num" w:pos="-284"/>
          <w:tab w:val="left" w:pos="426"/>
        </w:tabs>
        <w:spacing w:after="120"/>
        <w:ind w:left="0" w:right="96" w:firstLine="0"/>
        <w:jc w:val="both"/>
        <w:rPr>
          <w:sz w:val="22"/>
          <w:szCs w:val="22"/>
        </w:rPr>
      </w:pPr>
      <w:r w:rsidRPr="005516CD">
        <w:rPr>
          <w:rFonts w:asciiTheme="majorHAnsi" w:hAnsiTheme="majorHAnsi" w:cstheme="majorHAnsi"/>
          <w:sz w:val="20"/>
          <w:szCs w:val="20"/>
        </w:rPr>
        <w:t xml:space="preserve">There is a juice production plant in the commune of </w:t>
      </w:r>
      <w:proofErr w:type="spellStart"/>
      <w:r w:rsidRPr="005516CD">
        <w:rPr>
          <w:rFonts w:asciiTheme="majorHAnsi" w:hAnsiTheme="majorHAnsi" w:cstheme="majorHAnsi"/>
          <w:sz w:val="20"/>
          <w:szCs w:val="20"/>
        </w:rPr>
        <w:t>Marmelade</w:t>
      </w:r>
      <w:proofErr w:type="spellEnd"/>
      <w:r w:rsidRPr="005516CD">
        <w:rPr>
          <w:rFonts w:asciiTheme="majorHAnsi" w:hAnsiTheme="majorHAnsi" w:cstheme="majorHAnsi"/>
          <w:sz w:val="20"/>
          <w:szCs w:val="20"/>
        </w:rPr>
        <w:t xml:space="preserve">, which </w:t>
      </w:r>
      <w:r w:rsidR="00A836B3" w:rsidRPr="005516CD">
        <w:rPr>
          <w:rFonts w:asciiTheme="majorHAnsi" w:hAnsiTheme="majorHAnsi" w:cstheme="majorHAnsi"/>
          <w:sz w:val="20"/>
          <w:szCs w:val="20"/>
        </w:rPr>
        <w:t xml:space="preserve">processes oranges, </w:t>
      </w:r>
      <w:proofErr w:type="spellStart"/>
      <w:r w:rsidR="00A836B3" w:rsidRPr="005516CD">
        <w:rPr>
          <w:rFonts w:asciiTheme="majorHAnsi" w:hAnsiTheme="majorHAnsi" w:cstheme="majorHAnsi"/>
          <w:i/>
          <w:sz w:val="20"/>
          <w:szCs w:val="20"/>
        </w:rPr>
        <w:t>chadeque</w:t>
      </w:r>
      <w:proofErr w:type="spellEnd"/>
      <w:r w:rsidR="00A836B3" w:rsidRPr="005516CD">
        <w:rPr>
          <w:rFonts w:asciiTheme="majorHAnsi" w:hAnsiTheme="majorHAnsi" w:cstheme="majorHAnsi"/>
          <w:sz w:val="20"/>
          <w:szCs w:val="20"/>
        </w:rPr>
        <w:t xml:space="preserve"> and grapefruit produced by local farmers. This plant </w:t>
      </w:r>
      <w:r w:rsidRPr="005516CD">
        <w:rPr>
          <w:rFonts w:asciiTheme="majorHAnsi" w:hAnsiTheme="majorHAnsi" w:cstheme="majorHAnsi"/>
          <w:sz w:val="20"/>
          <w:szCs w:val="20"/>
        </w:rPr>
        <w:t>was established in 2003 and reopened in 2014 with support from the Government of Taiwan</w:t>
      </w:r>
      <w:r w:rsidR="00A836B3" w:rsidRPr="005516CD">
        <w:rPr>
          <w:rFonts w:asciiTheme="majorHAnsi" w:hAnsiTheme="majorHAnsi" w:cstheme="majorHAnsi"/>
          <w:sz w:val="20"/>
          <w:szCs w:val="20"/>
        </w:rPr>
        <w:t xml:space="preserve">: it forms part of an </w:t>
      </w:r>
      <w:proofErr w:type="spellStart"/>
      <w:r w:rsidR="00A836B3" w:rsidRPr="005516CD">
        <w:rPr>
          <w:rFonts w:asciiTheme="majorHAnsi" w:hAnsiTheme="majorHAnsi" w:cstheme="majorHAnsi"/>
          <w:sz w:val="20"/>
          <w:szCs w:val="20"/>
        </w:rPr>
        <w:t>agroindustrial</w:t>
      </w:r>
      <w:proofErr w:type="spellEnd"/>
      <w:r w:rsidR="00A836B3" w:rsidRPr="005516CD">
        <w:rPr>
          <w:rFonts w:asciiTheme="majorHAnsi" w:hAnsiTheme="majorHAnsi" w:cstheme="majorHAnsi"/>
          <w:sz w:val="20"/>
          <w:szCs w:val="20"/>
        </w:rPr>
        <w:t xml:space="preserve"> complex established with Taiwanese aid in 2000, which also includes a bamboo processing plant and a dairy</w:t>
      </w:r>
      <w:r w:rsidR="00A836B3" w:rsidRPr="005516CD">
        <w:rPr>
          <w:rStyle w:val="FootnoteReference"/>
          <w:rFonts w:asciiTheme="majorHAnsi" w:hAnsiTheme="majorHAnsi" w:cstheme="majorHAnsi"/>
          <w:sz w:val="20"/>
          <w:szCs w:val="20"/>
        </w:rPr>
        <w:footnoteReference w:id="24"/>
      </w:r>
      <w:r w:rsidR="00A836B3" w:rsidRPr="005516CD">
        <w:rPr>
          <w:rFonts w:asciiTheme="majorHAnsi" w:hAnsiTheme="majorHAnsi" w:cstheme="majorHAnsi"/>
          <w:sz w:val="20"/>
          <w:szCs w:val="20"/>
        </w:rPr>
        <w:t>.</w:t>
      </w:r>
      <w:r w:rsidRPr="005516CD">
        <w:rPr>
          <w:rFonts w:asciiTheme="majorHAnsi" w:hAnsiTheme="majorHAnsi" w:cstheme="majorHAnsi"/>
          <w:sz w:val="20"/>
          <w:szCs w:val="20"/>
        </w:rPr>
        <w:t xml:space="preserve"> </w:t>
      </w:r>
    </w:p>
    <w:p w14:paraId="7C1CEC49" w14:textId="77777777" w:rsidR="00CD01B2" w:rsidRPr="005516CD" w:rsidRDefault="00FC2CDC"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There are also artisanal fruit juice production facilities in rural areas, including associations in </w:t>
      </w:r>
      <w:proofErr w:type="spellStart"/>
      <w:r w:rsidRPr="005516CD">
        <w:rPr>
          <w:rFonts w:asciiTheme="majorHAnsi" w:hAnsiTheme="majorHAnsi" w:cstheme="majorHAnsi"/>
          <w:sz w:val="20"/>
          <w:szCs w:val="20"/>
        </w:rPr>
        <w:t>Dondon</w:t>
      </w:r>
      <w:proofErr w:type="spellEnd"/>
      <w:r w:rsidRPr="005516CD">
        <w:rPr>
          <w:rFonts w:asciiTheme="majorHAnsi" w:hAnsiTheme="majorHAnsi" w:cstheme="majorHAnsi"/>
          <w:sz w:val="20"/>
          <w:szCs w:val="20"/>
        </w:rPr>
        <w:t xml:space="preserve"> and Plaisance. Neither of these facilities are well consolidated, however, and the plant in Plaisance is not currently functioning. </w:t>
      </w:r>
      <w:proofErr w:type="spellStart"/>
      <w:r w:rsidRPr="005516CD">
        <w:rPr>
          <w:rFonts w:asciiTheme="majorHAnsi" w:hAnsiTheme="majorHAnsi" w:cstheme="majorHAnsi"/>
          <w:sz w:val="20"/>
          <w:szCs w:val="20"/>
        </w:rPr>
        <w:t>Additionnally</w:t>
      </w:r>
      <w:proofErr w:type="spellEnd"/>
      <w:r w:rsidRPr="005516CD">
        <w:rPr>
          <w:rFonts w:asciiTheme="majorHAnsi" w:hAnsiTheme="majorHAnsi" w:cstheme="majorHAnsi"/>
          <w:sz w:val="20"/>
          <w:szCs w:val="20"/>
        </w:rPr>
        <w:t xml:space="preserve">, </w:t>
      </w:r>
      <w:r w:rsidR="004C037F" w:rsidRPr="005516CD">
        <w:rPr>
          <w:rFonts w:asciiTheme="majorHAnsi" w:hAnsiTheme="majorHAnsi" w:cstheme="majorHAnsi"/>
          <w:sz w:val="20"/>
          <w:szCs w:val="20"/>
        </w:rPr>
        <w:t>ANATRAF (</w:t>
      </w:r>
      <w:r w:rsidRPr="005516CD">
        <w:rPr>
          <w:rFonts w:asciiTheme="majorHAnsi" w:hAnsiTheme="majorHAnsi" w:cstheme="majorHAnsi"/>
          <w:sz w:val="20"/>
          <w:szCs w:val="20"/>
        </w:rPr>
        <w:t xml:space="preserve">the National </w:t>
      </w:r>
      <w:r w:rsidR="004C037F" w:rsidRPr="005516CD">
        <w:rPr>
          <w:rFonts w:asciiTheme="majorHAnsi" w:hAnsiTheme="majorHAnsi" w:cstheme="majorHAnsi"/>
          <w:sz w:val="20"/>
          <w:szCs w:val="20"/>
        </w:rPr>
        <w:t xml:space="preserve">Association </w:t>
      </w:r>
      <w:r w:rsidRPr="005516CD">
        <w:rPr>
          <w:rFonts w:asciiTheme="majorHAnsi" w:hAnsiTheme="majorHAnsi" w:cstheme="majorHAnsi"/>
          <w:sz w:val="20"/>
          <w:szCs w:val="20"/>
        </w:rPr>
        <w:t>of Fruit Processers</w:t>
      </w:r>
      <w:r w:rsidR="00971D38" w:rsidRPr="005516CD">
        <w:rPr>
          <w:rStyle w:val="FootnoteReference"/>
          <w:rFonts w:asciiTheme="majorHAnsi" w:hAnsiTheme="majorHAnsi" w:cstheme="majorHAnsi"/>
          <w:sz w:val="20"/>
          <w:szCs w:val="20"/>
        </w:rPr>
        <w:footnoteReference w:id="25"/>
      </w:r>
      <w:r w:rsidRPr="005516CD">
        <w:rPr>
          <w:rFonts w:asciiTheme="majorHAnsi" w:hAnsiTheme="majorHAnsi" w:cstheme="majorHAnsi"/>
          <w:sz w:val="20"/>
          <w:szCs w:val="20"/>
        </w:rPr>
        <w:t>) has attempted to organise producers in the area: however as with coffee and cacao, more than 80% of producers still do not form part of an organisation or a network</w:t>
      </w:r>
      <w:r w:rsidR="00CD01B2" w:rsidRPr="005516CD">
        <w:rPr>
          <w:rFonts w:asciiTheme="majorHAnsi" w:hAnsiTheme="majorHAnsi" w:cstheme="majorHAnsi"/>
          <w:sz w:val="20"/>
          <w:szCs w:val="20"/>
        </w:rPr>
        <w:t xml:space="preserve">, and most continue to sell their products in bulk to local markets, or sell the fruit standing. </w:t>
      </w:r>
    </w:p>
    <w:p w14:paraId="7CA196B1" w14:textId="77777777" w:rsidR="00CD01B2" w:rsidRPr="005516CD" w:rsidRDefault="00CD01B2"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Citrus production has declined alongside coffee. There are however positive indications of the economic and market potential of fruit and derivatives from agroforestry systems: CONASA (</w:t>
      </w:r>
      <w:proofErr w:type="spellStart"/>
      <w:r w:rsidRPr="005516CD">
        <w:rPr>
          <w:rFonts w:asciiTheme="majorHAnsi" w:hAnsiTheme="majorHAnsi" w:cstheme="majorHAnsi"/>
          <w:sz w:val="20"/>
          <w:szCs w:val="20"/>
        </w:rPr>
        <w:t>Conserverie</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Nationale</w:t>
      </w:r>
      <w:proofErr w:type="spellEnd"/>
      <w:r w:rsidRPr="005516CD">
        <w:rPr>
          <w:rFonts w:asciiTheme="majorHAnsi" w:hAnsiTheme="majorHAnsi" w:cstheme="majorHAnsi"/>
          <w:sz w:val="20"/>
          <w:szCs w:val="20"/>
        </w:rPr>
        <w:t xml:space="preserve"> SA), for example, produced juice from guava, mango and soursop, which sold well at local and national levels – the company is no longer operating but this is understood to be due to management and political issues rather than lack of financial viability.</w:t>
      </w:r>
    </w:p>
    <w:p w14:paraId="5E1EECF9" w14:textId="77777777" w:rsidR="00F1212A" w:rsidRPr="005516CD" w:rsidRDefault="00C96C2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commercial viability of other products such as jams and jellies </w:t>
      </w:r>
      <w:proofErr w:type="gramStart"/>
      <w:r w:rsidRPr="005516CD">
        <w:rPr>
          <w:rFonts w:asciiTheme="majorHAnsi" w:hAnsiTheme="majorHAnsi" w:cstheme="majorHAnsi"/>
          <w:sz w:val="20"/>
          <w:szCs w:val="20"/>
        </w:rPr>
        <w:t>is</w:t>
      </w:r>
      <w:proofErr w:type="gramEnd"/>
      <w:r w:rsidRPr="005516CD">
        <w:rPr>
          <w:rFonts w:asciiTheme="majorHAnsi" w:hAnsiTheme="majorHAnsi" w:cstheme="majorHAnsi"/>
          <w:sz w:val="20"/>
          <w:szCs w:val="20"/>
        </w:rPr>
        <w:t xml:space="preserve"> rather more limited, due to a combination of high packa</w:t>
      </w:r>
      <w:r w:rsidR="003F6C4F" w:rsidRPr="005516CD">
        <w:rPr>
          <w:rFonts w:asciiTheme="majorHAnsi" w:hAnsiTheme="majorHAnsi" w:cstheme="majorHAnsi"/>
          <w:sz w:val="20"/>
          <w:szCs w:val="20"/>
        </w:rPr>
        <w:t>g</w:t>
      </w:r>
      <w:r w:rsidRPr="005516CD">
        <w:rPr>
          <w:rFonts w:asciiTheme="majorHAnsi" w:hAnsiTheme="majorHAnsi" w:cstheme="majorHAnsi"/>
          <w:sz w:val="20"/>
          <w:szCs w:val="20"/>
        </w:rPr>
        <w:t>ing costs, limited domestic demand and difficulty in competing with imported products of superior quality and presentation.</w:t>
      </w:r>
      <w:r w:rsidR="005041E0" w:rsidRPr="005516CD">
        <w:rPr>
          <w:rFonts w:asciiTheme="majorHAnsi" w:hAnsiTheme="majorHAnsi" w:cstheme="majorHAnsi"/>
          <w:sz w:val="20"/>
          <w:szCs w:val="20"/>
        </w:rPr>
        <w:t xml:space="preserve"> </w:t>
      </w:r>
    </w:p>
    <w:p w14:paraId="63760337" w14:textId="77777777" w:rsidR="00F1212A" w:rsidRPr="005516CD" w:rsidRDefault="00F72A0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Some e</w:t>
      </w:r>
      <w:r w:rsidR="00F1212A" w:rsidRPr="005516CD">
        <w:rPr>
          <w:rFonts w:asciiTheme="majorHAnsi" w:hAnsiTheme="majorHAnsi" w:cstheme="majorHAnsi"/>
          <w:sz w:val="20"/>
          <w:szCs w:val="20"/>
        </w:rPr>
        <w:t xml:space="preserve">xamples of </w:t>
      </w:r>
      <w:r w:rsidRPr="005516CD">
        <w:rPr>
          <w:rFonts w:asciiTheme="majorHAnsi" w:hAnsiTheme="majorHAnsi" w:cstheme="majorHAnsi"/>
          <w:sz w:val="20"/>
          <w:szCs w:val="20"/>
        </w:rPr>
        <w:t xml:space="preserve">other </w:t>
      </w:r>
      <w:r w:rsidR="00F1212A" w:rsidRPr="005516CD">
        <w:rPr>
          <w:rFonts w:asciiTheme="majorHAnsi" w:hAnsiTheme="majorHAnsi" w:cstheme="majorHAnsi"/>
          <w:sz w:val="20"/>
          <w:szCs w:val="20"/>
        </w:rPr>
        <w:t xml:space="preserve">tree crops </w:t>
      </w:r>
      <w:r w:rsidRPr="005516CD">
        <w:rPr>
          <w:rFonts w:asciiTheme="majorHAnsi" w:hAnsiTheme="majorHAnsi" w:cstheme="majorHAnsi"/>
          <w:sz w:val="20"/>
          <w:szCs w:val="20"/>
        </w:rPr>
        <w:t xml:space="preserve">and derivatives </w:t>
      </w:r>
      <w:r w:rsidR="00F1212A" w:rsidRPr="005516CD">
        <w:rPr>
          <w:rFonts w:asciiTheme="majorHAnsi" w:hAnsiTheme="majorHAnsi" w:cstheme="majorHAnsi"/>
          <w:sz w:val="20"/>
          <w:szCs w:val="20"/>
        </w:rPr>
        <w:t>which have been shown to have commercial potential include the following</w:t>
      </w:r>
      <w:r w:rsidR="00C669FA" w:rsidRPr="005516CD">
        <w:rPr>
          <w:rStyle w:val="FootnoteReference"/>
          <w:rFonts w:asciiTheme="majorHAnsi" w:hAnsiTheme="majorHAnsi" w:cstheme="majorHAnsi"/>
          <w:sz w:val="20"/>
          <w:szCs w:val="20"/>
        </w:rPr>
        <w:footnoteReference w:id="26"/>
      </w:r>
      <w:r w:rsidR="00F1212A" w:rsidRPr="005516CD">
        <w:rPr>
          <w:rFonts w:asciiTheme="majorHAnsi" w:hAnsiTheme="majorHAnsi" w:cstheme="majorHAnsi"/>
          <w:sz w:val="20"/>
          <w:szCs w:val="20"/>
        </w:rPr>
        <w:t>:</w:t>
      </w:r>
    </w:p>
    <w:p w14:paraId="4166515D" w14:textId="77777777" w:rsidR="00CD5D93" w:rsidRPr="005516CD" w:rsidRDefault="00F1212A" w:rsidP="006B27F4">
      <w:pPr>
        <w:pStyle w:val="ListParagraph"/>
        <w:numPr>
          <w:ilvl w:val="0"/>
          <w:numId w:val="103"/>
        </w:numPr>
        <w:tabs>
          <w:tab w:val="left" w:pos="426"/>
        </w:tabs>
        <w:spacing w:after="120"/>
        <w:ind w:left="426" w:right="96" w:hanging="219"/>
        <w:jc w:val="both"/>
        <w:rPr>
          <w:rFonts w:asciiTheme="majorHAnsi" w:hAnsiTheme="majorHAnsi" w:cstheme="majorHAnsi"/>
          <w:sz w:val="20"/>
          <w:szCs w:val="20"/>
        </w:rPr>
      </w:pPr>
      <w:r w:rsidRPr="005516CD">
        <w:rPr>
          <w:rFonts w:asciiTheme="majorHAnsi" w:hAnsiTheme="majorHAnsi" w:cstheme="majorHAnsi"/>
          <w:sz w:val="20"/>
          <w:szCs w:val="20"/>
        </w:rPr>
        <w:t>T</w:t>
      </w:r>
      <w:r w:rsidR="005041E0" w:rsidRPr="005516CD">
        <w:rPr>
          <w:rFonts w:asciiTheme="majorHAnsi" w:hAnsiTheme="majorHAnsi" w:cstheme="majorHAnsi"/>
          <w:sz w:val="20"/>
          <w:szCs w:val="20"/>
        </w:rPr>
        <w:t>he transformation of coconut and cashew nut into sweets (</w:t>
      </w:r>
      <w:proofErr w:type="spellStart"/>
      <w:r w:rsidR="005041E0" w:rsidRPr="005516CD">
        <w:rPr>
          <w:rFonts w:asciiTheme="majorHAnsi" w:hAnsiTheme="majorHAnsi" w:cstheme="majorHAnsi"/>
          <w:b/>
          <w:i/>
          <w:sz w:val="20"/>
          <w:szCs w:val="20"/>
        </w:rPr>
        <w:t>tablettes</w:t>
      </w:r>
      <w:proofErr w:type="spellEnd"/>
      <w:r w:rsidR="005041E0" w:rsidRPr="005516CD">
        <w:rPr>
          <w:rFonts w:asciiTheme="majorHAnsi" w:hAnsiTheme="majorHAnsi" w:cstheme="majorHAnsi"/>
          <w:b/>
          <w:i/>
          <w:sz w:val="20"/>
          <w:szCs w:val="20"/>
        </w:rPr>
        <w:t xml:space="preserve"> </w:t>
      </w:r>
      <w:proofErr w:type="spellStart"/>
      <w:r w:rsidR="005041E0" w:rsidRPr="005516CD">
        <w:rPr>
          <w:rFonts w:asciiTheme="majorHAnsi" w:hAnsiTheme="majorHAnsi" w:cstheme="majorHAnsi"/>
          <w:b/>
          <w:i/>
          <w:sz w:val="20"/>
          <w:szCs w:val="20"/>
        </w:rPr>
        <w:t>sucrées</w:t>
      </w:r>
      <w:proofErr w:type="spellEnd"/>
      <w:r w:rsidR="005041E0" w:rsidRPr="005516CD">
        <w:rPr>
          <w:rFonts w:asciiTheme="majorHAnsi" w:hAnsiTheme="majorHAnsi" w:cstheme="majorHAnsi"/>
          <w:sz w:val="20"/>
          <w:szCs w:val="20"/>
        </w:rPr>
        <w:t>)</w:t>
      </w:r>
      <w:r w:rsidRPr="005516CD">
        <w:rPr>
          <w:rFonts w:asciiTheme="majorHAnsi" w:hAnsiTheme="majorHAnsi" w:cstheme="majorHAnsi"/>
          <w:sz w:val="20"/>
          <w:szCs w:val="20"/>
        </w:rPr>
        <w:t>. T</w:t>
      </w:r>
      <w:r w:rsidR="005041E0" w:rsidRPr="005516CD">
        <w:rPr>
          <w:rFonts w:asciiTheme="majorHAnsi" w:hAnsiTheme="majorHAnsi" w:cstheme="majorHAnsi"/>
          <w:sz w:val="20"/>
          <w:szCs w:val="20"/>
        </w:rPr>
        <w:t xml:space="preserve">he north and north-east are some of the principal areas of cashew production in the country. </w:t>
      </w:r>
      <w:r w:rsidR="00CD5D93" w:rsidRPr="005516CD">
        <w:rPr>
          <w:rFonts w:asciiTheme="majorHAnsi" w:hAnsiTheme="majorHAnsi" w:cstheme="majorHAnsi"/>
          <w:sz w:val="20"/>
          <w:szCs w:val="20"/>
        </w:rPr>
        <w:t xml:space="preserve">These products have a ready local market as they are accessible to </w:t>
      </w:r>
      <w:r w:rsidR="00B56141" w:rsidRPr="005516CD">
        <w:rPr>
          <w:rFonts w:asciiTheme="majorHAnsi" w:hAnsiTheme="majorHAnsi" w:cstheme="majorHAnsi"/>
          <w:sz w:val="20"/>
          <w:szCs w:val="20"/>
        </w:rPr>
        <w:t xml:space="preserve">people </w:t>
      </w:r>
      <w:r w:rsidR="00CD5D93" w:rsidRPr="005516CD">
        <w:rPr>
          <w:rFonts w:asciiTheme="majorHAnsi" w:hAnsiTheme="majorHAnsi" w:cstheme="majorHAnsi"/>
          <w:sz w:val="20"/>
          <w:szCs w:val="20"/>
        </w:rPr>
        <w:t xml:space="preserve">with limited budgets, and so marketing costs are low. It has the disadvantage of being perishable, with a shelf life of only 15-21 days. </w:t>
      </w:r>
    </w:p>
    <w:p w14:paraId="0D4C2458" w14:textId="77777777" w:rsidR="00C96C20" w:rsidRPr="005516CD" w:rsidRDefault="00F1212A" w:rsidP="006B27F4">
      <w:pPr>
        <w:pStyle w:val="ListParagraph"/>
        <w:numPr>
          <w:ilvl w:val="0"/>
          <w:numId w:val="103"/>
        </w:numPr>
        <w:tabs>
          <w:tab w:val="left" w:pos="426"/>
        </w:tabs>
        <w:spacing w:after="120"/>
        <w:ind w:left="426" w:right="96" w:hanging="219"/>
        <w:jc w:val="both"/>
        <w:rPr>
          <w:rFonts w:asciiTheme="majorHAnsi" w:hAnsiTheme="majorHAnsi" w:cstheme="majorHAnsi"/>
          <w:sz w:val="20"/>
          <w:szCs w:val="20"/>
        </w:rPr>
      </w:pPr>
      <w:r w:rsidRPr="005516CD">
        <w:rPr>
          <w:rFonts w:asciiTheme="majorHAnsi" w:hAnsiTheme="majorHAnsi" w:cstheme="majorHAnsi"/>
          <w:b/>
          <w:sz w:val="20"/>
          <w:szCs w:val="20"/>
        </w:rPr>
        <w:t>Ackee</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i/>
          <w:sz w:val="20"/>
          <w:szCs w:val="20"/>
        </w:rPr>
        <w:t>Blighia</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sapida</w:t>
      </w:r>
      <w:proofErr w:type="spellEnd"/>
      <w:r w:rsidRPr="005516CD">
        <w:rPr>
          <w:rFonts w:asciiTheme="majorHAnsi" w:hAnsiTheme="majorHAnsi" w:cstheme="majorHAnsi"/>
          <w:sz w:val="20"/>
          <w:szCs w:val="20"/>
        </w:rPr>
        <w:t>): t</w:t>
      </w:r>
      <w:r w:rsidR="005041E0" w:rsidRPr="005516CD">
        <w:rPr>
          <w:rFonts w:asciiTheme="majorHAnsi" w:hAnsiTheme="majorHAnsi" w:cstheme="majorHAnsi"/>
          <w:sz w:val="20"/>
          <w:szCs w:val="20"/>
        </w:rPr>
        <w:t>here is potential to develop further the production and marketing of</w:t>
      </w:r>
      <w:r w:rsidRPr="005516CD">
        <w:rPr>
          <w:rFonts w:asciiTheme="majorHAnsi" w:hAnsiTheme="majorHAnsi" w:cstheme="majorHAnsi"/>
          <w:sz w:val="20"/>
          <w:szCs w:val="20"/>
        </w:rPr>
        <w:t xml:space="preserve"> this crop</w:t>
      </w:r>
      <w:r w:rsidR="009E598B" w:rsidRPr="005516CD">
        <w:rPr>
          <w:rFonts w:asciiTheme="majorHAnsi" w:hAnsiTheme="majorHAnsi" w:cstheme="majorHAnsi"/>
          <w:sz w:val="20"/>
          <w:szCs w:val="20"/>
        </w:rPr>
        <w:t xml:space="preserve">, which is currently little known but for which there is major demand among the English-speaking Caribbean diaspora in the USA and UK: Haiti is well placed to compete with Jamaica in supplying these markets. Production to date has been from plantations in the </w:t>
      </w:r>
      <w:proofErr w:type="spellStart"/>
      <w:r w:rsidR="009E598B" w:rsidRPr="005516CD">
        <w:rPr>
          <w:rFonts w:asciiTheme="majorHAnsi" w:hAnsiTheme="majorHAnsi" w:cstheme="majorHAnsi"/>
          <w:sz w:val="20"/>
          <w:szCs w:val="20"/>
        </w:rPr>
        <w:t>Cul</w:t>
      </w:r>
      <w:proofErr w:type="spellEnd"/>
      <w:r w:rsidR="009E598B" w:rsidRPr="005516CD">
        <w:rPr>
          <w:rFonts w:asciiTheme="majorHAnsi" w:hAnsiTheme="majorHAnsi" w:cstheme="majorHAnsi"/>
          <w:sz w:val="20"/>
          <w:szCs w:val="20"/>
        </w:rPr>
        <w:t xml:space="preserve"> de Sac area of the north, but there is much potential for this tree crop to be further developed in the area, including in smallholder agroforestry systems.</w:t>
      </w:r>
      <w:r w:rsidR="005041E0" w:rsidRPr="005516CD">
        <w:rPr>
          <w:rFonts w:asciiTheme="majorHAnsi" w:hAnsiTheme="majorHAnsi" w:cstheme="majorHAnsi"/>
          <w:sz w:val="20"/>
          <w:szCs w:val="20"/>
        </w:rPr>
        <w:t xml:space="preserve"> </w:t>
      </w:r>
    </w:p>
    <w:p w14:paraId="3D1B095A" w14:textId="77777777" w:rsidR="00F1212A" w:rsidRPr="005516CD" w:rsidRDefault="00595CAD" w:rsidP="006B27F4">
      <w:pPr>
        <w:pStyle w:val="ListParagraph"/>
        <w:numPr>
          <w:ilvl w:val="0"/>
          <w:numId w:val="103"/>
        </w:numPr>
        <w:tabs>
          <w:tab w:val="left" w:pos="426"/>
        </w:tabs>
        <w:spacing w:after="120"/>
        <w:ind w:left="426" w:right="96" w:hanging="219"/>
        <w:jc w:val="both"/>
        <w:rPr>
          <w:rFonts w:asciiTheme="majorHAnsi" w:hAnsiTheme="majorHAnsi" w:cstheme="majorHAnsi"/>
          <w:sz w:val="20"/>
          <w:szCs w:val="20"/>
        </w:rPr>
      </w:pPr>
      <w:r w:rsidRPr="005516CD">
        <w:rPr>
          <w:rFonts w:asciiTheme="majorHAnsi" w:hAnsiTheme="majorHAnsi" w:cstheme="majorHAnsi"/>
          <w:b/>
          <w:sz w:val="20"/>
          <w:szCs w:val="20"/>
        </w:rPr>
        <w:t>B</w:t>
      </w:r>
      <w:r w:rsidR="00F1212A" w:rsidRPr="005516CD">
        <w:rPr>
          <w:rFonts w:asciiTheme="majorHAnsi" w:hAnsiTheme="majorHAnsi" w:cstheme="majorHAnsi"/>
          <w:b/>
          <w:sz w:val="20"/>
          <w:szCs w:val="20"/>
        </w:rPr>
        <w:t>itter orange</w:t>
      </w:r>
      <w:r w:rsidR="00F1212A"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in the communes of St Raphael and St-Michel de </w:t>
      </w:r>
      <w:proofErr w:type="spellStart"/>
      <w:r w:rsidRPr="005516CD">
        <w:rPr>
          <w:rFonts w:asciiTheme="majorHAnsi" w:hAnsiTheme="majorHAnsi" w:cstheme="majorHAnsi"/>
          <w:sz w:val="20"/>
          <w:szCs w:val="20"/>
        </w:rPr>
        <w:t>l’Atalaye</w:t>
      </w:r>
      <w:proofErr w:type="spellEnd"/>
      <w:r w:rsidRPr="005516CD">
        <w:rPr>
          <w:rFonts w:asciiTheme="majorHAnsi" w:hAnsiTheme="majorHAnsi" w:cstheme="majorHAnsi"/>
          <w:sz w:val="20"/>
          <w:szCs w:val="20"/>
        </w:rPr>
        <w:t>, this crop is produced in significant quantities, producing a wide range of products: immature fruit (</w:t>
      </w:r>
      <w:proofErr w:type="spellStart"/>
      <w:r w:rsidRPr="005516CD">
        <w:rPr>
          <w:rFonts w:asciiTheme="majorHAnsi" w:hAnsiTheme="majorHAnsi" w:cstheme="majorHAnsi"/>
          <w:i/>
          <w:sz w:val="20"/>
          <w:szCs w:val="20"/>
        </w:rPr>
        <w:t>orangettes</w:t>
      </w:r>
      <w:proofErr w:type="spellEnd"/>
      <w:r w:rsidRPr="005516CD">
        <w:rPr>
          <w:rFonts w:asciiTheme="majorHAnsi" w:hAnsiTheme="majorHAnsi" w:cstheme="majorHAnsi"/>
          <w:sz w:val="20"/>
          <w:szCs w:val="20"/>
        </w:rPr>
        <w:t>), which fall naturally as the trees develop,</w:t>
      </w:r>
      <w:r w:rsidRPr="005516CD">
        <w:rPr>
          <w:rFonts w:asciiTheme="majorHAnsi" w:hAnsiTheme="majorHAnsi" w:cstheme="majorHAnsi"/>
          <w:i/>
          <w:sz w:val="20"/>
          <w:szCs w:val="20"/>
        </w:rPr>
        <w:t xml:space="preserve"> </w:t>
      </w:r>
      <w:r w:rsidRPr="005516CD">
        <w:rPr>
          <w:rFonts w:asciiTheme="majorHAnsi" w:hAnsiTheme="majorHAnsi" w:cstheme="majorHAnsi"/>
          <w:sz w:val="20"/>
          <w:szCs w:val="20"/>
        </w:rPr>
        <w:t>are purchased by</w:t>
      </w:r>
      <w:r w:rsidR="00B56141" w:rsidRPr="005516CD">
        <w:rPr>
          <w:rFonts w:asciiTheme="majorHAnsi" w:hAnsiTheme="majorHAnsi" w:cstheme="majorHAnsi"/>
          <w:sz w:val="20"/>
          <w:szCs w:val="20"/>
        </w:rPr>
        <w:t xml:space="preserve"> the company</w:t>
      </w:r>
      <w:r w:rsidRPr="005516CD">
        <w:rPr>
          <w:rFonts w:asciiTheme="majorHAnsi" w:hAnsiTheme="majorHAnsi" w:cstheme="majorHAnsi"/>
          <w:sz w:val="20"/>
          <w:szCs w:val="20"/>
        </w:rPr>
        <w:t xml:space="preserve"> Novella for the production of essence; as the remaining crop develops, a proportion is harvested green and its peel is dried and sold for the production of oils; the remainder is harvested and sold when mature, being particularly prized for marinating meat. The peel of mature bitter oranges is also purchased by local intermediaries for resale in Cap </w:t>
      </w:r>
      <w:proofErr w:type="spellStart"/>
      <w:r w:rsidRPr="005516CD">
        <w:rPr>
          <w:rFonts w:asciiTheme="majorHAnsi" w:hAnsiTheme="majorHAnsi" w:cstheme="majorHAnsi"/>
          <w:sz w:val="20"/>
          <w:szCs w:val="20"/>
        </w:rPr>
        <w:t>Haitien</w:t>
      </w:r>
      <w:proofErr w:type="spellEnd"/>
      <w:r w:rsidRPr="005516CD">
        <w:rPr>
          <w:rFonts w:asciiTheme="majorHAnsi" w:hAnsiTheme="majorHAnsi" w:cstheme="majorHAnsi"/>
          <w:sz w:val="20"/>
          <w:szCs w:val="20"/>
        </w:rPr>
        <w:t xml:space="preserve">. The largest operators purchase up to 25 t of </w:t>
      </w:r>
      <w:proofErr w:type="spellStart"/>
      <w:r w:rsidRPr="005516CD">
        <w:rPr>
          <w:rFonts w:asciiTheme="majorHAnsi" w:hAnsiTheme="majorHAnsi" w:cstheme="majorHAnsi"/>
          <w:i/>
          <w:sz w:val="20"/>
          <w:szCs w:val="20"/>
        </w:rPr>
        <w:t>orangettes</w:t>
      </w:r>
      <w:proofErr w:type="spellEnd"/>
      <w:r w:rsidRPr="005516CD">
        <w:rPr>
          <w:rFonts w:asciiTheme="majorHAnsi" w:hAnsiTheme="majorHAnsi" w:cstheme="majorHAnsi"/>
          <w:i/>
          <w:sz w:val="20"/>
          <w:szCs w:val="20"/>
        </w:rPr>
        <w:t xml:space="preserve"> </w:t>
      </w:r>
      <w:r w:rsidRPr="005516CD">
        <w:rPr>
          <w:rFonts w:asciiTheme="majorHAnsi" w:hAnsiTheme="majorHAnsi" w:cstheme="majorHAnsi"/>
          <w:sz w:val="20"/>
          <w:szCs w:val="20"/>
        </w:rPr>
        <w:t xml:space="preserve">and 50 t of dried peel over a period six weeks, with prices (in 2014) of </w:t>
      </w:r>
      <w:proofErr w:type="spellStart"/>
      <w:r w:rsidRPr="005516CD">
        <w:rPr>
          <w:rFonts w:asciiTheme="majorHAnsi" w:hAnsiTheme="majorHAnsi" w:cstheme="majorHAnsi"/>
          <w:sz w:val="20"/>
          <w:szCs w:val="20"/>
        </w:rPr>
        <w:t>Gdes</w:t>
      </w:r>
      <w:proofErr w:type="spellEnd"/>
      <w:r w:rsidRPr="005516CD">
        <w:rPr>
          <w:rFonts w:asciiTheme="majorHAnsi" w:hAnsiTheme="majorHAnsi" w:cstheme="majorHAnsi"/>
          <w:sz w:val="20"/>
          <w:szCs w:val="20"/>
        </w:rPr>
        <w:t xml:space="preserve"> 6-10/</w:t>
      </w:r>
      <w:proofErr w:type="spellStart"/>
      <w:r w:rsidRPr="005516CD">
        <w:rPr>
          <w:rFonts w:asciiTheme="majorHAnsi" w:hAnsiTheme="majorHAnsi" w:cstheme="majorHAnsi"/>
          <w:sz w:val="20"/>
          <w:szCs w:val="20"/>
        </w:rPr>
        <w:t>lb</w:t>
      </w:r>
      <w:proofErr w:type="spellEnd"/>
      <w:r w:rsidRPr="005516CD">
        <w:rPr>
          <w:rFonts w:asciiTheme="majorHAnsi" w:hAnsiTheme="majorHAnsi" w:cstheme="majorHAnsi"/>
          <w:sz w:val="20"/>
          <w:szCs w:val="20"/>
        </w:rPr>
        <w:t xml:space="preserve"> for </w:t>
      </w:r>
      <w:proofErr w:type="spellStart"/>
      <w:r w:rsidRPr="005516CD">
        <w:rPr>
          <w:rFonts w:asciiTheme="majorHAnsi" w:hAnsiTheme="majorHAnsi" w:cstheme="majorHAnsi"/>
          <w:i/>
          <w:sz w:val="20"/>
          <w:szCs w:val="20"/>
        </w:rPr>
        <w:t>orangettes</w:t>
      </w:r>
      <w:proofErr w:type="spellEnd"/>
      <w:r w:rsidRPr="005516CD">
        <w:rPr>
          <w:rFonts w:asciiTheme="majorHAnsi" w:hAnsiTheme="majorHAnsi" w:cstheme="majorHAnsi"/>
          <w:i/>
          <w:sz w:val="20"/>
          <w:szCs w:val="20"/>
        </w:rPr>
        <w:t xml:space="preserve"> </w:t>
      </w:r>
      <w:r w:rsidRPr="005516CD">
        <w:rPr>
          <w:rFonts w:asciiTheme="majorHAnsi" w:hAnsiTheme="majorHAnsi" w:cstheme="majorHAnsi"/>
          <w:sz w:val="20"/>
          <w:szCs w:val="20"/>
        </w:rPr>
        <w:t xml:space="preserve">and </w:t>
      </w:r>
      <w:proofErr w:type="spellStart"/>
      <w:r w:rsidRPr="005516CD">
        <w:rPr>
          <w:rFonts w:asciiTheme="majorHAnsi" w:hAnsiTheme="majorHAnsi" w:cstheme="majorHAnsi"/>
          <w:sz w:val="20"/>
          <w:szCs w:val="20"/>
        </w:rPr>
        <w:t>Gdes</w:t>
      </w:r>
      <w:proofErr w:type="spellEnd"/>
      <w:r w:rsidRPr="005516CD">
        <w:rPr>
          <w:rFonts w:asciiTheme="majorHAnsi" w:hAnsiTheme="majorHAnsi" w:cstheme="majorHAnsi"/>
          <w:sz w:val="20"/>
          <w:szCs w:val="20"/>
        </w:rPr>
        <w:t xml:space="preserve"> 8-12/</w:t>
      </w:r>
      <w:proofErr w:type="spellStart"/>
      <w:r w:rsidRPr="005516CD">
        <w:rPr>
          <w:rFonts w:asciiTheme="majorHAnsi" w:hAnsiTheme="majorHAnsi" w:cstheme="majorHAnsi"/>
          <w:sz w:val="20"/>
          <w:szCs w:val="20"/>
        </w:rPr>
        <w:t>lb</w:t>
      </w:r>
      <w:proofErr w:type="spellEnd"/>
      <w:r w:rsidRPr="005516CD">
        <w:rPr>
          <w:rFonts w:asciiTheme="majorHAnsi" w:hAnsiTheme="majorHAnsi" w:cstheme="majorHAnsi"/>
          <w:sz w:val="20"/>
          <w:szCs w:val="20"/>
        </w:rPr>
        <w:t xml:space="preserve"> for peel.  </w:t>
      </w:r>
    </w:p>
    <w:p w14:paraId="5142A32D" w14:textId="77777777" w:rsidR="00CD5D93" w:rsidRPr="005516CD" w:rsidRDefault="00CD5D93" w:rsidP="006B27F4">
      <w:pPr>
        <w:pStyle w:val="ListParagraph"/>
        <w:numPr>
          <w:ilvl w:val="0"/>
          <w:numId w:val="103"/>
        </w:numPr>
        <w:tabs>
          <w:tab w:val="left" w:pos="426"/>
        </w:tabs>
        <w:spacing w:after="120"/>
        <w:ind w:left="426" w:right="96" w:hanging="219"/>
        <w:jc w:val="both"/>
        <w:rPr>
          <w:rFonts w:asciiTheme="majorHAnsi" w:hAnsiTheme="majorHAnsi" w:cstheme="majorHAnsi"/>
          <w:sz w:val="20"/>
          <w:szCs w:val="20"/>
        </w:rPr>
      </w:pPr>
      <w:r w:rsidRPr="005516CD">
        <w:rPr>
          <w:rFonts w:asciiTheme="majorHAnsi" w:hAnsiTheme="majorHAnsi" w:cstheme="majorHAnsi"/>
          <w:b/>
          <w:sz w:val="20"/>
          <w:szCs w:val="20"/>
        </w:rPr>
        <w:t>Fruit jams</w:t>
      </w:r>
      <w:r w:rsidRPr="005516CD">
        <w:rPr>
          <w:rFonts w:asciiTheme="majorHAnsi" w:hAnsiTheme="majorHAnsi" w:cstheme="majorHAnsi"/>
          <w:sz w:val="20"/>
          <w:szCs w:val="20"/>
        </w:rPr>
        <w:t>: although profitable on paper, these have the disadvantages of having limited local demand, requiring a source of reasonably-priced jam jars</w:t>
      </w:r>
      <w:r w:rsidR="00F22900" w:rsidRPr="005516CD">
        <w:rPr>
          <w:rFonts w:asciiTheme="majorHAnsi" w:hAnsiTheme="majorHAnsi" w:cstheme="majorHAnsi"/>
          <w:sz w:val="20"/>
          <w:szCs w:val="20"/>
        </w:rPr>
        <w:t xml:space="preserve">, having high production costs compared to other products and having competition from imported products. Strategies to overcome these barriers include obtaining </w:t>
      </w:r>
      <w:proofErr w:type="spellStart"/>
      <w:r w:rsidR="00F22900" w:rsidRPr="005516CD">
        <w:rPr>
          <w:rFonts w:asciiTheme="majorHAnsi" w:hAnsiTheme="majorHAnsi" w:cstheme="majorHAnsi"/>
          <w:sz w:val="20"/>
          <w:szCs w:val="20"/>
        </w:rPr>
        <w:t>favourably</w:t>
      </w:r>
      <w:proofErr w:type="spellEnd"/>
      <w:r w:rsidR="00F22900" w:rsidRPr="005516CD">
        <w:rPr>
          <w:rFonts w:asciiTheme="majorHAnsi" w:hAnsiTheme="majorHAnsi" w:cstheme="majorHAnsi"/>
          <w:sz w:val="20"/>
          <w:szCs w:val="20"/>
        </w:rPr>
        <w:t xml:space="preserve"> priced jars through cooperatives and other </w:t>
      </w:r>
      <w:proofErr w:type="spellStart"/>
      <w:r w:rsidR="00F22900" w:rsidRPr="005516CD">
        <w:rPr>
          <w:rFonts w:asciiTheme="majorHAnsi" w:hAnsiTheme="majorHAnsi" w:cstheme="majorHAnsi"/>
          <w:sz w:val="20"/>
          <w:szCs w:val="20"/>
        </w:rPr>
        <w:t>organisations</w:t>
      </w:r>
      <w:proofErr w:type="spellEnd"/>
      <w:r w:rsidR="00F22900" w:rsidRPr="005516CD">
        <w:rPr>
          <w:rFonts w:asciiTheme="majorHAnsi" w:hAnsiTheme="majorHAnsi" w:cstheme="majorHAnsi"/>
          <w:sz w:val="20"/>
          <w:szCs w:val="20"/>
        </w:rPr>
        <w:t xml:space="preserve"> such as </w:t>
      </w:r>
      <w:proofErr w:type="gramStart"/>
      <w:r w:rsidR="00F22900" w:rsidRPr="005516CD">
        <w:rPr>
          <w:rFonts w:asciiTheme="majorHAnsi" w:hAnsiTheme="majorHAnsi" w:cstheme="majorHAnsi"/>
          <w:sz w:val="20"/>
          <w:szCs w:val="20"/>
        </w:rPr>
        <w:t>ANATRAF, and</w:t>
      </w:r>
      <w:proofErr w:type="gramEnd"/>
      <w:r w:rsidR="00F22900" w:rsidRPr="005516CD">
        <w:rPr>
          <w:rFonts w:asciiTheme="majorHAnsi" w:hAnsiTheme="majorHAnsi" w:cstheme="majorHAnsi"/>
          <w:sz w:val="20"/>
          <w:szCs w:val="20"/>
        </w:rPr>
        <w:t xml:space="preserve"> developing attractive and innovative products with non-conventional fruits such as melon, </w:t>
      </w:r>
      <w:r w:rsidR="00F22900" w:rsidRPr="005516CD">
        <w:rPr>
          <w:rFonts w:asciiTheme="majorHAnsi" w:hAnsiTheme="majorHAnsi" w:cstheme="majorHAnsi"/>
          <w:i/>
          <w:sz w:val="20"/>
          <w:szCs w:val="20"/>
        </w:rPr>
        <w:t>mirliton</w:t>
      </w:r>
      <w:r w:rsidR="00F22900" w:rsidRPr="005516CD">
        <w:rPr>
          <w:rFonts w:asciiTheme="majorHAnsi" w:hAnsiTheme="majorHAnsi" w:cstheme="majorHAnsi"/>
          <w:sz w:val="20"/>
          <w:szCs w:val="20"/>
        </w:rPr>
        <w:t xml:space="preserve"> (chayote), date bananas and tamarind.</w:t>
      </w:r>
    </w:p>
    <w:p w14:paraId="047ADB41" w14:textId="77777777" w:rsidR="00F22900" w:rsidRPr="005516CD" w:rsidRDefault="00F22900" w:rsidP="006B27F4">
      <w:pPr>
        <w:pStyle w:val="ListParagraph"/>
        <w:numPr>
          <w:ilvl w:val="0"/>
          <w:numId w:val="103"/>
        </w:numPr>
        <w:tabs>
          <w:tab w:val="left" w:pos="426"/>
        </w:tabs>
        <w:spacing w:after="120"/>
        <w:ind w:left="426" w:right="96" w:hanging="219"/>
        <w:jc w:val="both"/>
        <w:rPr>
          <w:rFonts w:asciiTheme="majorHAnsi" w:hAnsiTheme="majorHAnsi" w:cstheme="majorHAnsi"/>
          <w:sz w:val="20"/>
          <w:szCs w:val="20"/>
        </w:rPr>
      </w:pPr>
      <w:r w:rsidRPr="005516CD">
        <w:rPr>
          <w:rFonts w:asciiTheme="majorHAnsi" w:hAnsiTheme="majorHAnsi" w:cstheme="majorHAnsi"/>
          <w:b/>
          <w:sz w:val="20"/>
          <w:szCs w:val="20"/>
        </w:rPr>
        <w:t>Fruit juices</w:t>
      </w:r>
      <w:r w:rsidR="003F6C4F" w:rsidRPr="005516CD">
        <w:rPr>
          <w:rFonts w:asciiTheme="majorHAnsi" w:hAnsiTheme="majorHAnsi" w:cstheme="majorHAnsi"/>
          <w:b/>
          <w:sz w:val="20"/>
          <w:szCs w:val="20"/>
        </w:rPr>
        <w:t>,</w:t>
      </w:r>
      <w:r w:rsidRPr="005516CD">
        <w:rPr>
          <w:rFonts w:asciiTheme="majorHAnsi" w:hAnsiTheme="majorHAnsi" w:cstheme="majorHAnsi"/>
          <w:b/>
          <w:sz w:val="20"/>
          <w:szCs w:val="20"/>
        </w:rPr>
        <w:t xml:space="preserve"> nectars</w:t>
      </w:r>
      <w:r w:rsidR="003F6C4F" w:rsidRPr="005516CD">
        <w:rPr>
          <w:rFonts w:asciiTheme="majorHAnsi" w:hAnsiTheme="majorHAnsi" w:cstheme="majorHAnsi"/>
          <w:b/>
          <w:sz w:val="20"/>
          <w:szCs w:val="20"/>
        </w:rPr>
        <w:t xml:space="preserve"> and syrups</w:t>
      </w:r>
      <w:r w:rsidRPr="005516CD">
        <w:rPr>
          <w:rFonts w:asciiTheme="majorHAnsi" w:hAnsiTheme="majorHAnsi" w:cstheme="majorHAnsi"/>
          <w:sz w:val="20"/>
          <w:szCs w:val="20"/>
        </w:rPr>
        <w:t>: fruit juices tend to be undervalued as they may be confused with lower value nectars</w:t>
      </w:r>
      <w:r w:rsidR="00743576" w:rsidRPr="005516CD">
        <w:rPr>
          <w:rFonts w:asciiTheme="majorHAnsi" w:hAnsiTheme="majorHAnsi" w:cstheme="majorHAnsi"/>
          <w:sz w:val="20"/>
          <w:szCs w:val="20"/>
        </w:rPr>
        <w:t xml:space="preserve">, and also require cold chains which may be a problem for accessing more distant markets. </w:t>
      </w:r>
      <w:r w:rsidR="004D45E3" w:rsidRPr="005516CD">
        <w:rPr>
          <w:rFonts w:asciiTheme="majorHAnsi" w:hAnsiTheme="majorHAnsi" w:cstheme="majorHAnsi"/>
          <w:sz w:val="20"/>
          <w:szCs w:val="20"/>
        </w:rPr>
        <w:t>N</w:t>
      </w:r>
      <w:r w:rsidR="00743576" w:rsidRPr="005516CD">
        <w:rPr>
          <w:rFonts w:asciiTheme="majorHAnsi" w:hAnsiTheme="majorHAnsi" w:cstheme="majorHAnsi"/>
          <w:sz w:val="20"/>
          <w:szCs w:val="20"/>
        </w:rPr>
        <w:t xml:space="preserve">ectars tend to be more familiar to consumers and may include a wide diversity of fruits such as citrus, </w:t>
      </w:r>
      <w:r w:rsidR="004D45E3" w:rsidRPr="005516CD">
        <w:rPr>
          <w:rFonts w:asciiTheme="majorHAnsi" w:hAnsiTheme="majorHAnsi" w:cstheme="majorHAnsi"/>
          <w:sz w:val="20"/>
          <w:szCs w:val="20"/>
        </w:rPr>
        <w:t xml:space="preserve">soursop, pineapple and mango; they are lower priced than juices however, and these low prices may limit the </w:t>
      </w:r>
      <w:r w:rsidR="003F6C4F" w:rsidRPr="005516CD">
        <w:rPr>
          <w:rFonts w:asciiTheme="majorHAnsi" w:hAnsiTheme="majorHAnsi" w:cstheme="majorHAnsi"/>
          <w:sz w:val="20"/>
          <w:szCs w:val="20"/>
        </w:rPr>
        <w:t xml:space="preserve">range of </w:t>
      </w:r>
      <w:r w:rsidR="004D45E3" w:rsidRPr="005516CD">
        <w:rPr>
          <w:rFonts w:asciiTheme="majorHAnsi" w:hAnsiTheme="majorHAnsi" w:cstheme="majorHAnsi"/>
          <w:sz w:val="20"/>
          <w:szCs w:val="20"/>
        </w:rPr>
        <w:t xml:space="preserve">packaging options </w:t>
      </w:r>
      <w:r w:rsidR="003F6C4F" w:rsidRPr="005516CD">
        <w:rPr>
          <w:rFonts w:asciiTheme="majorHAnsi" w:hAnsiTheme="majorHAnsi" w:cstheme="majorHAnsi"/>
          <w:sz w:val="20"/>
          <w:szCs w:val="20"/>
        </w:rPr>
        <w:t xml:space="preserve">that it is </w:t>
      </w:r>
      <w:r w:rsidR="00EF7586" w:rsidRPr="005516CD">
        <w:rPr>
          <w:rFonts w:asciiTheme="majorHAnsi" w:hAnsiTheme="majorHAnsi" w:cstheme="majorHAnsi"/>
          <w:sz w:val="20"/>
          <w:szCs w:val="20"/>
        </w:rPr>
        <w:t>cost-effective to use</w:t>
      </w:r>
      <w:r w:rsidR="003F6C4F" w:rsidRPr="005516CD">
        <w:rPr>
          <w:rFonts w:asciiTheme="majorHAnsi" w:hAnsiTheme="majorHAnsi" w:cstheme="majorHAnsi"/>
          <w:sz w:val="20"/>
          <w:szCs w:val="20"/>
        </w:rPr>
        <w:t xml:space="preserve">. </w:t>
      </w:r>
      <w:r w:rsidR="00EF7586" w:rsidRPr="005516CD">
        <w:rPr>
          <w:rFonts w:asciiTheme="majorHAnsi" w:hAnsiTheme="majorHAnsi" w:cstheme="majorHAnsi"/>
          <w:sz w:val="20"/>
          <w:szCs w:val="20"/>
        </w:rPr>
        <w:t xml:space="preserve">Juices are less affected by competition from imports than nectars. </w:t>
      </w:r>
      <w:r w:rsidR="003F6C4F" w:rsidRPr="005516CD">
        <w:rPr>
          <w:rFonts w:asciiTheme="majorHAnsi" w:hAnsiTheme="majorHAnsi" w:cstheme="majorHAnsi"/>
          <w:sz w:val="20"/>
          <w:szCs w:val="20"/>
        </w:rPr>
        <w:t xml:space="preserve">Syrups are a higher value </w:t>
      </w:r>
      <w:proofErr w:type="gramStart"/>
      <w:r w:rsidR="003F6C4F" w:rsidRPr="005516CD">
        <w:rPr>
          <w:rFonts w:asciiTheme="majorHAnsi" w:hAnsiTheme="majorHAnsi" w:cstheme="majorHAnsi"/>
          <w:sz w:val="20"/>
          <w:szCs w:val="20"/>
        </w:rPr>
        <w:t xml:space="preserve">product, </w:t>
      </w:r>
      <w:r w:rsidR="00EF7586" w:rsidRPr="005516CD">
        <w:rPr>
          <w:rFonts w:asciiTheme="majorHAnsi" w:hAnsiTheme="majorHAnsi" w:cstheme="majorHAnsi"/>
          <w:sz w:val="20"/>
          <w:szCs w:val="20"/>
        </w:rPr>
        <w:t>but</w:t>
      </w:r>
      <w:proofErr w:type="gramEnd"/>
      <w:r w:rsidR="00EF7586" w:rsidRPr="005516CD">
        <w:rPr>
          <w:rFonts w:asciiTheme="majorHAnsi" w:hAnsiTheme="majorHAnsi" w:cstheme="majorHAnsi"/>
          <w:sz w:val="20"/>
          <w:szCs w:val="20"/>
        </w:rPr>
        <w:t xml:space="preserve"> tend to be less familiar to consumers; there is however significant potential to develop the market for them, for example in restaurants in Cap </w:t>
      </w:r>
      <w:proofErr w:type="spellStart"/>
      <w:r w:rsidR="00EF7586" w:rsidRPr="005516CD">
        <w:rPr>
          <w:rFonts w:asciiTheme="majorHAnsi" w:hAnsiTheme="majorHAnsi" w:cstheme="majorHAnsi"/>
          <w:sz w:val="20"/>
          <w:szCs w:val="20"/>
        </w:rPr>
        <w:t>Haitien</w:t>
      </w:r>
      <w:proofErr w:type="spellEnd"/>
      <w:r w:rsidR="00EF7586" w:rsidRPr="005516CD">
        <w:rPr>
          <w:rFonts w:asciiTheme="majorHAnsi" w:hAnsiTheme="majorHAnsi" w:cstheme="majorHAnsi"/>
          <w:sz w:val="20"/>
          <w:szCs w:val="20"/>
        </w:rPr>
        <w:t xml:space="preserve">, given that they can be used as concentrate for making fruit juice. </w:t>
      </w:r>
    </w:p>
    <w:p w14:paraId="783A0149" w14:textId="77777777" w:rsidR="00EF7586" w:rsidRPr="005516CD" w:rsidRDefault="00EF7586" w:rsidP="006B27F4">
      <w:pPr>
        <w:pStyle w:val="ListParagraph"/>
        <w:numPr>
          <w:ilvl w:val="0"/>
          <w:numId w:val="103"/>
        </w:numPr>
        <w:tabs>
          <w:tab w:val="left" w:pos="426"/>
        </w:tabs>
        <w:spacing w:after="120"/>
        <w:ind w:left="426" w:right="96" w:hanging="219"/>
        <w:jc w:val="both"/>
        <w:rPr>
          <w:rFonts w:asciiTheme="majorHAnsi" w:hAnsiTheme="majorHAnsi" w:cstheme="majorHAnsi"/>
          <w:sz w:val="20"/>
          <w:szCs w:val="20"/>
        </w:rPr>
      </w:pPr>
      <w:r w:rsidRPr="005516CD">
        <w:rPr>
          <w:rFonts w:asciiTheme="majorHAnsi" w:hAnsiTheme="majorHAnsi" w:cstheme="majorHAnsi"/>
          <w:b/>
          <w:sz w:val="20"/>
          <w:szCs w:val="20"/>
        </w:rPr>
        <w:t>Liqueurs</w:t>
      </w:r>
      <w:r w:rsidRPr="005516CD">
        <w:rPr>
          <w:rFonts w:asciiTheme="majorHAnsi" w:hAnsiTheme="majorHAnsi" w:cstheme="majorHAnsi"/>
          <w:sz w:val="20"/>
          <w:szCs w:val="20"/>
        </w:rPr>
        <w:t>: these are becoming increasingly popular for drinking in special events; there is potential to diversify the product by mixing other fruits (citrus, pineapples and others), with coffee and cacao. Profit margins are attractive, and these products sell well in regional fairs</w:t>
      </w:r>
      <w:r w:rsidR="00B56141" w:rsidRPr="005516CD">
        <w:rPr>
          <w:rFonts w:asciiTheme="majorHAnsi" w:hAnsiTheme="majorHAnsi" w:cstheme="majorHAnsi"/>
          <w:sz w:val="20"/>
          <w:szCs w:val="20"/>
        </w:rPr>
        <w:t>. T</w:t>
      </w:r>
      <w:r w:rsidR="00D05CD9" w:rsidRPr="005516CD">
        <w:rPr>
          <w:rFonts w:asciiTheme="majorHAnsi" w:hAnsiTheme="majorHAnsi" w:cstheme="majorHAnsi"/>
          <w:sz w:val="20"/>
          <w:szCs w:val="20"/>
        </w:rPr>
        <w:t>here is also much potential for individual sales</w:t>
      </w:r>
      <w:r w:rsidRPr="005516CD">
        <w:rPr>
          <w:rFonts w:asciiTheme="majorHAnsi" w:hAnsiTheme="majorHAnsi" w:cstheme="majorHAnsi"/>
          <w:sz w:val="20"/>
          <w:szCs w:val="20"/>
        </w:rPr>
        <w:t xml:space="preserve">. </w:t>
      </w:r>
    </w:p>
    <w:p w14:paraId="645041F5" w14:textId="77777777" w:rsidR="007A61B6" w:rsidRPr="005516CD" w:rsidRDefault="007A61B6" w:rsidP="006B27F4">
      <w:pPr>
        <w:pStyle w:val="ListParagraph"/>
        <w:keepNext/>
        <w:numPr>
          <w:ilvl w:val="3"/>
          <w:numId w:val="90"/>
        </w:numPr>
        <w:spacing w:after="60"/>
        <w:ind w:left="851" w:right="96" w:hanging="851"/>
        <w:contextualSpacing/>
        <w:jc w:val="both"/>
        <w:rPr>
          <w:rFonts w:asciiTheme="majorHAnsi" w:hAnsiTheme="majorHAnsi" w:cstheme="majorHAnsi"/>
          <w:b/>
          <w:sz w:val="20"/>
          <w:szCs w:val="20"/>
        </w:rPr>
      </w:pPr>
      <w:r w:rsidRPr="005516CD">
        <w:rPr>
          <w:rFonts w:asciiTheme="majorHAnsi" w:hAnsiTheme="majorHAnsi" w:cstheme="majorHAnsi"/>
          <w:b/>
          <w:sz w:val="20"/>
          <w:szCs w:val="20"/>
        </w:rPr>
        <w:t xml:space="preserve">Profitability and market potential of selected </w:t>
      </w:r>
      <w:r w:rsidR="008C6287" w:rsidRPr="005516CD">
        <w:rPr>
          <w:rFonts w:asciiTheme="majorHAnsi" w:hAnsiTheme="majorHAnsi" w:cstheme="majorHAnsi"/>
          <w:b/>
          <w:sz w:val="20"/>
          <w:szCs w:val="20"/>
        </w:rPr>
        <w:t>products</w:t>
      </w:r>
      <w:r w:rsidR="006A2C98" w:rsidRPr="005516CD">
        <w:rPr>
          <w:rFonts w:asciiTheme="majorHAnsi" w:hAnsiTheme="majorHAnsi" w:cstheme="majorHAnsi"/>
          <w:b/>
          <w:sz w:val="20"/>
          <w:szCs w:val="20"/>
        </w:rPr>
        <w:t xml:space="preserve"> (1 USD = 75.4 HTG)</w:t>
      </w:r>
    </w:p>
    <w:tbl>
      <w:tblPr>
        <w:tblStyle w:val="TableGrid"/>
        <w:tblW w:w="0" w:type="auto"/>
        <w:tblLayout w:type="fixed"/>
        <w:tblLook w:val="04A0" w:firstRow="1" w:lastRow="0" w:firstColumn="1" w:lastColumn="0" w:noHBand="0" w:noVBand="1"/>
      </w:tblPr>
      <w:tblGrid>
        <w:gridCol w:w="1980"/>
        <w:gridCol w:w="1276"/>
        <w:gridCol w:w="1039"/>
        <w:gridCol w:w="1158"/>
        <w:gridCol w:w="1157"/>
        <w:gridCol w:w="1158"/>
        <w:gridCol w:w="1158"/>
      </w:tblGrid>
      <w:tr w:rsidR="00AD2AFD" w:rsidRPr="005516CD" w14:paraId="3BDF98E3" w14:textId="77777777" w:rsidTr="00BB71EF">
        <w:trPr>
          <w:tblHeader/>
        </w:trPr>
        <w:tc>
          <w:tcPr>
            <w:tcW w:w="1980" w:type="dxa"/>
            <w:shd w:val="clear" w:color="auto" w:fill="D9D9D9" w:themeFill="background1" w:themeFillShade="D9"/>
          </w:tcPr>
          <w:p w14:paraId="75FF3854" w14:textId="77777777" w:rsidR="00AD2AFD" w:rsidRPr="005516CD" w:rsidRDefault="00AD2AFD" w:rsidP="007411B4">
            <w:pPr>
              <w:tabs>
                <w:tab w:val="left" w:pos="426"/>
              </w:tabs>
              <w:ind w:right="96"/>
              <w:jc w:val="both"/>
              <w:rPr>
                <w:rFonts w:asciiTheme="majorHAnsi" w:hAnsiTheme="majorHAnsi" w:cstheme="majorHAnsi"/>
                <w:sz w:val="20"/>
                <w:szCs w:val="20"/>
              </w:rPr>
            </w:pPr>
          </w:p>
        </w:tc>
        <w:tc>
          <w:tcPr>
            <w:tcW w:w="1276" w:type="dxa"/>
            <w:shd w:val="clear" w:color="auto" w:fill="D9D9D9" w:themeFill="background1" w:themeFillShade="D9"/>
          </w:tcPr>
          <w:p w14:paraId="5B20F709" w14:textId="77777777" w:rsidR="00AD2AFD" w:rsidRPr="005516CD" w:rsidRDefault="00AD2AFD" w:rsidP="000570D9">
            <w:pPr>
              <w:tabs>
                <w:tab w:val="left" w:pos="426"/>
              </w:tabs>
              <w:ind w:left="-112" w:right="-93"/>
              <w:jc w:val="center"/>
              <w:rPr>
                <w:rFonts w:asciiTheme="majorHAnsi" w:eastAsia="Times New Roman" w:hAnsiTheme="majorHAnsi" w:cstheme="majorHAnsi"/>
                <w:b/>
                <w:sz w:val="20"/>
                <w:szCs w:val="20"/>
                <w:lang w:val="fr-FR"/>
              </w:rPr>
            </w:pPr>
            <w:r w:rsidRPr="005516CD">
              <w:rPr>
                <w:rFonts w:asciiTheme="majorHAnsi" w:eastAsia="Times New Roman" w:hAnsiTheme="majorHAnsi" w:cstheme="majorHAnsi"/>
                <w:b/>
                <w:sz w:val="20"/>
                <w:szCs w:val="20"/>
                <w:lang w:val="fr-FR"/>
              </w:rPr>
              <w:t xml:space="preserve">Sweet cashew </w:t>
            </w:r>
            <w:proofErr w:type="spellStart"/>
            <w:r w:rsidRPr="005516CD">
              <w:rPr>
                <w:rFonts w:asciiTheme="majorHAnsi" w:eastAsia="Times New Roman" w:hAnsiTheme="majorHAnsi" w:cstheme="majorHAnsi"/>
                <w:b/>
                <w:sz w:val="20"/>
                <w:szCs w:val="20"/>
                <w:lang w:val="fr-FR"/>
              </w:rPr>
              <w:t>tablets</w:t>
            </w:r>
            <w:proofErr w:type="spellEnd"/>
            <w:r w:rsidRPr="005516CD">
              <w:rPr>
                <w:rFonts w:asciiTheme="majorHAnsi" w:eastAsia="Times New Roman" w:hAnsiTheme="majorHAnsi" w:cstheme="majorHAnsi"/>
                <w:b/>
                <w:sz w:val="20"/>
                <w:szCs w:val="20"/>
                <w:lang w:val="fr-FR"/>
              </w:rPr>
              <w:t xml:space="preserve"> (240 g)</w:t>
            </w:r>
          </w:p>
        </w:tc>
        <w:tc>
          <w:tcPr>
            <w:tcW w:w="1039" w:type="dxa"/>
            <w:shd w:val="clear" w:color="auto" w:fill="D9D9D9" w:themeFill="background1" w:themeFillShade="D9"/>
          </w:tcPr>
          <w:p w14:paraId="1AB1EC50" w14:textId="77777777" w:rsidR="00AD2AFD" w:rsidRPr="005516CD" w:rsidRDefault="00AD2AFD" w:rsidP="000570D9">
            <w:pPr>
              <w:tabs>
                <w:tab w:val="left" w:pos="426"/>
              </w:tabs>
              <w:ind w:left="-112" w:right="-93"/>
              <w:jc w:val="center"/>
              <w:rPr>
                <w:rFonts w:asciiTheme="majorHAnsi" w:eastAsia="Times New Roman" w:hAnsiTheme="majorHAnsi" w:cstheme="majorHAnsi"/>
                <w:b/>
                <w:sz w:val="20"/>
                <w:szCs w:val="20"/>
                <w:lang w:val="fr-FR"/>
              </w:rPr>
            </w:pPr>
            <w:r w:rsidRPr="005516CD">
              <w:rPr>
                <w:rFonts w:asciiTheme="majorHAnsi" w:eastAsia="Times New Roman" w:hAnsiTheme="majorHAnsi" w:cstheme="majorHAnsi"/>
                <w:b/>
                <w:sz w:val="20"/>
                <w:szCs w:val="20"/>
                <w:lang w:val="fr-FR"/>
              </w:rPr>
              <w:t>Fruit jam (16 oz.)</w:t>
            </w:r>
          </w:p>
        </w:tc>
        <w:tc>
          <w:tcPr>
            <w:tcW w:w="1158" w:type="dxa"/>
            <w:shd w:val="clear" w:color="auto" w:fill="D9D9D9" w:themeFill="background1" w:themeFillShade="D9"/>
          </w:tcPr>
          <w:p w14:paraId="36C37CF3" w14:textId="77777777" w:rsidR="00AD2AFD" w:rsidRPr="005516CD" w:rsidRDefault="00AD2AFD" w:rsidP="000570D9">
            <w:pPr>
              <w:tabs>
                <w:tab w:val="left" w:pos="426"/>
              </w:tabs>
              <w:ind w:left="-112" w:right="-93"/>
              <w:jc w:val="center"/>
              <w:rPr>
                <w:rFonts w:asciiTheme="majorHAnsi" w:eastAsia="Times New Roman" w:hAnsiTheme="majorHAnsi" w:cstheme="majorHAnsi"/>
                <w:b/>
                <w:sz w:val="20"/>
                <w:szCs w:val="20"/>
                <w:lang w:val="fr-FR"/>
              </w:rPr>
            </w:pPr>
            <w:r w:rsidRPr="005516CD">
              <w:rPr>
                <w:rFonts w:asciiTheme="majorHAnsi" w:eastAsia="Times New Roman" w:hAnsiTheme="majorHAnsi" w:cstheme="majorHAnsi"/>
                <w:b/>
                <w:sz w:val="20"/>
                <w:szCs w:val="20"/>
                <w:lang w:val="fr-FR"/>
              </w:rPr>
              <w:t>Fruit nectar</w:t>
            </w:r>
          </w:p>
          <w:p w14:paraId="049D3F7C" w14:textId="77777777" w:rsidR="00AD2AFD" w:rsidRPr="005516CD" w:rsidRDefault="00AD2AFD" w:rsidP="000570D9">
            <w:pPr>
              <w:tabs>
                <w:tab w:val="left" w:pos="426"/>
              </w:tabs>
              <w:ind w:left="-112" w:right="-93"/>
              <w:jc w:val="center"/>
              <w:rPr>
                <w:rFonts w:asciiTheme="majorHAnsi" w:eastAsia="Times New Roman" w:hAnsiTheme="majorHAnsi" w:cstheme="majorHAnsi"/>
                <w:b/>
                <w:sz w:val="20"/>
                <w:szCs w:val="20"/>
                <w:lang w:val="fr-FR"/>
              </w:rPr>
            </w:pPr>
            <w:r w:rsidRPr="005516CD">
              <w:rPr>
                <w:rFonts w:asciiTheme="majorHAnsi" w:eastAsia="Times New Roman" w:hAnsiTheme="majorHAnsi" w:cstheme="majorHAnsi"/>
                <w:b/>
                <w:sz w:val="20"/>
                <w:szCs w:val="20"/>
                <w:lang w:val="fr-FR"/>
              </w:rPr>
              <w:t>(350 ml)</w:t>
            </w:r>
          </w:p>
        </w:tc>
        <w:tc>
          <w:tcPr>
            <w:tcW w:w="1157" w:type="dxa"/>
            <w:shd w:val="clear" w:color="auto" w:fill="D9D9D9" w:themeFill="background1" w:themeFillShade="D9"/>
          </w:tcPr>
          <w:p w14:paraId="1F993D48" w14:textId="77777777" w:rsidR="00AD2AFD" w:rsidRPr="005516CD" w:rsidRDefault="00AD2AFD" w:rsidP="000570D9">
            <w:pPr>
              <w:tabs>
                <w:tab w:val="left" w:pos="426"/>
              </w:tabs>
              <w:ind w:left="-112" w:right="-93"/>
              <w:jc w:val="center"/>
              <w:rPr>
                <w:rFonts w:asciiTheme="majorHAnsi" w:eastAsia="Times New Roman" w:hAnsiTheme="majorHAnsi" w:cstheme="majorHAnsi"/>
                <w:b/>
                <w:sz w:val="20"/>
                <w:szCs w:val="20"/>
                <w:lang w:val="fr-FR"/>
              </w:rPr>
            </w:pPr>
            <w:r w:rsidRPr="005516CD">
              <w:rPr>
                <w:rFonts w:asciiTheme="majorHAnsi" w:eastAsia="Times New Roman" w:hAnsiTheme="majorHAnsi" w:cstheme="majorHAnsi"/>
                <w:b/>
                <w:sz w:val="20"/>
                <w:szCs w:val="20"/>
                <w:lang w:val="fr-FR"/>
              </w:rPr>
              <w:t xml:space="preserve">Fruit </w:t>
            </w:r>
            <w:proofErr w:type="spellStart"/>
            <w:r w:rsidRPr="005516CD">
              <w:rPr>
                <w:rFonts w:asciiTheme="majorHAnsi" w:eastAsia="Times New Roman" w:hAnsiTheme="majorHAnsi" w:cstheme="majorHAnsi"/>
                <w:b/>
                <w:sz w:val="20"/>
                <w:szCs w:val="20"/>
                <w:lang w:val="fr-FR"/>
              </w:rPr>
              <w:t>syrup</w:t>
            </w:r>
            <w:proofErr w:type="spellEnd"/>
          </w:p>
          <w:p w14:paraId="54D0C6B3" w14:textId="77777777" w:rsidR="00AD2AFD" w:rsidRPr="005516CD" w:rsidRDefault="00AD2AFD" w:rsidP="000570D9">
            <w:pPr>
              <w:tabs>
                <w:tab w:val="left" w:pos="426"/>
              </w:tabs>
              <w:ind w:left="-112" w:right="-93"/>
              <w:jc w:val="center"/>
              <w:rPr>
                <w:rFonts w:asciiTheme="majorHAnsi" w:eastAsia="Times New Roman" w:hAnsiTheme="majorHAnsi" w:cstheme="majorHAnsi"/>
                <w:b/>
                <w:sz w:val="20"/>
                <w:szCs w:val="20"/>
                <w:lang w:val="fr-FR"/>
              </w:rPr>
            </w:pPr>
            <w:r w:rsidRPr="005516CD">
              <w:rPr>
                <w:rFonts w:asciiTheme="majorHAnsi" w:eastAsia="Times New Roman" w:hAnsiTheme="majorHAnsi" w:cstheme="majorHAnsi"/>
                <w:b/>
                <w:sz w:val="20"/>
                <w:szCs w:val="20"/>
                <w:lang w:val="fr-FR"/>
              </w:rPr>
              <w:t>(700 ml)</w:t>
            </w:r>
          </w:p>
        </w:tc>
        <w:tc>
          <w:tcPr>
            <w:tcW w:w="1158" w:type="dxa"/>
            <w:shd w:val="clear" w:color="auto" w:fill="D9D9D9" w:themeFill="background1" w:themeFillShade="D9"/>
          </w:tcPr>
          <w:p w14:paraId="6863AF2B" w14:textId="77777777" w:rsidR="00AD2AFD" w:rsidRPr="005516CD" w:rsidRDefault="00AD2AFD" w:rsidP="000570D9">
            <w:pPr>
              <w:tabs>
                <w:tab w:val="left" w:pos="426"/>
              </w:tabs>
              <w:ind w:left="-112" w:right="-93"/>
              <w:jc w:val="center"/>
              <w:rPr>
                <w:rFonts w:asciiTheme="majorHAnsi" w:eastAsia="Times New Roman" w:hAnsiTheme="majorHAnsi" w:cstheme="majorHAnsi"/>
                <w:b/>
                <w:sz w:val="20"/>
                <w:szCs w:val="20"/>
                <w:lang w:val="fr-FR"/>
              </w:rPr>
            </w:pPr>
            <w:r w:rsidRPr="005516CD">
              <w:rPr>
                <w:rFonts w:asciiTheme="majorHAnsi" w:eastAsia="Times New Roman" w:hAnsiTheme="majorHAnsi" w:cstheme="majorHAnsi"/>
                <w:b/>
                <w:sz w:val="20"/>
                <w:szCs w:val="20"/>
                <w:lang w:val="fr-FR"/>
              </w:rPr>
              <w:t>Fruit liqueur (700 ml)</w:t>
            </w:r>
          </w:p>
        </w:tc>
        <w:tc>
          <w:tcPr>
            <w:tcW w:w="1158" w:type="dxa"/>
            <w:shd w:val="clear" w:color="auto" w:fill="D9D9D9" w:themeFill="background1" w:themeFillShade="D9"/>
          </w:tcPr>
          <w:p w14:paraId="53440546" w14:textId="77777777" w:rsidR="00AD2AFD" w:rsidRPr="005516CD" w:rsidRDefault="00AD2AFD" w:rsidP="000570D9">
            <w:pPr>
              <w:tabs>
                <w:tab w:val="left" w:pos="426"/>
              </w:tabs>
              <w:ind w:left="-112" w:right="-93"/>
              <w:jc w:val="center"/>
              <w:rPr>
                <w:rFonts w:asciiTheme="majorHAnsi" w:eastAsia="Times New Roman" w:hAnsiTheme="majorHAnsi" w:cstheme="majorHAnsi"/>
                <w:b/>
                <w:sz w:val="20"/>
                <w:szCs w:val="20"/>
                <w:lang w:val="fr-FR"/>
              </w:rPr>
            </w:pPr>
            <w:r w:rsidRPr="005516CD">
              <w:rPr>
                <w:rFonts w:asciiTheme="majorHAnsi" w:eastAsia="Times New Roman" w:hAnsiTheme="majorHAnsi" w:cstheme="majorHAnsi"/>
                <w:b/>
                <w:sz w:val="20"/>
                <w:szCs w:val="20"/>
                <w:lang w:val="fr-FR"/>
              </w:rPr>
              <w:t xml:space="preserve">Fruit </w:t>
            </w:r>
            <w:proofErr w:type="spellStart"/>
            <w:r w:rsidRPr="005516CD">
              <w:rPr>
                <w:rFonts w:asciiTheme="majorHAnsi" w:eastAsia="Times New Roman" w:hAnsiTheme="majorHAnsi" w:cstheme="majorHAnsi"/>
                <w:b/>
                <w:sz w:val="20"/>
                <w:szCs w:val="20"/>
                <w:lang w:val="fr-FR"/>
              </w:rPr>
              <w:t>wine</w:t>
            </w:r>
            <w:proofErr w:type="spellEnd"/>
          </w:p>
          <w:p w14:paraId="738B238C" w14:textId="77777777" w:rsidR="00AD2AFD" w:rsidRPr="005516CD" w:rsidRDefault="00AD2AFD" w:rsidP="000570D9">
            <w:pPr>
              <w:tabs>
                <w:tab w:val="left" w:pos="426"/>
              </w:tabs>
              <w:ind w:left="-112" w:right="-93"/>
              <w:jc w:val="center"/>
              <w:rPr>
                <w:rFonts w:asciiTheme="majorHAnsi" w:eastAsia="Times New Roman" w:hAnsiTheme="majorHAnsi" w:cstheme="majorHAnsi"/>
                <w:b/>
                <w:sz w:val="20"/>
                <w:szCs w:val="20"/>
                <w:lang w:val="fr-FR"/>
              </w:rPr>
            </w:pPr>
            <w:r w:rsidRPr="005516CD">
              <w:rPr>
                <w:rFonts w:asciiTheme="majorHAnsi" w:eastAsia="Times New Roman" w:hAnsiTheme="majorHAnsi" w:cstheme="majorHAnsi"/>
                <w:b/>
                <w:sz w:val="20"/>
                <w:szCs w:val="20"/>
                <w:lang w:val="fr-FR"/>
              </w:rPr>
              <w:t>(700 ml)</w:t>
            </w:r>
          </w:p>
        </w:tc>
      </w:tr>
      <w:tr w:rsidR="00AD2AFD" w:rsidRPr="005516CD" w14:paraId="034A28B6" w14:textId="77777777" w:rsidTr="00AD2AFD">
        <w:tc>
          <w:tcPr>
            <w:tcW w:w="1980" w:type="dxa"/>
          </w:tcPr>
          <w:p w14:paraId="0BF90D04" w14:textId="77777777" w:rsidR="00AD2AFD" w:rsidRPr="005516CD" w:rsidRDefault="00AD2AFD" w:rsidP="007411B4">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Sale price (HTG)</w:t>
            </w:r>
          </w:p>
        </w:tc>
        <w:tc>
          <w:tcPr>
            <w:tcW w:w="1276" w:type="dxa"/>
          </w:tcPr>
          <w:p w14:paraId="6C75100B"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50</w:t>
            </w:r>
          </w:p>
        </w:tc>
        <w:tc>
          <w:tcPr>
            <w:tcW w:w="1039" w:type="dxa"/>
          </w:tcPr>
          <w:p w14:paraId="61F55BAC"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225</w:t>
            </w:r>
          </w:p>
        </w:tc>
        <w:tc>
          <w:tcPr>
            <w:tcW w:w="1158" w:type="dxa"/>
          </w:tcPr>
          <w:p w14:paraId="1CCAC20F"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75</w:t>
            </w:r>
          </w:p>
        </w:tc>
        <w:tc>
          <w:tcPr>
            <w:tcW w:w="1157" w:type="dxa"/>
          </w:tcPr>
          <w:p w14:paraId="2983747F"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300</w:t>
            </w:r>
          </w:p>
        </w:tc>
        <w:tc>
          <w:tcPr>
            <w:tcW w:w="1158" w:type="dxa"/>
          </w:tcPr>
          <w:p w14:paraId="3318E4B5"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400</w:t>
            </w:r>
          </w:p>
        </w:tc>
        <w:tc>
          <w:tcPr>
            <w:tcW w:w="1158" w:type="dxa"/>
          </w:tcPr>
          <w:p w14:paraId="5D0AD2E9"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400</w:t>
            </w:r>
          </w:p>
        </w:tc>
      </w:tr>
      <w:tr w:rsidR="00AD2AFD" w:rsidRPr="005516CD" w14:paraId="2A96E9ED" w14:textId="77777777" w:rsidTr="00AD2AFD">
        <w:tc>
          <w:tcPr>
            <w:tcW w:w="1980" w:type="dxa"/>
          </w:tcPr>
          <w:p w14:paraId="4F088F74" w14:textId="77777777" w:rsidR="00AD2AFD" w:rsidRPr="005516CD" w:rsidRDefault="00AD2AFD" w:rsidP="007411B4">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Profit</w:t>
            </w:r>
          </w:p>
        </w:tc>
        <w:tc>
          <w:tcPr>
            <w:tcW w:w="1276" w:type="dxa"/>
          </w:tcPr>
          <w:p w14:paraId="16743DF8"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20</w:t>
            </w:r>
          </w:p>
        </w:tc>
        <w:tc>
          <w:tcPr>
            <w:tcW w:w="1039" w:type="dxa"/>
          </w:tcPr>
          <w:p w14:paraId="047A21FF"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25</w:t>
            </w:r>
          </w:p>
        </w:tc>
        <w:tc>
          <w:tcPr>
            <w:tcW w:w="1158" w:type="dxa"/>
          </w:tcPr>
          <w:p w14:paraId="5C76F160" w14:textId="77777777" w:rsidR="00AD2AFD" w:rsidRPr="005516CD" w:rsidRDefault="00AD2AFD" w:rsidP="000E7FAF">
            <w:pPr>
              <w:tabs>
                <w:tab w:val="left" w:pos="426"/>
              </w:tabs>
              <w:ind w:right="96"/>
              <w:jc w:val="center"/>
              <w:rPr>
                <w:rFonts w:asciiTheme="majorHAnsi" w:hAnsiTheme="majorHAnsi" w:cstheme="majorHAnsi"/>
                <w:sz w:val="20"/>
                <w:szCs w:val="20"/>
              </w:rPr>
            </w:pPr>
          </w:p>
        </w:tc>
        <w:tc>
          <w:tcPr>
            <w:tcW w:w="1157" w:type="dxa"/>
          </w:tcPr>
          <w:p w14:paraId="5A16E37D"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30</w:t>
            </w:r>
          </w:p>
        </w:tc>
        <w:tc>
          <w:tcPr>
            <w:tcW w:w="1158" w:type="dxa"/>
          </w:tcPr>
          <w:p w14:paraId="3B2216AA"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35</w:t>
            </w:r>
          </w:p>
        </w:tc>
        <w:tc>
          <w:tcPr>
            <w:tcW w:w="1158" w:type="dxa"/>
          </w:tcPr>
          <w:p w14:paraId="25CC52F3" w14:textId="77777777" w:rsidR="00AD2AFD" w:rsidRPr="005516CD" w:rsidRDefault="00AD2AFD"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0"/>
                <w:szCs w:val="20"/>
              </w:rPr>
              <w:t>40</w:t>
            </w:r>
          </w:p>
        </w:tc>
      </w:tr>
      <w:tr w:rsidR="00CD5D93" w:rsidRPr="005516CD" w14:paraId="5B62FF3D" w14:textId="77777777" w:rsidTr="003F6C4F">
        <w:tc>
          <w:tcPr>
            <w:tcW w:w="8926" w:type="dxa"/>
            <w:gridSpan w:val="7"/>
          </w:tcPr>
          <w:p w14:paraId="7A990508" w14:textId="77777777" w:rsidR="00CD5D93" w:rsidRPr="005516CD" w:rsidRDefault="00CD5D93" w:rsidP="000E7FAF">
            <w:pPr>
              <w:tabs>
                <w:tab w:val="left" w:pos="426"/>
              </w:tabs>
              <w:ind w:right="96"/>
              <w:jc w:val="center"/>
              <w:rPr>
                <w:rFonts w:asciiTheme="majorHAnsi" w:hAnsiTheme="majorHAnsi" w:cstheme="majorHAnsi"/>
                <w:sz w:val="20"/>
                <w:szCs w:val="20"/>
              </w:rPr>
            </w:pPr>
            <w:r w:rsidRPr="005516CD">
              <w:rPr>
                <w:rFonts w:asciiTheme="majorHAnsi" w:hAnsiTheme="majorHAnsi" w:cstheme="majorHAnsi"/>
                <w:b/>
                <w:sz w:val="20"/>
                <w:szCs w:val="20"/>
              </w:rPr>
              <w:t>Ease of sale</w:t>
            </w:r>
          </w:p>
        </w:tc>
      </w:tr>
      <w:tr w:rsidR="00CD5D93" w:rsidRPr="005516CD" w14:paraId="3BD980D6" w14:textId="77777777" w:rsidTr="00AD2AFD">
        <w:tc>
          <w:tcPr>
            <w:tcW w:w="1980" w:type="dxa"/>
          </w:tcPr>
          <w:p w14:paraId="7FE6A065" w14:textId="77777777" w:rsidR="00CD5D93" w:rsidRPr="005516CD" w:rsidRDefault="00CD5D93" w:rsidP="00CD5D93">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Local markets</w:t>
            </w:r>
          </w:p>
        </w:tc>
        <w:tc>
          <w:tcPr>
            <w:tcW w:w="1276" w:type="dxa"/>
          </w:tcPr>
          <w:p w14:paraId="4DA44FB5"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c>
          <w:tcPr>
            <w:tcW w:w="1039" w:type="dxa"/>
          </w:tcPr>
          <w:p w14:paraId="3392A6E6"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c>
          <w:tcPr>
            <w:tcW w:w="1158" w:type="dxa"/>
          </w:tcPr>
          <w:p w14:paraId="1C199EB9" w14:textId="77777777" w:rsidR="00CD5D93" w:rsidRPr="005516CD" w:rsidRDefault="00CD5D93" w:rsidP="00CD5D93">
            <w:pPr>
              <w:tabs>
                <w:tab w:val="left" w:pos="426"/>
              </w:tabs>
              <w:ind w:right="96"/>
              <w:jc w:val="center"/>
              <w:rPr>
                <w:rFonts w:asciiTheme="majorHAnsi" w:hAnsiTheme="majorHAnsi" w:cstheme="majorHAnsi"/>
                <w:sz w:val="20"/>
                <w:szCs w:val="20"/>
              </w:rPr>
            </w:pPr>
          </w:p>
        </w:tc>
        <w:tc>
          <w:tcPr>
            <w:tcW w:w="1157" w:type="dxa"/>
          </w:tcPr>
          <w:p w14:paraId="1DEAD888" w14:textId="77777777" w:rsidR="00CD5D93" w:rsidRPr="005516CD" w:rsidRDefault="00CD5D93" w:rsidP="00CD5D93">
            <w:pPr>
              <w:tabs>
                <w:tab w:val="left" w:pos="426"/>
              </w:tabs>
              <w:ind w:right="96"/>
              <w:jc w:val="center"/>
              <w:rPr>
                <w:rFonts w:asciiTheme="majorHAnsi" w:hAnsiTheme="majorHAnsi" w:cstheme="majorHAnsi"/>
                <w:sz w:val="20"/>
                <w:szCs w:val="20"/>
              </w:rPr>
            </w:pPr>
          </w:p>
        </w:tc>
        <w:tc>
          <w:tcPr>
            <w:tcW w:w="1158" w:type="dxa"/>
          </w:tcPr>
          <w:p w14:paraId="55818B28"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c>
          <w:tcPr>
            <w:tcW w:w="1158" w:type="dxa"/>
          </w:tcPr>
          <w:p w14:paraId="65C46EBF"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r>
      <w:tr w:rsidR="00CD5D93" w:rsidRPr="005516CD" w14:paraId="198612B1" w14:textId="77777777" w:rsidTr="00AD2AFD">
        <w:tc>
          <w:tcPr>
            <w:tcW w:w="1980" w:type="dxa"/>
          </w:tcPr>
          <w:p w14:paraId="2230575A" w14:textId="77777777" w:rsidR="00CD5D93" w:rsidRPr="005516CD" w:rsidRDefault="00CD5D93" w:rsidP="00CD5D93">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Formal markets</w:t>
            </w:r>
          </w:p>
        </w:tc>
        <w:tc>
          <w:tcPr>
            <w:tcW w:w="1276" w:type="dxa"/>
          </w:tcPr>
          <w:p w14:paraId="3393E7B8"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c>
          <w:tcPr>
            <w:tcW w:w="1039" w:type="dxa"/>
          </w:tcPr>
          <w:p w14:paraId="4C2D5762"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c>
          <w:tcPr>
            <w:tcW w:w="1158" w:type="dxa"/>
          </w:tcPr>
          <w:p w14:paraId="027E26C4" w14:textId="77777777" w:rsidR="00CD5D93" w:rsidRPr="005516CD" w:rsidRDefault="00CD5D93" w:rsidP="00CD5D93">
            <w:pPr>
              <w:tabs>
                <w:tab w:val="left" w:pos="426"/>
              </w:tabs>
              <w:ind w:right="96"/>
              <w:jc w:val="center"/>
              <w:rPr>
                <w:rFonts w:asciiTheme="majorHAnsi" w:hAnsiTheme="majorHAnsi" w:cstheme="majorHAnsi"/>
                <w:sz w:val="20"/>
                <w:szCs w:val="20"/>
              </w:rPr>
            </w:pPr>
          </w:p>
        </w:tc>
        <w:tc>
          <w:tcPr>
            <w:tcW w:w="1157" w:type="dxa"/>
          </w:tcPr>
          <w:p w14:paraId="3CA1F0B7" w14:textId="77777777" w:rsidR="00CD5D93" w:rsidRPr="005516CD" w:rsidRDefault="00CD5D93" w:rsidP="00CD5D93">
            <w:pPr>
              <w:tabs>
                <w:tab w:val="left" w:pos="426"/>
              </w:tabs>
              <w:ind w:right="96"/>
              <w:jc w:val="center"/>
              <w:rPr>
                <w:rFonts w:asciiTheme="majorHAnsi" w:hAnsiTheme="majorHAnsi" w:cstheme="majorHAnsi"/>
                <w:sz w:val="20"/>
                <w:szCs w:val="20"/>
              </w:rPr>
            </w:pPr>
          </w:p>
        </w:tc>
        <w:tc>
          <w:tcPr>
            <w:tcW w:w="1158" w:type="dxa"/>
          </w:tcPr>
          <w:p w14:paraId="2B9C6936"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c>
          <w:tcPr>
            <w:tcW w:w="1158" w:type="dxa"/>
          </w:tcPr>
          <w:p w14:paraId="2A7D0719"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r>
      <w:tr w:rsidR="00CD5D93" w:rsidRPr="005516CD" w14:paraId="574C0658" w14:textId="77777777" w:rsidTr="00AD2AFD">
        <w:tc>
          <w:tcPr>
            <w:tcW w:w="1980" w:type="dxa"/>
          </w:tcPr>
          <w:p w14:paraId="4787C427" w14:textId="77777777" w:rsidR="00CD5D93" w:rsidRPr="005516CD" w:rsidRDefault="00CD5D93" w:rsidP="00CD5D93">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Consumer demand and individual sales</w:t>
            </w:r>
          </w:p>
        </w:tc>
        <w:tc>
          <w:tcPr>
            <w:tcW w:w="1276" w:type="dxa"/>
          </w:tcPr>
          <w:p w14:paraId="3E7CDA52"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c>
          <w:tcPr>
            <w:tcW w:w="1039" w:type="dxa"/>
          </w:tcPr>
          <w:p w14:paraId="56D04092"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c>
          <w:tcPr>
            <w:tcW w:w="1158" w:type="dxa"/>
          </w:tcPr>
          <w:p w14:paraId="0E4A1781" w14:textId="77777777" w:rsidR="00CD5D93" w:rsidRPr="005516CD" w:rsidRDefault="00CD5D93" w:rsidP="00CD5D93">
            <w:pPr>
              <w:tabs>
                <w:tab w:val="left" w:pos="426"/>
              </w:tabs>
              <w:ind w:right="96"/>
              <w:jc w:val="center"/>
              <w:rPr>
                <w:rFonts w:asciiTheme="majorHAnsi" w:hAnsiTheme="majorHAnsi" w:cstheme="majorHAnsi"/>
                <w:sz w:val="20"/>
                <w:szCs w:val="20"/>
              </w:rPr>
            </w:pPr>
          </w:p>
        </w:tc>
        <w:tc>
          <w:tcPr>
            <w:tcW w:w="1157" w:type="dxa"/>
          </w:tcPr>
          <w:p w14:paraId="4B746A02" w14:textId="77777777" w:rsidR="00CD5D93" w:rsidRPr="005516CD" w:rsidRDefault="00CD5D93" w:rsidP="00CD5D93">
            <w:pPr>
              <w:tabs>
                <w:tab w:val="left" w:pos="426"/>
              </w:tabs>
              <w:ind w:right="96"/>
              <w:jc w:val="center"/>
              <w:rPr>
                <w:rFonts w:asciiTheme="majorHAnsi" w:hAnsiTheme="majorHAnsi" w:cstheme="majorHAnsi"/>
                <w:sz w:val="20"/>
                <w:szCs w:val="20"/>
              </w:rPr>
            </w:pPr>
          </w:p>
        </w:tc>
        <w:tc>
          <w:tcPr>
            <w:tcW w:w="1158" w:type="dxa"/>
          </w:tcPr>
          <w:p w14:paraId="4C13A6C4"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c>
          <w:tcPr>
            <w:tcW w:w="1158" w:type="dxa"/>
          </w:tcPr>
          <w:p w14:paraId="28F19774" w14:textId="77777777" w:rsidR="00CD5D93" w:rsidRPr="005516CD" w:rsidRDefault="00CD5D93" w:rsidP="00CD5D93">
            <w:pPr>
              <w:tabs>
                <w:tab w:val="left" w:pos="426"/>
              </w:tabs>
              <w:ind w:right="96"/>
              <w:jc w:val="center"/>
              <w:rPr>
                <w:rFonts w:asciiTheme="majorHAnsi" w:hAnsiTheme="majorHAnsi" w:cstheme="majorHAnsi"/>
                <w:sz w:val="20"/>
                <w:szCs w:val="20"/>
              </w:rPr>
            </w:pPr>
            <w:r w:rsidRPr="005516CD">
              <w:rPr>
                <w:rFonts w:asciiTheme="majorHAnsi" w:hAnsiTheme="majorHAnsi" w:cstheme="majorHAnsi"/>
                <w:sz w:val="22"/>
                <w:szCs w:val="20"/>
              </w:rPr>
              <w:t>***</w:t>
            </w:r>
          </w:p>
        </w:tc>
      </w:tr>
    </w:tbl>
    <w:p w14:paraId="1A9C4992" w14:textId="77777777" w:rsidR="00093852" w:rsidRPr="005516CD" w:rsidRDefault="00093852" w:rsidP="00CD01B2">
      <w:pPr>
        <w:pStyle w:val="Heading6"/>
        <w:keepNext/>
        <w:spacing w:before="120" w:after="120"/>
        <w:rPr>
          <w:rFonts w:asciiTheme="majorHAnsi" w:eastAsia="Calibri" w:hAnsiTheme="majorHAnsi" w:cstheme="majorHAnsi"/>
          <w:b/>
          <w:sz w:val="20"/>
        </w:rPr>
      </w:pPr>
      <w:r w:rsidRPr="005516CD">
        <w:rPr>
          <w:rFonts w:asciiTheme="majorHAnsi" w:eastAsia="Calibri" w:hAnsiTheme="majorHAnsi" w:cstheme="majorHAnsi"/>
          <w:b/>
          <w:sz w:val="20"/>
        </w:rPr>
        <w:t>Finance</w:t>
      </w:r>
      <w:r w:rsidR="00C470F2" w:rsidRPr="005516CD">
        <w:rPr>
          <w:rFonts w:asciiTheme="majorHAnsi" w:eastAsia="Calibri" w:hAnsiTheme="majorHAnsi" w:cstheme="majorHAnsi"/>
          <w:b/>
          <w:sz w:val="20"/>
        </w:rPr>
        <w:t xml:space="preserve"> for agriculture</w:t>
      </w:r>
    </w:p>
    <w:p w14:paraId="78BF1338" w14:textId="77777777" w:rsidR="00C470F2" w:rsidRPr="005516CD" w:rsidRDefault="00C470F2" w:rsidP="006B27F4">
      <w:pPr>
        <w:numPr>
          <w:ilvl w:val="0"/>
          <w:numId w:val="87"/>
        </w:numPr>
        <w:tabs>
          <w:tab w:val="clear" w:pos="720"/>
          <w:tab w:val="num" w:pos="-284"/>
          <w:tab w:val="left" w:pos="426"/>
        </w:tabs>
        <w:spacing w:after="120"/>
        <w:ind w:left="0" w:right="96" w:firstLine="0"/>
        <w:jc w:val="both"/>
        <w:rPr>
          <w:color w:val="000000" w:themeColor="text1"/>
        </w:rPr>
      </w:pPr>
      <w:r w:rsidRPr="005516CD">
        <w:rPr>
          <w:rFonts w:asciiTheme="majorHAnsi" w:hAnsiTheme="majorHAnsi" w:cstheme="majorHAnsi"/>
          <w:sz w:val="20"/>
          <w:szCs w:val="20"/>
        </w:rPr>
        <w:t xml:space="preserve">In general, the agricultural </w:t>
      </w:r>
      <w:proofErr w:type="spellStart"/>
      <w:r w:rsidRPr="005516CD">
        <w:rPr>
          <w:rFonts w:asciiTheme="majorHAnsi" w:hAnsiTheme="majorHAnsi" w:cstheme="majorHAnsi"/>
          <w:sz w:val="20"/>
          <w:szCs w:val="20"/>
        </w:rPr>
        <w:t>ector</w:t>
      </w:r>
      <w:proofErr w:type="spellEnd"/>
      <w:r w:rsidRPr="005516CD">
        <w:rPr>
          <w:rFonts w:asciiTheme="majorHAnsi" w:hAnsiTheme="majorHAnsi" w:cstheme="majorHAnsi"/>
          <w:sz w:val="20"/>
          <w:szCs w:val="20"/>
        </w:rPr>
        <w:t xml:space="preserve"> in Haiti is characterised by the absence of an inclusive system for credit. Agricultural credit makes up less than 5% of the portfolio of micro-finance institutions, and less than 1% of the portfolio of conventional banks is for the agriculture, forestry and fisheries sectors, and the credit that is available is subject to very high rates of interest</w:t>
      </w:r>
      <w:r w:rsidRPr="005516CD">
        <w:rPr>
          <w:rStyle w:val="FootnoteReference"/>
          <w:rFonts w:asciiTheme="majorHAnsi" w:hAnsiTheme="majorHAnsi" w:cstheme="majorHAnsi"/>
          <w:sz w:val="20"/>
          <w:szCs w:val="20"/>
        </w:rPr>
        <w:footnoteReference w:id="27"/>
      </w:r>
      <w:r w:rsidRPr="005516CD">
        <w:rPr>
          <w:rFonts w:asciiTheme="majorHAnsi" w:hAnsiTheme="majorHAnsi" w:cstheme="majorHAnsi"/>
          <w:sz w:val="20"/>
          <w:szCs w:val="20"/>
        </w:rPr>
        <w:t xml:space="preserve">. </w:t>
      </w:r>
    </w:p>
    <w:p w14:paraId="5551397D" w14:textId="77777777" w:rsidR="00C470F2" w:rsidRPr="005516CD" w:rsidRDefault="00C470F2"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In 2006, the Technical Commission on Rural Credit (CTCR) was established as a successor to the </w:t>
      </w:r>
      <w:proofErr w:type="spellStart"/>
      <w:r w:rsidRPr="005516CD">
        <w:rPr>
          <w:rFonts w:asciiTheme="majorHAnsi" w:hAnsiTheme="majorHAnsi" w:cstheme="majorHAnsi"/>
          <w:sz w:val="20"/>
          <w:szCs w:val="20"/>
        </w:rPr>
        <w:t>ealier</w:t>
      </w:r>
      <w:proofErr w:type="spellEnd"/>
      <w:r w:rsidRPr="005516CD">
        <w:rPr>
          <w:rFonts w:asciiTheme="majorHAnsi" w:hAnsiTheme="majorHAnsi" w:cstheme="majorHAnsi"/>
          <w:sz w:val="20"/>
          <w:szCs w:val="20"/>
        </w:rPr>
        <w:t xml:space="preserve"> Haiti Institute for Agricultural and Industrial Credit (IHCAI), the Institute for Agricultural and Industrial Development (IDAI) and the National Bank for Agricultural and Industrial Development (BNDAI). The aim of the CTCR was to facilitate access to credit among the rural population and to promote agricultural enterprises and job creation. In 2008, financia</w:t>
      </w:r>
      <w:r w:rsidR="00D23E40" w:rsidRPr="005516CD">
        <w:rPr>
          <w:rFonts w:asciiTheme="majorHAnsi" w:hAnsiTheme="majorHAnsi" w:cstheme="majorHAnsi"/>
          <w:sz w:val="20"/>
          <w:szCs w:val="20"/>
        </w:rPr>
        <w:t>l</w:t>
      </w:r>
      <w:r w:rsidRPr="005516CD">
        <w:rPr>
          <w:rFonts w:asciiTheme="majorHAnsi" w:hAnsiTheme="majorHAnsi" w:cstheme="majorHAnsi"/>
          <w:sz w:val="20"/>
          <w:szCs w:val="20"/>
        </w:rPr>
        <w:t xml:space="preserve"> institutions which had given loans to the agricultural sector had heavy losses, following the four hurricanes that affected Haiti in that year, which led them to indicate their reluctance to return to financing small farmers unless adequate risk mitigation measures were in place.</w:t>
      </w:r>
      <w:r w:rsidR="00D23E40" w:rsidRPr="005516CD">
        <w:rPr>
          <w:rFonts w:asciiTheme="majorHAnsi" w:hAnsiTheme="majorHAnsi" w:cstheme="majorHAnsi"/>
          <w:sz w:val="20"/>
          <w:szCs w:val="20"/>
        </w:rPr>
        <w:t xml:space="preserve"> For a long time, rural finance has been assured by the Agricultural Credit Bureau (BCA). Following the earthquake, the aim of MARDNR was to put in place a guarantee system for agricultural loans, accompanied with an assurance-credit system able to encourage financial institutions to increase the proportion of their credit portfolio available to agriculture and small-scale processing.</w:t>
      </w:r>
    </w:p>
    <w:p w14:paraId="28174ADA" w14:textId="77777777" w:rsidR="00D23E40" w:rsidRPr="005516CD" w:rsidRDefault="00D23E4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Sources of finance at present </w:t>
      </w:r>
      <w:proofErr w:type="spellStart"/>
      <w:r w:rsidRPr="005516CD">
        <w:rPr>
          <w:rFonts w:asciiTheme="majorHAnsi" w:hAnsiTheme="majorHAnsi" w:cstheme="majorHAnsi"/>
          <w:sz w:val="20"/>
          <w:szCs w:val="20"/>
        </w:rPr>
        <w:t>incude</w:t>
      </w:r>
      <w:proofErr w:type="spellEnd"/>
      <w:r w:rsidRPr="005516CD">
        <w:rPr>
          <w:rFonts w:asciiTheme="majorHAnsi" w:hAnsiTheme="majorHAnsi" w:cstheme="majorHAnsi"/>
          <w:sz w:val="20"/>
          <w:szCs w:val="20"/>
        </w:rPr>
        <w:t>:</w:t>
      </w:r>
    </w:p>
    <w:p w14:paraId="209F49E4" w14:textId="77777777" w:rsidR="00C470F2" w:rsidRPr="005516CD" w:rsidRDefault="00D23E40" w:rsidP="006B27F4">
      <w:pPr>
        <w:pStyle w:val="ListParagraph"/>
        <w:numPr>
          <w:ilvl w:val="0"/>
          <w:numId w:val="103"/>
        </w:numPr>
        <w:ind w:left="714" w:hanging="357"/>
        <w:jc w:val="both"/>
        <w:rPr>
          <w:rFonts w:asciiTheme="majorHAnsi" w:eastAsia="Times New Roman" w:hAnsiTheme="majorHAnsi" w:cstheme="majorHAnsi"/>
          <w:color w:val="000000" w:themeColor="text1"/>
          <w:sz w:val="20"/>
          <w:szCs w:val="20"/>
        </w:rPr>
      </w:pPr>
      <w:r w:rsidRPr="005516CD">
        <w:rPr>
          <w:rFonts w:asciiTheme="majorHAnsi" w:hAnsiTheme="majorHAnsi" w:cstheme="majorHAnsi"/>
          <w:color w:val="000000" w:themeColor="text1"/>
          <w:sz w:val="20"/>
          <w:szCs w:val="20"/>
        </w:rPr>
        <w:t>Community savings banks (</w:t>
      </w:r>
      <w:proofErr w:type="spellStart"/>
      <w:r w:rsidRPr="005516CD">
        <w:rPr>
          <w:rFonts w:asciiTheme="majorHAnsi" w:hAnsiTheme="majorHAnsi" w:cstheme="majorHAnsi"/>
          <w:i/>
          <w:color w:val="000000" w:themeColor="text1"/>
          <w:sz w:val="20"/>
          <w:szCs w:val="20"/>
        </w:rPr>
        <w:t>caisses</w:t>
      </w:r>
      <w:proofErr w:type="spellEnd"/>
      <w:r w:rsidRPr="005516CD">
        <w:rPr>
          <w:rFonts w:asciiTheme="majorHAnsi" w:hAnsiTheme="majorHAnsi" w:cstheme="majorHAnsi"/>
          <w:i/>
          <w:color w:val="000000" w:themeColor="text1"/>
          <w:sz w:val="20"/>
          <w:szCs w:val="20"/>
        </w:rPr>
        <w:t xml:space="preserve"> </w:t>
      </w:r>
      <w:proofErr w:type="spellStart"/>
      <w:r w:rsidRPr="005516CD">
        <w:rPr>
          <w:rFonts w:asciiTheme="majorHAnsi" w:hAnsiTheme="majorHAnsi" w:cstheme="majorHAnsi"/>
          <w:i/>
          <w:color w:val="000000" w:themeColor="text1"/>
          <w:sz w:val="20"/>
          <w:szCs w:val="20"/>
        </w:rPr>
        <w:t>populaires</w:t>
      </w:r>
      <w:proofErr w:type="spellEnd"/>
      <w:r w:rsidRPr="005516CD">
        <w:rPr>
          <w:rFonts w:asciiTheme="majorHAnsi" w:hAnsiTheme="majorHAnsi" w:cstheme="majorHAnsi"/>
          <w:color w:val="000000" w:themeColor="text1"/>
          <w:sz w:val="20"/>
          <w:szCs w:val="20"/>
        </w:rPr>
        <w:t>)</w:t>
      </w:r>
      <w:r w:rsidR="00C470F2" w:rsidRPr="005516CD">
        <w:rPr>
          <w:rFonts w:asciiTheme="majorHAnsi" w:hAnsiTheme="majorHAnsi" w:cstheme="majorHAnsi"/>
          <w:color w:val="000000" w:themeColor="text1"/>
          <w:sz w:val="20"/>
          <w:szCs w:val="20"/>
        </w:rPr>
        <w:t>.</w:t>
      </w:r>
    </w:p>
    <w:p w14:paraId="19E26840" w14:textId="77777777" w:rsidR="00D23E40" w:rsidRPr="005516CD" w:rsidRDefault="00D23E40" w:rsidP="006B27F4">
      <w:pPr>
        <w:pStyle w:val="ListParagraph"/>
        <w:numPr>
          <w:ilvl w:val="0"/>
          <w:numId w:val="103"/>
        </w:numPr>
        <w:ind w:left="714" w:hanging="357"/>
        <w:jc w:val="both"/>
        <w:rPr>
          <w:rFonts w:asciiTheme="majorHAnsi" w:eastAsia="Times New Roman" w:hAnsiTheme="majorHAnsi" w:cstheme="majorHAnsi"/>
          <w:color w:val="000000" w:themeColor="text1"/>
          <w:sz w:val="20"/>
          <w:szCs w:val="20"/>
        </w:rPr>
      </w:pPr>
      <w:r w:rsidRPr="005516CD">
        <w:rPr>
          <w:rFonts w:asciiTheme="majorHAnsi" w:eastAsia="Times New Roman" w:hAnsiTheme="majorHAnsi" w:cstheme="majorHAnsi"/>
          <w:color w:val="000000" w:themeColor="text1"/>
          <w:sz w:val="20"/>
          <w:szCs w:val="20"/>
        </w:rPr>
        <w:t>Cooperatives</w:t>
      </w:r>
    </w:p>
    <w:p w14:paraId="1DC6307A" w14:textId="77777777" w:rsidR="00C470F2" w:rsidRPr="005516CD" w:rsidRDefault="00C470F2" w:rsidP="006B27F4">
      <w:pPr>
        <w:pStyle w:val="NormalWeb"/>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0" w:after="0"/>
        <w:ind w:left="714" w:hanging="357"/>
        <w:textAlignment w:val="baseline"/>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Credit National</w:t>
      </w:r>
    </w:p>
    <w:p w14:paraId="573E67E6" w14:textId="77777777" w:rsidR="00C470F2" w:rsidRPr="005516CD" w:rsidRDefault="00C470F2" w:rsidP="006B27F4">
      <w:pPr>
        <w:pStyle w:val="NormalWeb"/>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0" w:after="0"/>
        <w:ind w:left="714" w:hanging="357"/>
        <w:textAlignment w:val="baseline"/>
        <w:rPr>
          <w:rFonts w:asciiTheme="majorHAnsi" w:hAnsiTheme="majorHAnsi" w:cstheme="majorHAnsi"/>
          <w:color w:val="000000" w:themeColor="text1"/>
          <w:sz w:val="20"/>
          <w:szCs w:val="20"/>
          <w:lang w:val="en-GB"/>
        </w:rPr>
      </w:pPr>
      <w:r w:rsidRPr="005516CD">
        <w:rPr>
          <w:rFonts w:asciiTheme="majorHAnsi" w:hAnsiTheme="majorHAnsi" w:cstheme="majorHAnsi"/>
          <w:color w:val="000000" w:themeColor="text1"/>
          <w:sz w:val="20"/>
          <w:szCs w:val="20"/>
          <w:lang w:val="en-GB"/>
        </w:rPr>
        <w:t xml:space="preserve">Le Levier </w:t>
      </w:r>
      <w:r w:rsidR="00D23E40" w:rsidRPr="005516CD">
        <w:rPr>
          <w:rFonts w:asciiTheme="majorHAnsi" w:hAnsiTheme="majorHAnsi" w:cstheme="majorHAnsi"/>
          <w:color w:val="000000" w:themeColor="text1"/>
          <w:sz w:val="20"/>
          <w:szCs w:val="20"/>
          <w:lang w:val="en-GB"/>
        </w:rPr>
        <w:t xml:space="preserve">Network </w:t>
      </w:r>
      <w:r w:rsidRPr="005516CD">
        <w:rPr>
          <w:rFonts w:asciiTheme="majorHAnsi" w:hAnsiTheme="majorHAnsi" w:cstheme="majorHAnsi"/>
          <w:color w:val="000000" w:themeColor="text1"/>
          <w:sz w:val="20"/>
          <w:szCs w:val="20"/>
          <w:lang w:val="en-GB"/>
        </w:rPr>
        <w:t>(</w:t>
      </w:r>
      <w:r w:rsidR="00D23E40" w:rsidRPr="005516CD">
        <w:rPr>
          <w:rFonts w:asciiTheme="majorHAnsi" w:hAnsiTheme="majorHAnsi" w:cstheme="majorHAnsi"/>
          <w:color w:val="000000" w:themeColor="text1"/>
          <w:sz w:val="20"/>
          <w:szCs w:val="20"/>
          <w:lang w:val="en-GB"/>
        </w:rPr>
        <w:t xml:space="preserve">Savings and Loans </w:t>
      </w:r>
      <w:r w:rsidRPr="005516CD">
        <w:rPr>
          <w:rFonts w:asciiTheme="majorHAnsi" w:hAnsiTheme="majorHAnsi" w:cstheme="majorHAnsi"/>
          <w:color w:val="000000" w:themeColor="text1"/>
          <w:sz w:val="20"/>
          <w:szCs w:val="20"/>
          <w:lang w:val="en-GB"/>
        </w:rPr>
        <w:t>Coop</w:t>
      </w:r>
      <w:r w:rsidR="00D23E40" w:rsidRPr="005516CD">
        <w:rPr>
          <w:rFonts w:asciiTheme="majorHAnsi" w:hAnsiTheme="majorHAnsi" w:cstheme="majorHAnsi"/>
          <w:color w:val="000000" w:themeColor="text1"/>
          <w:sz w:val="20"/>
          <w:szCs w:val="20"/>
          <w:lang w:val="en-GB"/>
        </w:rPr>
        <w:t>er</w:t>
      </w:r>
      <w:r w:rsidRPr="005516CD">
        <w:rPr>
          <w:rFonts w:asciiTheme="majorHAnsi" w:hAnsiTheme="majorHAnsi" w:cstheme="majorHAnsi"/>
          <w:color w:val="000000" w:themeColor="text1"/>
          <w:sz w:val="20"/>
          <w:szCs w:val="20"/>
          <w:lang w:val="en-GB"/>
        </w:rPr>
        <w:t xml:space="preserve">ative </w:t>
      </w:r>
      <w:r w:rsidR="00D23E40" w:rsidRPr="005516CD">
        <w:rPr>
          <w:rFonts w:asciiTheme="majorHAnsi" w:hAnsiTheme="majorHAnsi" w:cstheme="majorHAnsi"/>
          <w:color w:val="000000" w:themeColor="text1"/>
          <w:sz w:val="20"/>
          <w:szCs w:val="20"/>
          <w:lang w:val="en-GB"/>
        </w:rPr>
        <w:t>Network</w:t>
      </w:r>
      <w:r w:rsidRPr="005516CD">
        <w:rPr>
          <w:rFonts w:asciiTheme="majorHAnsi" w:hAnsiTheme="majorHAnsi" w:cstheme="majorHAnsi"/>
          <w:color w:val="000000" w:themeColor="text1"/>
          <w:sz w:val="20"/>
          <w:szCs w:val="20"/>
          <w:lang w:val="en-GB"/>
        </w:rPr>
        <w:t>)</w:t>
      </w:r>
    </w:p>
    <w:p w14:paraId="1024C982" w14:textId="77777777" w:rsidR="00C470F2" w:rsidRPr="005516CD" w:rsidRDefault="00EE27F9" w:rsidP="006B27F4">
      <w:pPr>
        <w:pStyle w:val="NormalWeb"/>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0" w:after="0"/>
        <w:ind w:left="714" w:hanging="357"/>
        <w:textAlignment w:val="baseline"/>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Center for Support and Services for Local and International Businesses (</w:t>
      </w:r>
      <w:r w:rsidR="00C470F2" w:rsidRPr="005516CD">
        <w:rPr>
          <w:rFonts w:asciiTheme="majorHAnsi" w:hAnsiTheme="majorHAnsi" w:cstheme="majorHAnsi"/>
          <w:color w:val="000000" w:themeColor="text1"/>
          <w:sz w:val="20"/>
          <w:szCs w:val="20"/>
        </w:rPr>
        <w:t>CASELI</w:t>
      </w:r>
      <w:r w:rsidRPr="005516CD">
        <w:rPr>
          <w:rFonts w:asciiTheme="majorHAnsi" w:hAnsiTheme="majorHAnsi" w:cstheme="majorHAnsi"/>
          <w:color w:val="000000" w:themeColor="text1"/>
          <w:sz w:val="20"/>
          <w:szCs w:val="20"/>
        </w:rPr>
        <w:t>)</w:t>
      </w:r>
    </w:p>
    <w:p w14:paraId="6E5349BB" w14:textId="77777777" w:rsidR="00C470F2" w:rsidRPr="005516CD" w:rsidRDefault="00EE27F9" w:rsidP="006B27F4">
      <w:pPr>
        <w:pStyle w:val="NormalWeb"/>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0" w:after="0"/>
        <w:ind w:left="714" w:hanging="357"/>
        <w:textAlignment w:val="baseline"/>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National Council for Popular Finance (</w:t>
      </w:r>
      <w:r w:rsidR="00C470F2" w:rsidRPr="005516CD">
        <w:rPr>
          <w:rFonts w:asciiTheme="majorHAnsi" w:hAnsiTheme="majorHAnsi" w:cstheme="majorHAnsi"/>
          <w:color w:val="000000" w:themeColor="text1"/>
          <w:sz w:val="20"/>
          <w:szCs w:val="20"/>
        </w:rPr>
        <w:t>KNFP</w:t>
      </w:r>
      <w:r w:rsidRPr="005516CD">
        <w:rPr>
          <w:rFonts w:asciiTheme="majorHAnsi" w:hAnsiTheme="majorHAnsi" w:cstheme="majorHAnsi"/>
          <w:color w:val="000000" w:themeColor="text1"/>
          <w:sz w:val="20"/>
          <w:szCs w:val="20"/>
        </w:rPr>
        <w:t>)</w:t>
      </w:r>
    </w:p>
    <w:p w14:paraId="0C406C0B" w14:textId="77777777" w:rsidR="00C470F2" w:rsidRPr="005516CD" w:rsidRDefault="00D23E40" w:rsidP="006B27F4">
      <w:pPr>
        <w:pStyle w:val="NormalWeb"/>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0" w:after="0"/>
        <w:ind w:left="714" w:hanging="357"/>
        <w:textAlignment w:val="baseline"/>
        <w:rPr>
          <w:rFonts w:asciiTheme="majorHAnsi" w:hAnsiTheme="majorHAnsi" w:cstheme="majorHAnsi"/>
          <w:color w:val="000000" w:themeColor="text1"/>
          <w:sz w:val="20"/>
          <w:szCs w:val="20"/>
          <w:lang w:val="en-GB"/>
        </w:rPr>
      </w:pPr>
      <w:r w:rsidRPr="005516CD">
        <w:rPr>
          <w:rFonts w:asciiTheme="majorHAnsi" w:hAnsiTheme="majorHAnsi" w:cstheme="majorHAnsi"/>
          <w:color w:val="000000" w:themeColor="text1"/>
          <w:sz w:val="20"/>
          <w:szCs w:val="20"/>
          <w:lang w:val="en-GB"/>
        </w:rPr>
        <w:t xml:space="preserve">State projects </w:t>
      </w:r>
      <w:r w:rsidR="00C470F2" w:rsidRPr="005516CD">
        <w:rPr>
          <w:rFonts w:asciiTheme="majorHAnsi" w:hAnsiTheme="majorHAnsi" w:cstheme="majorHAnsi"/>
          <w:color w:val="000000" w:themeColor="text1"/>
          <w:sz w:val="20"/>
          <w:szCs w:val="20"/>
          <w:lang w:val="en-GB"/>
        </w:rPr>
        <w:t>(Minist</w:t>
      </w:r>
      <w:r w:rsidRPr="005516CD">
        <w:rPr>
          <w:rFonts w:asciiTheme="majorHAnsi" w:hAnsiTheme="majorHAnsi" w:cstheme="majorHAnsi"/>
          <w:color w:val="000000" w:themeColor="text1"/>
          <w:sz w:val="20"/>
          <w:szCs w:val="20"/>
          <w:lang w:val="en-GB"/>
        </w:rPr>
        <w:t>ry of Finance</w:t>
      </w:r>
      <w:r w:rsidR="00C470F2" w:rsidRPr="005516CD">
        <w:rPr>
          <w:rFonts w:asciiTheme="majorHAnsi" w:hAnsiTheme="majorHAnsi" w:cstheme="majorHAnsi"/>
          <w:color w:val="000000" w:themeColor="text1"/>
          <w:sz w:val="20"/>
          <w:szCs w:val="20"/>
          <w:lang w:val="en-GB"/>
        </w:rPr>
        <w:t xml:space="preserve">, </w:t>
      </w:r>
      <w:r w:rsidRPr="005516CD">
        <w:rPr>
          <w:rFonts w:asciiTheme="majorHAnsi" w:hAnsiTheme="majorHAnsi" w:cstheme="majorHAnsi"/>
          <w:color w:val="000000" w:themeColor="text1"/>
          <w:sz w:val="20"/>
          <w:szCs w:val="20"/>
          <w:lang w:val="en-GB"/>
        </w:rPr>
        <w:t>business support projects)</w:t>
      </w:r>
    </w:p>
    <w:p w14:paraId="1E7DA50F" w14:textId="77777777" w:rsidR="00C470F2" w:rsidRPr="005516CD" w:rsidRDefault="00D23E40" w:rsidP="006B27F4">
      <w:pPr>
        <w:pStyle w:val="NormalWeb"/>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shd w:val="clear" w:color="auto" w:fill="FFFFFF"/>
        <w:spacing w:before="0" w:after="120" w:line="288" w:lineRule="auto"/>
        <w:ind w:left="714" w:hanging="357"/>
        <w:textAlignment w:val="baseline"/>
        <w:rPr>
          <w:rFonts w:asciiTheme="majorHAnsi" w:hAnsiTheme="majorHAnsi" w:cstheme="majorHAnsi"/>
          <w:color w:val="000000" w:themeColor="text1"/>
          <w:sz w:val="20"/>
          <w:szCs w:val="20"/>
          <w:lang w:val="fr-FR"/>
        </w:rPr>
      </w:pPr>
      <w:proofErr w:type="spellStart"/>
      <w:r w:rsidRPr="005516CD">
        <w:rPr>
          <w:rFonts w:asciiTheme="majorHAnsi" w:hAnsiTheme="majorHAnsi" w:cstheme="majorHAnsi"/>
          <w:color w:val="000000" w:themeColor="text1"/>
          <w:sz w:val="20"/>
          <w:szCs w:val="20"/>
          <w:lang w:val="fr-FR"/>
        </w:rPr>
        <w:t>Industrial</w:t>
      </w:r>
      <w:proofErr w:type="spellEnd"/>
      <w:r w:rsidRPr="005516CD">
        <w:rPr>
          <w:rFonts w:asciiTheme="majorHAnsi" w:hAnsiTheme="majorHAnsi" w:cstheme="majorHAnsi"/>
          <w:color w:val="000000" w:themeColor="text1"/>
          <w:sz w:val="20"/>
          <w:szCs w:val="20"/>
          <w:lang w:val="fr-FR"/>
        </w:rPr>
        <w:t xml:space="preserve"> Development Fund</w:t>
      </w:r>
      <w:r w:rsidR="00C470F2" w:rsidRPr="005516CD">
        <w:rPr>
          <w:rFonts w:asciiTheme="majorHAnsi" w:hAnsiTheme="majorHAnsi" w:cstheme="majorHAnsi"/>
          <w:color w:val="000000" w:themeColor="text1"/>
          <w:sz w:val="20"/>
          <w:szCs w:val="20"/>
          <w:lang w:val="fr-FR"/>
        </w:rPr>
        <w:t xml:space="preserve"> </w:t>
      </w:r>
      <w:r w:rsidR="00EE27F9" w:rsidRPr="005516CD">
        <w:rPr>
          <w:rFonts w:asciiTheme="majorHAnsi" w:hAnsiTheme="majorHAnsi" w:cstheme="majorHAnsi"/>
          <w:color w:val="000000" w:themeColor="text1"/>
          <w:sz w:val="20"/>
          <w:szCs w:val="20"/>
          <w:lang w:val="fr-FR"/>
        </w:rPr>
        <w:t>(FDI)</w:t>
      </w:r>
    </w:p>
    <w:p w14:paraId="5531F9BA" w14:textId="77777777" w:rsidR="00C470F2" w:rsidRPr="005516CD" w:rsidRDefault="00D23E40" w:rsidP="006B27F4">
      <w:pPr>
        <w:numPr>
          <w:ilvl w:val="0"/>
          <w:numId w:val="87"/>
        </w:numPr>
        <w:tabs>
          <w:tab w:val="clear" w:pos="720"/>
          <w:tab w:val="num" w:pos="-284"/>
          <w:tab w:val="left" w:pos="426"/>
        </w:tabs>
        <w:spacing w:after="120"/>
        <w:ind w:left="0" w:right="96" w:firstLine="0"/>
        <w:jc w:val="both"/>
        <w:rPr>
          <w:rFonts w:asciiTheme="majorHAnsi" w:eastAsia="Times New Roman" w:hAnsiTheme="majorHAnsi" w:cstheme="majorHAnsi"/>
          <w:color w:val="000000" w:themeColor="text1"/>
          <w:sz w:val="20"/>
          <w:szCs w:val="20"/>
        </w:rPr>
      </w:pPr>
      <w:r w:rsidRPr="005516CD">
        <w:rPr>
          <w:rFonts w:asciiTheme="majorHAnsi" w:hAnsiTheme="majorHAnsi" w:cstheme="majorHAnsi"/>
          <w:color w:val="000000" w:themeColor="text1"/>
          <w:sz w:val="20"/>
          <w:szCs w:val="20"/>
        </w:rPr>
        <w:t>In 2018, the Bank of the Republic of Haiti</w:t>
      </w:r>
      <w:r w:rsidRPr="005516CD">
        <w:rPr>
          <w:rStyle w:val="FootnoteReference"/>
          <w:rFonts w:asciiTheme="majorHAnsi" w:hAnsiTheme="majorHAnsi" w:cstheme="majorHAnsi"/>
          <w:color w:val="000000" w:themeColor="text1"/>
          <w:sz w:val="20"/>
          <w:szCs w:val="20"/>
        </w:rPr>
        <w:footnoteReference w:id="28"/>
      </w:r>
      <w:r w:rsidRPr="005516CD">
        <w:rPr>
          <w:rFonts w:asciiTheme="majorHAnsi" w:hAnsiTheme="majorHAnsi" w:cstheme="majorHAnsi"/>
          <w:color w:val="000000" w:themeColor="text1"/>
          <w:sz w:val="20"/>
          <w:szCs w:val="20"/>
        </w:rPr>
        <w:t xml:space="preserve"> </w:t>
      </w:r>
      <w:r w:rsidR="00797BD4" w:rsidRPr="005516CD">
        <w:rPr>
          <w:rFonts w:asciiTheme="majorHAnsi" w:hAnsiTheme="majorHAnsi" w:cstheme="majorHAnsi"/>
          <w:color w:val="000000" w:themeColor="text1"/>
          <w:sz w:val="20"/>
          <w:szCs w:val="20"/>
        </w:rPr>
        <w:t xml:space="preserve">(BRH) </w:t>
      </w:r>
      <w:r w:rsidRPr="005516CD">
        <w:rPr>
          <w:rFonts w:asciiTheme="majorHAnsi" w:hAnsiTheme="majorHAnsi" w:cstheme="majorHAnsi"/>
          <w:color w:val="000000" w:themeColor="text1"/>
          <w:sz w:val="20"/>
          <w:szCs w:val="20"/>
        </w:rPr>
        <w:t xml:space="preserve">established a mechanism for the facilitation of agricultural credit, </w:t>
      </w:r>
      <w:r w:rsidRPr="005516CD">
        <w:rPr>
          <w:rFonts w:asciiTheme="majorHAnsi" w:hAnsiTheme="majorHAnsi" w:cstheme="majorHAnsi"/>
          <w:sz w:val="20"/>
          <w:szCs w:val="20"/>
        </w:rPr>
        <w:t>aimed</w:t>
      </w:r>
      <w:r w:rsidRPr="005516CD">
        <w:rPr>
          <w:rFonts w:asciiTheme="majorHAnsi" w:hAnsiTheme="majorHAnsi" w:cstheme="majorHAnsi"/>
          <w:color w:val="000000" w:themeColor="text1"/>
          <w:sz w:val="20"/>
          <w:szCs w:val="20"/>
        </w:rPr>
        <w:t xml:space="preserve"> at incentivising financial institutions to meet the credit (loan) needs of actors along the length of agricultural value chains</w:t>
      </w:r>
      <w:r w:rsidR="00797BD4" w:rsidRPr="005516CD">
        <w:rPr>
          <w:rFonts w:asciiTheme="majorHAnsi" w:hAnsiTheme="majorHAnsi" w:cstheme="majorHAnsi"/>
          <w:color w:val="000000" w:themeColor="text1"/>
          <w:sz w:val="20"/>
          <w:szCs w:val="20"/>
        </w:rPr>
        <w:t xml:space="preserve">, with the objective of revitalising </w:t>
      </w:r>
      <w:r w:rsidR="00C470F2" w:rsidRPr="005516CD">
        <w:rPr>
          <w:rFonts w:asciiTheme="majorHAnsi" w:eastAsia="Times New Roman" w:hAnsiTheme="majorHAnsi" w:cstheme="majorHAnsi"/>
          <w:color w:val="000000" w:themeColor="text1"/>
          <w:sz w:val="20"/>
          <w:szCs w:val="20"/>
        </w:rPr>
        <w:t xml:space="preserve">agriculture </w:t>
      </w:r>
      <w:r w:rsidR="00797BD4" w:rsidRPr="005516CD">
        <w:rPr>
          <w:rFonts w:asciiTheme="majorHAnsi" w:eastAsia="Times New Roman" w:hAnsiTheme="majorHAnsi" w:cstheme="majorHAnsi"/>
          <w:color w:val="000000" w:themeColor="text1"/>
          <w:sz w:val="20"/>
          <w:szCs w:val="20"/>
        </w:rPr>
        <w:t xml:space="preserve">and the </w:t>
      </w:r>
      <w:r w:rsidR="00C470F2" w:rsidRPr="005516CD">
        <w:rPr>
          <w:rFonts w:asciiTheme="majorHAnsi" w:eastAsia="Times New Roman" w:hAnsiTheme="majorHAnsi" w:cstheme="majorHAnsi"/>
          <w:color w:val="000000" w:themeColor="text1"/>
          <w:sz w:val="20"/>
          <w:szCs w:val="20"/>
        </w:rPr>
        <w:t>d</w:t>
      </w:r>
      <w:r w:rsidR="00797BD4" w:rsidRPr="005516CD">
        <w:rPr>
          <w:rFonts w:asciiTheme="majorHAnsi" w:eastAsia="Times New Roman" w:hAnsiTheme="majorHAnsi" w:cstheme="majorHAnsi"/>
          <w:color w:val="000000" w:themeColor="text1"/>
          <w:sz w:val="20"/>
          <w:szCs w:val="20"/>
        </w:rPr>
        <w:t>e</w:t>
      </w:r>
      <w:r w:rsidR="00C470F2" w:rsidRPr="005516CD">
        <w:rPr>
          <w:rFonts w:asciiTheme="majorHAnsi" w:eastAsia="Times New Roman" w:hAnsiTheme="majorHAnsi" w:cstheme="majorHAnsi"/>
          <w:color w:val="000000" w:themeColor="text1"/>
          <w:sz w:val="20"/>
          <w:szCs w:val="20"/>
        </w:rPr>
        <w:t xml:space="preserve">velopment </w:t>
      </w:r>
      <w:r w:rsidR="00797BD4" w:rsidRPr="005516CD">
        <w:rPr>
          <w:rFonts w:asciiTheme="majorHAnsi" w:eastAsia="Times New Roman" w:hAnsiTheme="majorHAnsi" w:cstheme="majorHAnsi"/>
          <w:color w:val="000000" w:themeColor="text1"/>
          <w:sz w:val="20"/>
          <w:szCs w:val="20"/>
        </w:rPr>
        <w:t xml:space="preserve">of </w:t>
      </w:r>
      <w:r w:rsidR="00C470F2" w:rsidRPr="005516CD">
        <w:rPr>
          <w:rFonts w:asciiTheme="majorHAnsi" w:eastAsia="Times New Roman" w:hAnsiTheme="majorHAnsi" w:cstheme="majorHAnsi"/>
          <w:color w:val="000000" w:themeColor="text1"/>
          <w:sz w:val="20"/>
          <w:szCs w:val="20"/>
        </w:rPr>
        <w:t>agr</w:t>
      </w:r>
      <w:r w:rsidR="00797BD4" w:rsidRPr="005516CD">
        <w:rPr>
          <w:rFonts w:asciiTheme="majorHAnsi" w:eastAsia="Times New Roman" w:hAnsiTheme="majorHAnsi" w:cstheme="majorHAnsi"/>
          <w:color w:val="000000" w:themeColor="text1"/>
          <w:sz w:val="20"/>
          <w:szCs w:val="20"/>
        </w:rPr>
        <w:t>ib</w:t>
      </w:r>
      <w:r w:rsidR="00C470F2" w:rsidRPr="005516CD">
        <w:rPr>
          <w:rFonts w:asciiTheme="majorHAnsi" w:eastAsia="Times New Roman" w:hAnsiTheme="majorHAnsi" w:cstheme="majorHAnsi"/>
          <w:color w:val="000000" w:themeColor="text1"/>
          <w:sz w:val="20"/>
          <w:szCs w:val="20"/>
        </w:rPr>
        <w:t xml:space="preserve">usiness. </w:t>
      </w:r>
      <w:r w:rsidR="00797BD4" w:rsidRPr="005516CD">
        <w:rPr>
          <w:rFonts w:asciiTheme="majorHAnsi" w:eastAsia="Times New Roman" w:hAnsiTheme="majorHAnsi" w:cstheme="majorHAnsi"/>
          <w:color w:val="000000" w:themeColor="text1"/>
          <w:sz w:val="20"/>
          <w:szCs w:val="20"/>
        </w:rPr>
        <w:t xml:space="preserve">The interest rate charged by the BRH to banks and financial institutions is not to exceed 4%, and that charged to producers by savings and loans cooperatives is not to exceed 12%/annum. </w:t>
      </w:r>
      <w:r w:rsidR="00794B69" w:rsidRPr="005516CD">
        <w:rPr>
          <w:rFonts w:asciiTheme="majorHAnsi" w:eastAsia="Times New Roman" w:hAnsiTheme="majorHAnsi" w:cstheme="majorHAnsi"/>
          <w:color w:val="000000" w:themeColor="text1"/>
          <w:sz w:val="20"/>
          <w:szCs w:val="20"/>
        </w:rPr>
        <w:t xml:space="preserve">Banks and financial </w:t>
      </w:r>
      <w:r w:rsidR="00E3106F" w:rsidRPr="005516CD">
        <w:rPr>
          <w:rFonts w:asciiTheme="majorHAnsi" w:eastAsia="Times New Roman" w:hAnsiTheme="majorHAnsi" w:cstheme="majorHAnsi"/>
          <w:color w:val="000000" w:themeColor="text1"/>
          <w:sz w:val="20"/>
          <w:szCs w:val="20"/>
        </w:rPr>
        <w:t xml:space="preserve">development </w:t>
      </w:r>
      <w:r w:rsidR="00794B69" w:rsidRPr="005516CD">
        <w:rPr>
          <w:rFonts w:asciiTheme="majorHAnsi" w:eastAsia="Times New Roman" w:hAnsiTheme="majorHAnsi" w:cstheme="majorHAnsi"/>
          <w:color w:val="000000" w:themeColor="text1"/>
          <w:sz w:val="20"/>
          <w:szCs w:val="20"/>
        </w:rPr>
        <w:t xml:space="preserve">societies </w:t>
      </w:r>
      <w:r w:rsidR="00E3106F" w:rsidRPr="005516CD">
        <w:rPr>
          <w:rFonts w:asciiTheme="majorHAnsi" w:eastAsia="Times New Roman" w:hAnsiTheme="majorHAnsi" w:cstheme="majorHAnsi"/>
          <w:color w:val="000000" w:themeColor="text1"/>
          <w:sz w:val="20"/>
          <w:szCs w:val="20"/>
        </w:rPr>
        <w:t>will u</w:t>
      </w:r>
      <w:r w:rsidR="00D05CD9" w:rsidRPr="005516CD">
        <w:rPr>
          <w:rFonts w:asciiTheme="majorHAnsi" w:eastAsia="Times New Roman" w:hAnsiTheme="majorHAnsi" w:cstheme="majorHAnsi"/>
          <w:color w:val="000000" w:themeColor="text1"/>
          <w:sz w:val="20"/>
          <w:szCs w:val="20"/>
        </w:rPr>
        <w:t>s</w:t>
      </w:r>
      <w:r w:rsidR="00E3106F" w:rsidRPr="005516CD">
        <w:rPr>
          <w:rFonts w:asciiTheme="majorHAnsi" w:eastAsia="Times New Roman" w:hAnsiTheme="majorHAnsi" w:cstheme="majorHAnsi"/>
          <w:color w:val="000000" w:themeColor="text1"/>
          <w:sz w:val="20"/>
          <w:szCs w:val="20"/>
        </w:rPr>
        <w:t xml:space="preserve">e these advances from BRH to finance medium- and long-term agricultural activities with interest rates not </w:t>
      </w:r>
      <w:proofErr w:type="spellStart"/>
      <w:r w:rsidR="00E3106F" w:rsidRPr="005516CD">
        <w:rPr>
          <w:rFonts w:asciiTheme="majorHAnsi" w:eastAsia="Times New Roman" w:hAnsiTheme="majorHAnsi" w:cstheme="majorHAnsi"/>
          <w:color w:val="000000" w:themeColor="text1"/>
          <w:sz w:val="20"/>
          <w:szCs w:val="20"/>
        </w:rPr>
        <w:t>exeeding</w:t>
      </w:r>
      <w:proofErr w:type="spellEnd"/>
      <w:r w:rsidR="00E3106F" w:rsidRPr="005516CD">
        <w:rPr>
          <w:rFonts w:asciiTheme="majorHAnsi" w:eastAsia="Times New Roman" w:hAnsiTheme="majorHAnsi" w:cstheme="majorHAnsi"/>
          <w:color w:val="000000" w:themeColor="text1"/>
          <w:sz w:val="20"/>
          <w:szCs w:val="20"/>
        </w:rPr>
        <w:t xml:space="preserve"> 6%. </w:t>
      </w:r>
      <w:r w:rsidR="00797BD4" w:rsidRPr="005516CD">
        <w:rPr>
          <w:rFonts w:asciiTheme="majorHAnsi" w:eastAsia="Times New Roman" w:hAnsiTheme="majorHAnsi" w:cstheme="majorHAnsi"/>
          <w:color w:val="000000" w:themeColor="text1"/>
          <w:sz w:val="20"/>
          <w:szCs w:val="20"/>
        </w:rPr>
        <w:t xml:space="preserve">These loans are intended to promote the integration and organisation of agricultural areas into </w:t>
      </w:r>
      <w:r w:rsidR="00E3106F" w:rsidRPr="005516CD">
        <w:rPr>
          <w:rFonts w:asciiTheme="majorHAnsi" w:eastAsia="Times New Roman" w:hAnsiTheme="majorHAnsi" w:cstheme="majorHAnsi"/>
          <w:color w:val="000000" w:themeColor="text1"/>
          <w:sz w:val="20"/>
          <w:szCs w:val="20"/>
        </w:rPr>
        <w:t xml:space="preserve">duly delimited and authorised </w:t>
      </w:r>
      <w:r w:rsidR="00797BD4" w:rsidRPr="005516CD">
        <w:rPr>
          <w:rFonts w:asciiTheme="majorHAnsi" w:eastAsia="Times New Roman" w:hAnsiTheme="majorHAnsi" w:cstheme="majorHAnsi"/>
          <w:color w:val="000000" w:themeColor="text1"/>
          <w:sz w:val="20"/>
          <w:szCs w:val="20"/>
        </w:rPr>
        <w:t>“agricultural free zones”</w:t>
      </w:r>
      <w:r w:rsidR="00E3106F" w:rsidRPr="005516CD">
        <w:rPr>
          <w:rFonts w:asciiTheme="majorHAnsi" w:eastAsia="Times New Roman" w:hAnsiTheme="majorHAnsi" w:cstheme="majorHAnsi"/>
          <w:color w:val="000000" w:themeColor="text1"/>
          <w:sz w:val="20"/>
          <w:szCs w:val="20"/>
        </w:rPr>
        <w:t xml:space="preserve">. </w:t>
      </w:r>
    </w:p>
    <w:p w14:paraId="79464722" w14:textId="77777777" w:rsidR="00C470F2" w:rsidRPr="005516CD" w:rsidRDefault="00E3106F" w:rsidP="006B27F4">
      <w:pPr>
        <w:numPr>
          <w:ilvl w:val="0"/>
          <w:numId w:val="87"/>
        </w:numPr>
        <w:tabs>
          <w:tab w:val="clear" w:pos="720"/>
          <w:tab w:val="num" w:pos="-284"/>
          <w:tab w:val="left" w:pos="426"/>
        </w:tabs>
        <w:spacing w:after="120"/>
        <w:ind w:left="0" w:right="96" w:firstLine="0"/>
        <w:jc w:val="both"/>
        <w:rPr>
          <w:rFonts w:asciiTheme="majorHAnsi" w:eastAsia="Times New Roman" w:hAnsiTheme="majorHAnsi" w:cstheme="majorHAnsi"/>
          <w:color w:val="000000" w:themeColor="text1"/>
          <w:sz w:val="20"/>
          <w:szCs w:val="20"/>
        </w:rPr>
      </w:pPr>
      <w:r w:rsidRPr="005516CD">
        <w:rPr>
          <w:rFonts w:asciiTheme="majorHAnsi" w:eastAsia="Times New Roman" w:hAnsiTheme="majorHAnsi" w:cstheme="majorHAnsi"/>
          <w:color w:val="000000" w:themeColor="text1"/>
          <w:sz w:val="20"/>
          <w:szCs w:val="20"/>
        </w:rPr>
        <w:t xml:space="preserve">Financing covers a range of costs including the </w:t>
      </w:r>
      <w:r w:rsidR="00231F1D" w:rsidRPr="005516CD">
        <w:rPr>
          <w:rFonts w:asciiTheme="majorHAnsi" w:eastAsia="Times New Roman" w:hAnsiTheme="majorHAnsi" w:cstheme="majorHAnsi"/>
          <w:color w:val="000000" w:themeColor="text1"/>
          <w:sz w:val="20"/>
          <w:szCs w:val="20"/>
        </w:rPr>
        <w:t>purchase</w:t>
      </w:r>
      <w:r w:rsidRPr="005516CD">
        <w:rPr>
          <w:rFonts w:asciiTheme="majorHAnsi" w:eastAsia="Times New Roman" w:hAnsiTheme="majorHAnsi" w:cstheme="majorHAnsi"/>
          <w:color w:val="000000" w:themeColor="text1"/>
          <w:sz w:val="20"/>
          <w:szCs w:val="20"/>
        </w:rPr>
        <w:t>, installation, management and/or improvement of storage and processing facilities for agricultural products, and agricultural machinery such as tractors, pumps, irrigation equipment etc. The volume of credit available per client is limited to USD 4 million.</w:t>
      </w:r>
    </w:p>
    <w:p w14:paraId="1823D924" w14:textId="77777777" w:rsidR="00E3106F" w:rsidRPr="005516CD" w:rsidRDefault="00E3106F"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Despite the relevance of this initiative, there are still challenges in terms of the confidence of institutions. There have been many initiatives aimed at strengthening the finance sub-sector in the country, but results have not been as expected: there is an ongoing need for the strengthening of State financing institutions and for a legal framework able to protect all of those involved.</w:t>
      </w:r>
    </w:p>
    <w:p w14:paraId="324E023C" w14:textId="77777777" w:rsidR="00C470F2" w:rsidRPr="005516CD" w:rsidRDefault="00EB3C20" w:rsidP="006B27F4">
      <w:pPr>
        <w:numPr>
          <w:ilvl w:val="0"/>
          <w:numId w:val="87"/>
        </w:numPr>
        <w:tabs>
          <w:tab w:val="clear" w:pos="720"/>
          <w:tab w:val="num" w:pos="-284"/>
          <w:tab w:val="left" w:pos="426"/>
        </w:tabs>
        <w:spacing w:after="120"/>
        <w:ind w:left="0" w:right="96" w:firstLine="0"/>
        <w:jc w:val="both"/>
        <w:rPr>
          <w:color w:val="000000" w:themeColor="text1"/>
          <w:sz w:val="22"/>
          <w:szCs w:val="22"/>
        </w:rPr>
      </w:pPr>
      <w:r w:rsidRPr="005516CD">
        <w:rPr>
          <w:rFonts w:asciiTheme="majorHAnsi" w:hAnsiTheme="majorHAnsi" w:cstheme="majorHAnsi"/>
          <w:color w:val="000000" w:themeColor="text1"/>
          <w:sz w:val="20"/>
          <w:szCs w:val="20"/>
        </w:rPr>
        <w:t xml:space="preserve">The Agribusiness Programme is financed by the Industrial Development Fund: loans are collective, and the legal registration of participating businesses is preferred but is not a strict requirement (support for registration may be provided for eligible businesses). Eligible activities are agriculture (livestock and cropping), </w:t>
      </w:r>
      <w:proofErr w:type="spellStart"/>
      <w:r w:rsidRPr="005516CD">
        <w:rPr>
          <w:rFonts w:asciiTheme="majorHAnsi" w:hAnsiTheme="majorHAnsi" w:cstheme="majorHAnsi"/>
          <w:color w:val="000000" w:themeColor="text1"/>
          <w:sz w:val="20"/>
          <w:szCs w:val="20"/>
        </w:rPr>
        <w:t>agro</w:t>
      </w:r>
      <w:proofErr w:type="spellEnd"/>
      <w:r w:rsidRPr="005516CD">
        <w:rPr>
          <w:rFonts w:asciiTheme="majorHAnsi" w:hAnsiTheme="majorHAnsi" w:cstheme="majorHAnsi"/>
          <w:color w:val="000000" w:themeColor="text1"/>
          <w:sz w:val="20"/>
          <w:szCs w:val="20"/>
        </w:rPr>
        <w:t xml:space="preserve">-industry and tourism. Coffee and cacao are among the crops specifically supported. Credit ranges from </w:t>
      </w:r>
      <w:proofErr w:type="spellStart"/>
      <w:r w:rsidRPr="005516CD">
        <w:rPr>
          <w:rFonts w:asciiTheme="majorHAnsi" w:hAnsiTheme="majorHAnsi" w:cstheme="majorHAnsi"/>
          <w:color w:val="000000" w:themeColor="text1"/>
          <w:sz w:val="20"/>
          <w:szCs w:val="20"/>
        </w:rPr>
        <w:t>Gdes</w:t>
      </w:r>
      <w:proofErr w:type="spellEnd"/>
      <w:r w:rsidRPr="005516CD">
        <w:rPr>
          <w:rFonts w:asciiTheme="majorHAnsi" w:hAnsiTheme="majorHAnsi" w:cstheme="majorHAnsi"/>
          <w:color w:val="000000" w:themeColor="text1"/>
          <w:sz w:val="20"/>
          <w:szCs w:val="20"/>
        </w:rPr>
        <w:t xml:space="preserve"> 500,000 – 40 million, with a fixed interest rate of 8%/annum (although this may be fixed lower in certain cases). This programme has provided credit since 2015: it features grace periods to allow producers to wait until marketing is underway before repaying loans. Initially no guarantee is required, but guarantees are required before credit i</w:t>
      </w:r>
      <w:r w:rsidR="00D05CD9" w:rsidRPr="005516CD">
        <w:rPr>
          <w:rFonts w:asciiTheme="majorHAnsi" w:hAnsiTheme="majorHAnsi" w:cstheme="majorHAnsi"/>
          <w:color w:val="000000" w:themeColor="text1"/>
          <w:sz w:val="20"/>
          <w:szCs w:val="20"/>
        </w:rPr>
        <w:t>s</w:t>
      </w:r>
      <w:r w:rsidRPr="005516CD">
        <w:rPr>
          <w:rFonts w:asciiTheme="majorHAnsi" w:hAnsiTheme="majorHAnsi" w:cstheme="majorHAnsi"/>
          <w:color w:val="000000" w:themeColor="text1"/>
          <w:sz w:val="20"/>
          <w:szCs w:val="20"/>
        </w:rPr>
        <w:t xml:space="preserve"> issued. In order to request credit, businesses are required to submit a business plan; they may be provided with technical support if needed to improve their business plan. Once the plan is completed, a profitability analysis of the investment is carried out: if considered profitable, the team sends the plan to the </w:t>
      </w:r>
      <w:proofErr w:type="spellStart"/>
      <w:r w:rsidRPr="005516CD">
        <w:rPr>
          <w:rFonts w:asciiTheme="majorHAnsi" w:hAnsiTheme="majorHAnsi" w:cstheme="majorHAnsi"/>
          <w:color w:val="000000" w:themeColor="text1"/>
          <w:sz w:val="20"/>
          <w:szCs w:val="20"/>
        </w:rPr>
        <w:t>Interministerial</w:t>
      </w:r>
      <w:proofErr w:type="spellEnd"/>
      <w:r w:rsidRPr="005516CD">
        <w:rPr>
          <w:rFonts w:asciiTheme="majorHAnsi" w:hAnsiTheme="majorHAnsi" w:cstheme="majorHAnsi"/>
          <w:color w:val="000000" w:themeColor="text1"/>
          <w:sz w:val="20"/>
          <w:szCs w:val="20"/>
        </w:rPr>
        <w:t xml:space="preserve"> Committee (CIC), which is composed of MARNDR, the Ministry of Commerce and Industry, and </w:t>
      </w:r>
      <w:r w:rsidR="00EE27F9" w:rsidRPr="005516CD">
        <w:rPr>
          <w:rFonts w:asciiTheme="majorHAnsi" w:hAnsiTheme="majorHAnsi" w:cstheme="majorHAnsi"/>
          <w:color w:val="000000" w:themeColor="text1"/>
          <w:sz w:val="20"/>
          <w:szCs w:val="20"/>
        </w:rPr>
        <w:t>the Interamerican Institute for Cooperation on Agriculture (</w:t>
      </w:r>
      <w:r w:rsidRPr="005516CD">
        <w:rPr>
          <w:rFonts w:asciiTheme="majorHAnsi" w:hAnsiTheme="majorHAnsi" w:cstheme="majorHAnsi"/>
          <w:color w:val="000000" w:themeColor="text1"/>
          <w:sz w:val="20"/>
          <w:szCs w:val="20"/>
        </w:rPr>
        <w:t>IICA</w:t>
      </w:r>
      <w:r w:rsidR="00EE27F9" w:rsidRPr="005516CD">
        <w:rPr>
          <w:rFonts w:asciiTheme="majorHAnsi" w:hAnsiTheme="majorHAnsi" w:cstheme="majorHAnsi"/>
          <w:color w:val="000000" w:themeColor="text1"/>
          <w:sz w:val="20"/>
          <w:szCs w:val="20"/>
        </w:rPr>
        <w:t>)</w:t>
      </w:r>
      <w:r w:rsidR="007B6641" w:rsidRPr="005516CD">
        <w:rPr>
          <w:rFonts w:asciiTheme="majorHAnsi" w:hAnsiTheme="majorHAnsi" w:cstheme="majorHAnsi"/>
          <w:color w:val="000000" w:themeColor="text1"/>
          <w:sz w:val="20"/>
          <w:szCs w:val="20"/>
        </w:rPr>
        <w:t>, prior to final approval by the Ministry of Finance, and disbursement</w:t>
      </w:r>
      <w:r w:rsidRPr="005516CD">
        <w:rPr>
          <w:rFonts w:asciiTheme="majorHAnsi" w:hAnsiTheme="majorHAnsi" w:cstheme="majorHAnsi"/>
          <w:color w:val="000000" w:themeColor="text1"/>
          <w:sz w:val="20"/>
          <w:szCs w:val="20"/>
        </w:rPr>
        <w:t xml:space="preserve">. </w:t>
      </w:r>
    </w:p>
    <w:p w14:paraId="75B88E90" w14:textId="77777777" w:rsidR="00C470F2" w:rsidRPr="005516CD" w:rsidRDefault="00B5335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Many of the communes in the project target area do not have any microfinance institution</w:t>
      </w:r>
      <w:r w:rsidR="007B6641" w:rsidRPr="005516CD">
        <w:rPr>
          <w:rFonts w:asciiTheme="majorHAnsi" w:hAnsiTheme="majorHAnsi" w:cstheme="majorHAnsi"/>
          <w:color w:val="000000" w:themeColor="text1"/>
          <w:sz w:val="20"/>
          <w:szCs w:val="20"/>
        </w:rPr>
        <w:t>s</w:t>
      </w:r>
      <w:r w:rsidRPr="005516CD">
        <w:rPr>
          <w:rFonts w:asciiTheme="majorHAnsi" w:hAnsiTheme="majorHAnsi" w:cstheme="majorHAnsi"/>
          <w:color w:val="000000" w:themeColor="text1"/>
          <w:sz w:val="20"/>
          <w:szCs w:val="20"/>
        </w:rPr>
        <w:t xml:space="preserve"> operating.</w:t>
      </w:r>
      <w:r w:rsidR="00C470F2" w:rsidRPr="005516CD">
        <w:rPr>
          <w:rFonts w:asciiTheme="majorHAnsi" w:hAnsiTheme="majorHAnsi" w:cstheme="majorHAnsi"/>
          <w:color w:val="000000" w:themeColor="text1"/>
          <w:sz w:val="20"/>
          <w:szCs w:val="20"/>
        </w:rPr>
        <w:t xml:space="preserve"> </w:t>
      </w:r>
      <w:proofErr w:type="spellStart"/>
      <w:r w:rsidR="00C470F2" w:rsidRPr="005516CD">
        <w:rPr>
          <w:rFonts w:asciiTheme="majorHAnsi" w:hAnsiTheme="majorHAnsi" w:cstheme="majorHAnsi"/>
          <w:color w:val="000000" w:themeColor="text1"/>
          <w:sz w:val="20"/>
          <w:szCs w:val="20"/>
        </w:rPr>
        <w:t>Fonkoze</w:t>
      </w:r>
      <w:proofErr w:type="spellEnd"/>
      <w:r w:rsidR="007B6641" w:rsidRPr="005516CD">
        <w:rPr>
          <w:rFonts w:asciiTheme="majorHAnsi" w:hAnsiTheme="majorHAnsi" w:cstheme="majorHAnsi"/>
          <w:color w:val="000000" w:themeColor="text1"/>
          <w:sz w:val="20"/>
          <w:szCs w:val="20"/>
        </w:rPr>
        <w:t xml:space="preserve"> and rural savings and loans banks (</w:t>
      </w:r>
      <w:proofErr w:type="spellStart"/>
      <w:r w:rsidR="007B6641" w:rsidRPr="005516CD">
        <w:rPr>
          <w:rFonts w:asciiTheme="majorHAnsi" w:hAnsiTheme="majorHAnsi" w:cstheme="majorHAnsi"/>
          <w:color w:val="000000" w:themeColor="text1"/>
          <w:sz w:val="20"/>
          <w:szCs w:val="20"/>
        </w:rPr>
        <w:t>c</w:t>
      </w:r>
      <w:r w:rsidR="00C470F2" w:rsidRPr="005516CD">
        <w:rPr>
          <w:rFonts w:asciiTheme="majorHAnsi" w:hAnsiTheme="majorHAnsi" w:cstheme="majorHAnsi"/>
          <w:color w:val="000000" w:themeColor="text1"/>
          <w:sz w:val="20"/>
          <w:szCs w:val="20"/>
        </w:rPr>
        <w:t>aisses</w:t>
      </w:r>
      <w:proofErr w:type="spellEnd"/>
      <w:r w:rsidR="00C470F2" w:rsidRPr="005516CD">
        <w:rPr>
          <w:rFonts w:asciiTheme="majorHAnsi" w:hAnsiTheme="majorHAnsi" w:cstheme="majorHAnsi"/>
          <w:color w:val="000000" w:themeColor="text1"/>
          <w:sz w:val="20"/>
          <w:szCs w:val="20"/>
        </w:rPr>
        <w:t xml:space="preserve"> </w:t>
      </w:r>
      <w:proofErr w:type="spellStart"/>
      <w:r w:rsidR="00C470F2" w:rsidRPr="005516CD">
        <w:rPr>
          <w:rFonts w:asciiTheme="majorHAnsi" w:hAnsiTheme="majorHAnsi" w:cstheme="majorHAnsi"/>
          <w:color w:val="000000" w:themeColor="text1"/>
          <w:sz w:val="20"/>
          <w:szCs w:val="20"/>
        </w:rPr>
        <w:t>populaires</w:t>
      </w:r>
      <w:proofErr w:type="spellEnd"/>
      <w:r w:rsidR="007B6641" w:rsidRPr="005516CD">
        <w:rPr>
          <w:rFonts w:asciiTheme="majorHAnsi" w:hAnsiTheme="majorHAnsi" w:cstheme="majorHAnsi"/>
          <w:color w:val="000000" w:themeColor="text1"/>
          <w:sz w:val="20"/>
          <w:szCs w:val="20"/>
        </w:rPr>
        <w:t xml:space="preserve">) are present in some cases, however these tend to finance small businesses, rather than </w:t>
      </w:r>
      <w:r w:rsidR="00C470F2" w:rsidRPr="005516CD">
        <w:rPr>
          <w:rFonts w:asciiTheme="majorHAnsi" w:hAnsiTheme="majorHAnsi" w:cstheme="majorHAnsi"/>
          <w:color w:val="000000" w:themeColor="text1"/>
          <w:sz w:val="20"/>
          <w:szCs w:val="20"/>
        </w:rPr>
        <w:t xml:space="preserve">agriculture. </w:t>
      </w:r>
      <w:r w:rsidR="007B6641" w:rsidRPr="005516CD">
        <w:rPr>
          <w:rFonts w:asciiTheme="majorHAnsi" w:hAnsiTheme="majorHAnsi" w:cstheme="majorHAnsi"/>
          <w:color w:val="000000" w:themeColor="text1"/>
          <w:sz w:val="20"/>
          <w:szCs w:val="20"/>
        </w:rPr>
        <w:t xml:space="preserve">The conditions of the finance available from these sources do not tend to be widely communicated. </w:t>
      </w:r>
    </w:p>
    <w:p w14:paraId="44421130" w14:textId="77777777" w:rsidR="00C470F2" w:rsidRPr="005516CD" w:rsidRDefault="007B6641"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 xml:space="preserve">CASELI (the </w:t>
      </w:r>
      <w:proofErr w:type="spellStart"/>
      <w:r w:rsidRPr="005516CD">
        <w:rPr>
          <w:rFonts w:asciiTheme="majorHAnsi" w:hAnsiTheme="majorHAnsi" w:cstheme="majorHAnsi"/>
          <w:color w:val="000000" w:themeColor="text1"/>
          <w:sz w:val="20"/>
          <w:szCs w:val="20"/>
        </w:rPr>
        <w:t>Cente</w:t>
      </w:r>
      <w:proofErr w:type="spellEnd"/>
      <w:r w:rsidRPr="005516CD">
        <w:rPr>
          <w:rFonts w:asciiTheme="majorHAnsi" w:hAnsiTheme="majorHAnsi" w:cstheme="majorHAnsi"/>
          <w:color w:val="000000" w:themeColor="text1"/>
          <w:sz w:val="20"/>
          <w:szCs w:val="20"/>
        </w:rPr>
        <w:t xml:space="preserve"> for Support and Services fo</w:t>
      </w:r>
      <w:r w:rsidR="001537F0" w:rsidRPr="005516CD">
        <w:rPr>
          <w:rFonts w:asciiTheme="majorHAnsi" w:hAnsiTheme="majorHAnsi" w:cstheme="majorHAnsi"/>
          <w:color w:val="000000" w:themeColor="text1"/>
          <w:sz w:val="20"/>
          <w:szCs w:val="20"/>
        </w:rPr>
        <w:t>r</w:t>
      </w:r>
      <w:r w:rsidRPr="005516CD">
        <w:rPr>
          <w:rFonts w:asciiTheme="majorHAnsi" w:hAnsiTheme="majorHAnsi" w:cstheme="majorHAnsi"/>
          <w:color w:val="000000" w:themeColor="text1"/>
          <w:sz w:val="20"/>
          <w:szCs w:val="20"/>
        </w:rPr>
        <w:t xml:space="preserve"> Local and International Businesses) is a </w:t>
      </w:r>
      <w:r w:rsidR="00C470F2" w:rsidRPr="005516CD">
        <w:rPr>
          <w:rFonts w:asciiTheme="majorHAnsi" w:hAnsiTheme="majorHAnsi" w:cstheme="majorHAnsi"/>
          <w:color w:val="000000" w:themeColor="text1"/>
          <w:sz w:val="20"/>
          <w:szCs w:val="20"/>
        </w:rPr>
        <w:t xml:space="preserve">spin-off </w:t>
      </w:r>
      <w:r w:rsidRPr="005516CD">
        <w:rPr>
          <w:rFonts w:asciiTheme="majorHAnsi" w:hAnsiTheme="majorHAnsi" w:cstheme="majorHAnsi"/>
          <w:color w:val="000000" w:themeColor="text1"/>
          <w:sz w:val="20"/>
          <w:szCs w:val="20"/>
        </w:rPr>
        <w:t xml:space="preserve">of </w:t>
      </w:r>
      <w:r w:rsidR="00C470F2" w:rsidRPr="005516CD">
        <w:rPr>
          <w:rFonts w:asciiTheme="majorHAnsi" w:hAnsiTheme="majorHAnsi" w:cstheme="majorHAnsi"/>
          <w:color w:val="000000" w:themeColor="text1"/>
          <w:sz w:val="20"/>
          <w:szCs w:val="20"/>
        </w:rPr>
        <w:t xml:space="preserve">Root Capital </w:t>
      </w:r>
      <w:r w:rsidRPr="005516CD">
        <w:rPr>
          <w:rFonts w:asciiTheme="majorHAnsi" w:hAnsiTheme="majorHAnsi" w:cstheme="majorHAnsi"/>
          <w:color w:val="000000" w:themeColor="text1"/>
          <w:sz w:val="20"/>
          <w:szCs w:val="20"/>
        </w:rPr>
        <w:t>i</w:t>
      </w:r>
      <w:r w:rsidR="00C470F2" w:rsidRPr="005516CD">
        <w:rPr>
          <w:rFonts w:asciiTheme="majorHAnsi" w:hAnsiTheme="majorHAnsi" w:cstheme="majorHAnsi"/>
          <w:color w:val="000000" w:themeColor="text1"/>
          <w:sz w:val="20"/>
          <w:szCs w:val="20"/>
        </w:rPr>
        <w:t>n Ha</w:t>
      </w:r>
      <w:r w:rsidRPr="005516CD">
        <w:rPr>
          <w:rFonts w:asciiTheme="majorHAnsi" w:hAnsiTheme="majorHAnsi" w:cstheme="majorHAnsi"/>
          <w:color w:val="000000" w:themeColor="text1"/>
          <w:sz w:val="20"/>
          <w:szCs w:val="20"/>
        </w:rPr>
        <w:t>i</w:t>
      </w:r>
      <w:r w:rsidR="00C470F2" w:rsidRPr="005516CD">
        <w:rPr>
          <w:rFonts w:asciiTheme="majorHAnsi" w:hAnsiTheme="majorHAnsi" w:cstheme="majorHAnsi"/>
          <w:color w:val="000000" w:themeColor="text1"/>
          <w:sz w:val="20"/>
          <w:szCs w:val="20"/>
        </w:rPr>
        <w:t>ti</w:t>
      </w:r>
      <w:r w:rsidRPr="005516CD">
        <w:rPr>
          <w:rFonts w:asciiTheme="majorHAnsi" w:hAnsiTheme="majorHAnsi" w:cstheme="majorHAnsi"/>
          <w:color w:val="000000" w:themeColor="text1"/>
          <w:sz w:val="20"/>
          <w:szCs w:val="20"/>
        </w:rPr>
        <w:t>,</w:t>
      </w:r>
      <w:r w:rsidR="00C470F2" w:rsidRPr="005516CD">
        <w:rPr>
          <w:rFonts w:asciiTheme="majorHAnsi" w:hAnsiTheme="majorHAnsi" w:cstheme="majorHAnsi"/>
          <w:color w:val="000000" w:themeColor="text1"/>
          <w:sz w:val="20"/>
          <w:szCs w:val="20"/>
        </w:rPr>
        <w:t xml:space="preserve"> </w:t>
      </w:r>
      <w:r w:rsidRPr="005516CD">
        <w:rPr>
          <w:rFonts w:asciiTheme="majorHAnsi" w:hAnsiTheme="majorHAnsi" w:cstheme="majorHAnsi"/>
          <w:color w:val="000000" w:themeColor="text1"/>
          <w:sz w:val="20"/>
          <w:szCs w:val="20"/>
        </w:rPr>
        <w:t xml:space="preserve">dedicated to the development of rural </w:t>
      </w:r>
      <w:proofErr w:type="spellStart"/>
      <w:r w:rsidRPr="005516CD">
        <w:rPr>
          <w:rFonts w:asciiTheme="majorHAnsi" w:hAnsiTheme="majorHAnsi" w:cstheme="majorHAnsi"/>
          <w:color w:val="000000" w:themeColor="text1"/>
          <w:sz w:val="20"/>
          <w:szCs w:val="20"/>
        </w:rPr>
        <w:t>entreprise</w:t>
      </w:r>
      <w:proofErr w:type="spellEnd"/>
      <w:r w:rsidRPr="005516CD">
        <w:rPr>
          <w:rFonts w:asciiTheme="majorHAnsi" w:hAnsiTheme="majorHAnsi" w:cstheme="majorHAnsi"/>
          <w:color w:val="000000" w:themeColor="text1"/>
          <w:sz w:val="20"/>
          <w:szCs w:val="20"/>
        </w:rPr>
        <w:t xml:space="preserve"> and innovative leadership, through the provision of consultancy services, the identification of resilient commercial ecosystems and investing in local businesses in order to promote sustainable livelihoods. </w:t>
      </w:r>
      <w:r w:rsidR="005B4D20" w:rsidRPr="005516CD">
        <w:rPr>
          <w:rFonts w:asciiTheme="majorHAnsi" w:hAnsiTheme="majorHAnsi" w:cstheme="majorHAnsi"/>
          <w:color w:val="000000" w:themeColor="text1"/>
          <w:sz w:val="20"/>
          <w:szCs w:val="20"/>
        </w:rPr>
        <w:t xml:space="preserve">CASELI functions now as a Business Support Operator (BSO) for food production businesses, and for small, micro and medium sizes businesses. It helps current and potential clients to manage strategic, financial and technological risks. </w:t>
      </w:r>
      <w:r w:rsidR="00C470F2" w:rsidRPr="005516CD">
        <w:rPr>
          <w:rFonts w:asciiTheme="majorHAnsi" w:hAnsiTheme="majorHAnsi" w:cstheme="majorHAnsi"/>
          <w:color w:val="000000" w:themeColor="text1"/>
          <w:sz w:val="20"/>
          <w:szCs w:val="20"/>
        </w:rPr>
        <w:t xml:space="preserve">CASELI </w:t>
      </w:r>
      <w:r w:rsidR="005B4D20" w:rsidRPr="005516CD">
        <w:rPr>
          <w:rFonts w:asciiTheme="majorHAnsi" w:hAnsiTheme="majorHAnsi" w:cstheme="majorHAnsi"/>
          <w:color w:val="000000" w:themeColor="text1"/>
          <w:sz w:val="20"/>
          <w:szCs w:val="20"/>
        </w:rPr>
        <w:t xml:space="preserve">has provided more than USD 2 million of finance to more than 84 local businesses, including farmer cooperatives and food production businesses. </w:t>
      </w:r>
    </w:p>
    <w:p w14:paraId="359A476A" w14:textId="77777777" w:rsidR="005B4D20" w:rsidRPr="005516CD" w:rsidRDefault="005B4D20" w:rsidP="006B27F4">
      <w:pPr>
        <w:pStyle w:val="ListParagraph"/>
        <w:keepNext/>
        <w:numPr>
          <w:ilvl w:val="3"/>
          <w:numId w:val="90"/>
        </w:numPr>
        <w:spacing w:after="60"/>
        <w:ind w:left="851" w:right="96" w:hanging="851"/>
        <w:contextualSpacing/>
        <w:jc w:val="both"/>
        <w:rPr>
          <w:rFonts w:asciiTheme="majorHAnsi" w:hAnsiTheme="majorHAnsi" w:cstheme="majorHAnsi"/>
          <w:b/>
          <w:sz w:val="20"/>
          <w:szCs w:val="20"/>
        </w:rPr>
      </w:pPr>
      <w:r w:rsidRPr="005516CD">
        <w:rPr>
          <w:rFonts w:asciiTheme="majorHAnsi" w:hAnsiTheme="majorHAnsi" w:cstheme="majorHAnsi"/>
          <w:b/>
          <w:sz w:val="20"/>
          <w:szCs w:val="20"/>
        </w:rPr>
        <w:t>S</w:t>
      </w:r>
      <w:r w:rsidR="00EE27F9" w:rsidRPr="005516CD">
        <w:rPr>
          <w:rFonts w:asciiTheme="majorHAnsi" w:hAnsiTheme="majorHAnsi" w:cstheme="majorHAnsi"/>
          <w:b/>
          <w:sz w:val="20"/>
          <w:szCs w:val="20"/>
        </w:rPr>
        <w:t xml:space="preserve">trengths, Weaknesses, Opportunities and Threats (SWOT) </w:t>
      </w:r>
      <w:r w:rsidRPr="005516CD">
        <w:rPr>
          <w:rFonts w:asciiTheme="majorHAnsi" w:hAnsiTheme="majorHAnsi" w:cstheme="majorHAnsi"/>
          <w:b/>
          <w:sz w:val="20"/>
          <w:szCs w:val="20"/>
        </w:rPr>
        <w:t>analysis of agricultural finance</w:t>
      </w:r>
    </w:p>
    <w:tbl>
      <w:tblPr>
        <w:tblStyle w:val="TableGrid"/>
        <w:tblW w:w="0" w:type="auto"/>
        <w:tblLook w:val="04A0" w:firstRow="1" w:lastRow="0" w:firstColumn="1" w:lastColumn="0" w:noHBand="0" w:noVBand="1"/>
      </w:tblPr>
      <w:tblGrid>
        <w:gridCol w:w="4248"/>
        <w:gridCol w:w="4762"/>
      </w:tblGrid>
      <w:tr w:rsidR="005B4D20" w:rsidRPr="005516CD" w14:paraId="2EE41606" w14:textId="77777777" w:rsidTr="004E3800">
        <w:tc>
          <w:tcPr>
            <w:tcW w:w="4248" w:type="dxa"/>
            <w:shd w:val="clear" w:color="auto" w:fill="D9D9D9" w:themeFill="background1" w:themeFillShade="D9"/>
          </w:tcPr>
          <w:p w14:paraId="7AB27356" w14:textId="77777777" w:rsidR="005B4D20" w:rsidRPr="005516CD" w:rsidRDefault="005B4D20" w:rsidP="005B4D20">
            <w:pPr>
              <w:tabs>
                <w:tab w:val="left" w:pos="426"/>
              </w:tabs>
              <w:ind w:right="96"/>
              <w:jc w:val="center"/>
              <w:rPr>
                <w:rFonts w:asciiTheme="majorHAnsi" w:hAnsiTheme="majorHAnsi" w:cstheme="majorHAnsi"/>
                <w:b/>
                <w:color w:val="000000" w:themeColor="text1"/>
                <w:sz w:val="20"/>
                <w:szCs w:val="20"/>
              </w:rPr>
            </w:pPr>
            <w:r w:rsidRPr="005516CD">
              <w:rPr>
                <w:rFonts w:asciiTheme="majorHAnsi" w:hAnsiTheme="majorHAnsi" w:cstheme="majorHAnsi"/>
                <w:b/>
                <w:color w:val="000000" w:themeColor="text1"/>
                <w:sz w:val="20"/>
                <w:szCs w:val="20"/>
              </w:rPr>
              <w:t>Strengths</w:t>
            </w:r>
          </w:p>
        </w:tc>
        <w:tc>
          <w:tcPr>
            <w:tcW w:w="4762" w:type="dxa"/>
            <w:shd w:val="clear" w:color="auto" w:fill="D9D9D9" w:themeFill="background1" w:themeFillShade="D9"/>
          </w:tcPr>
          <w:p w14:paraId="2AFFB589" w14:textId="77777777" w:rsidR="005B4D20" w:rsidRPr="005516CD" w:rsidRDefault="005B4D20" w:rsidP="005B4D20">
            <w:pPr>
              <w:tabs>
                <w:tab w:val="left" w:pos="426"/>
              </w:tabs>
              <w:ind w:right="96"/>
              <w:jc w:val="center"/>
              <w:rPr>
                <w:rFonts w:asciiTheme="majorHAnsi" w:hAnsiTheme="majorHAnsi" w:cstheme="majorHAnsi"/>
                <w:b/>
                <w:color w:val="000000" w:themeColor="text1"/>
                <w:sz w:val="20"/>
                <w:szCs w:val="20"/>
              </w:rPr>
            </w:pPr>
            <w:r w:rsidRPr="005516CD">
              <w:rPr>
                <w:rFonts w:asciiTheme="majorHAnsi" w:hAnsiTheme="majorHAnsi" w:cstheme="majorHAnsi"/>
                <w:b/>
                <w:color w:val="000000" w:themeColor="text1"/>
                <w:sz w:val="20"/>
                <w:szCs w:val="20"/>
              </w:rPr>
              <w:t>Weaknesses</w:t>
            </w:r>
          </w:p>
        </w:tc>
      </w:tr>
      <w:tr w:rsidR="005B4D20" w:rsidRPr="005516CD" w14:paraId="289A6B23" w14:textId="77777777" w:rsidTr="004E3800">
        <w:tc>
          <w:tcPr>
            <w:tcW w:w="4248" w:type="dxa"/>
          </w:tcPr>
          <w:p w14:paraId="7F2DA211" w14:textId="77777777" w:rsidR="005B4D20" w:rsidRPr="005516CD" w:rsidRDefault="00BB71EF" w:rsidP="005B4D20">
            <w:pPr>
              <w:tabs>
                <w:tab w:val="left" w:pos="426"/>
              </w:tabs>
              <w:ind w:right="96"/>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Self-finance: farmers contribute their resources as well, meaning that they have added motivation to ensure success.</w:t>
            </w:r>
          </w:p>
        </w:tc>
        <w:tc>
          <w:tcPr>
            <w:tcW w:w="4762" w:type="dxa"/>
          </w:tcPr>
          <w:p w14:paraId="14AF67BB" w14:textId="77777777" w:rsidR="005B4D20" w:rsidRPr="005516CD" w:rsidRDefault="00BB71EF" w:rsidP="006B27F4">
            <w:pPr>
              <w:pStyle w:val="ListParagraph"/>
              <w:numPr>
                <w:ilvl w:val="0"/>
                <w:numId w:val="113"/>
              </w:numP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Lack of an assurance system</w:t>
            </w:r>
          </w:p>
          <w:p w14:paraId="282B26A9" w14:textId="77777777" w:rsidR="00BB71EF" w:rsidRPr="005516CD" w:rsidRDefault="00BB71EF" w:rsidP="006B27F4">
            <w:pPr>
              <w:pStyle w:val="ListParagraph"/>
              <w:numPr>
                <w:ilvl w:val="0"/>
                <w:numId w:val="113"/>
              </w:numP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Limited organization of the sub-sector</w:t>
            </w:r>
          </w:p>
          <w:p w14:paraId="1A76DDF0" w14:textId="77777777" w:rsidR="00BB71EF" w:rsidRPr="005516CD" w:rsidRDefault="00BB71EF" w:rsidP="006B27F4">
            <w:pPr>
              <w:pStyle w:val="ListParagraph"/>
              <w:numPr>
                <w:ilvl w:val="0"/>
                <w:numId w:val="113"/>
              </w:numP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Limited management capacities among farmers</w:t>
            </w:r>
          </w:p>
          <w:p w14:paraId="5D2D1109" w14:textId="77777777" w:rsidR="00BB71EF" w:rsidRPr="005516CD" w:rsidRDefault="00BB71EF" w:rsidP="006B27F4">
            <w:pPr>
              <w:pStyle w:val="ListParagraph"/>
              <w:numPr>
                <w:ilvl w:val="0"/>
                <w:numId w:val="113"/>
              </w:numP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Interest rates not tailored to the agricultural sector</w:t>
            </w:r>
          </w:p>
          <w:p w14:paraId="24F35FBC" w14:textId="77777777" w:rsidR="00BB71EF" w:rsidRPr="005516CD" w:rsidRDefault="00BB71EF" w:rsidP="006B27F4">
            <w:pPr>
              <w:pStyle w:val="ListParagraph"/>
              <w:numPr>
                <w:ilvl w:val="0"/>
                <w:numId w:val="113"/>
              </w:numP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Limited creditworthiness of creditors</w:t>
            </w:r>
          </w:p>
          <w:p w14:paraId="27AC847E" w14:textId="77777777" w:rsidR="00BB71EF" w:rsidRPr="005516CD" w:rsidRDefault="00BB71EF" w:rsidP="006B27F4">
            <w:pPr>
              <w:pStyle w:val="ListParagraph"/>
              <w:numPr>
                <w:ilvl w:val="0"/>
                <w:numId w:val="113"/>
              </w:numP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Limited transparency of credit products</w:t>
            </w:r>
          </w:p>
          <w:p w14:paraId="20639D68" w14:textId="77777777" w:rsidR="00BB71EF" w:rsidRPr="005516CD" w:rsidRDefault="00BB71EF" w:rsidP="006B27F4">
            <w:pPr>
              <w:pStyle w:val="ListParagraph"/>
              <w:numPr>
                <w:ilvl w:val="0"/>
                <w:numId w:val="113"/>
              </w:numP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Credit for agriculture and food production tends to be one-off rather than transformative</w:t>
            </w:r>
          </w:p>
        </w:tc>
      </w:tr>
      <w:tr w:rsidR="005B4D20" w:rsidRPr="005516CD" w14:paraId="5CD26A35" w14:textId="77777777" w:rsidTr="004E3800">
        <w:tc>
          <w:tcPr>
            <w:tcW w:w="4248" w:type="dxa"/>
            <w:shd w:val="clear" w:color="auto" w:fill="D9D9D9" w:themeFill="background1" w:themeFillShade="D9"/>
          </w:tcPr>
          <w:p w14:paraId="470CD4B6" w14:textId="77777777" w:rsidR="005B4D20" w:rsidRPr="005516CD" w:rsidRDefault="005B4D20" w:rsidP="005B4D20">
            <w:pPr>
              <w:tabs>
                <w:tab w:val="left" w:pos="426"/>
              </w:tabs>
              <w:ind w:right="96"/>
              <w:jc w:val="center"/>
              <w:rPr>
                <w:rFonts w:asciiTheme="majorHAnsi" w:hAnsiTheme="majorHAnsi" w:cstheme="majorHAnsi"/>
                <w:b/>
                <w:color w:val="000000" w:themeColor="text1"/>
                <w:sz w:val="20"/>
                <w:szCs w:val="20"/>
              </w:rPr>
            </w:pPr>
            <w:r w:rsidRPr="005516CD">
              <w:rPr>
                <w:rFonts w:asciiTheme="majorHAnsi" w:hAnsiTheme="majorHAnsi" w:cstheme="majorHAnsi"/>
                <w:b/>
                <w:color w:val="000000" w:themeColor="text1"/>
                <w:sz w:val="20"/>
                <w:szCs w:val="20"/>
              </w:rPr>
              <w:t>Opportunities</w:t>
            </w:r>
          </w:p>
        </w:tc>
        <w:tc>
          <w:tcPr>
            <w:tcW w:w="4762" w:type="dxa"/>
            <w:shd w:val="clear" w:color="auto" w:fill="D9D9D9" w:themeFill="background1" w:themeFillShade="D9"/>
          </w:tcPr>
          <w:p w14:paraId="52493065" w14:textId="77777777" w:rsidR="005B4D20" w:rsidRPr="005516CD" w:rsidRDefault="005B4D20" w:rsidP="005B4D20">
            <w:pPr>
              <w:tabs>
                <w:tab w:val="left" w:pos="426"/>
              </w:tabs>
              <w:ind w:right="96"/>
              <w:jc w:val="center"/>
              <w:rPr>
                <w:rFonts w:asciiTheme="majorHAnsi" w:hAnsiTheme="majorHAnsi" w:cstheme="majorHAnsi"/>
                <w:b/>
                <w:color w:val="000000" w:themeColor="text1"/>
                <w:sz w:val="20"/>
                <w:szCs w:val="20"/>
              </w:rPr>
            </w:pPr>
            <w:r w:rsidRPr="005516CD">
              <w:rPr>
                <w:rFonts w:asciiTheme="majorHAnsi" w:hAnsiTheme="majorHAnsi" w:cstheme="majorHAnsi"/>
                <w:b/>
                <w:color w:val="000000" w:themeColor="text1"/>
                <w:sz w:val="20"/>
                <w:szCs w:val="20"/>
              </w:rPr>
              <w:t>Threats</w:t>
            </w:r>
          </w:p>
        </w:tc>
      </w:tr>
      <w:tr w:rsidR="005B4D20" w:rsidRPr="005516CD" w14:paraId="19FBF23A" w14:textId="77777777" w:rsidTr="004E3800">
        <w:tc>
          <w:tcPr>
            <w:tcW w:w="4248" w:type="dxa"/>
          </w:tcPr>
          <w:p w14:paraId="0F415317" w14:textId="77777777" w:rsidR="005B4D20" w:rsidRPr="005516CD" w:rsidRDefault="00BB71EF" w:rsidP="006B27F4">
            <w:pPr>
              <w:pStyle w:val="ListParagraph"/>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Community and mutual solidarity banks have potential to penetrate rural areas and to offer accessible financial services</w:t>
            </w:r>
          </w:p>
          <w:p w14:paraId="581D590B" w14:textId="77777777" w:rsidR="00BB71EF" w:rsidRPr="005516CD" w:rsidRDefault="00BB71EF" w:rsidP="006B27F4">
            <w:pPr>
              <w:pStyle w:val="ListParagraph"/>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There are associations grouping finance institutions</w:t>
            </w:r>
          </w:p>
          <w:p w14:paraId="78EDE3F8" w14:textId="77777777" w:rsidR="00BB71EF" w:rsidRPr="005516CD" w:rsidRDefault="004E3800" w:rsidP="006B27F4">
            <w:pPr>
              <w:pStyle w:val="ListParagraph"/>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 xml:space="preserve">There is experience in most grassroots community </w:t>
            </w:r>
            <w:proofErr w:type="spellStart"/>
            <w:r w:rsidRPr="005516CD">
              <w:rPr>
                <w:rFonts w:asciiTheme="majorHAnsi" w:hAnsiTheme="majorHAnsi" w:cstheme="majorHAnsi"/>
                <w:color w:val="000000" w:themeColor="text1"/>
                <w:sz w:val="20"/>
                <w:szCs w:val="20"/>
              </w:rPr>
              <w:t>organisations</w:t>
            </w:r>
            <w:proofErr w:type="spellEnd"/>
            <w:r w:rsidRPr="005516CD">
              <w:rPr>
                <w:rFonts w:asciiTheme="majorHAnsi" w:hAnsiTheme="majorHAnsi" w:cstheme="majorHAnsi"/>
                <w:color w:val="000000" w:themeColor="text1"/>
                <w:sz w:val="20"/>
                <w:szCs w:val="20"/>
              </w:rPr>
              <w:t xml:space="preserve"> with mutual solidarity finance (existing culture of credit)</w:t>
            </w:r>
          </w:p>
        </w:tc>
        <w:tc>
          <w:tcPr>
            <w:tcW w:w="4762" w:type="dxa"/>
          </w:tcPr>
          <w:p w14:paraId="594F8D4A" w14:textId="77777777" w:rsidR="005B4D20" w:rsidRPr="005516CD" w:rsidRDefault="004E3800" w:rsidP="006B27F4">
            <w:pPr>
              <w:pStyle w:val="ListParagraph"/>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Changes or disturbance to the international market</w:t>
            </w:r>
          </w:p>
          <w:p w14:paraId="5BEC34CF" w14:textId="77777777" w:rsidR="004E3800" w:rsidRPr="005516CD" w:rsidRDefault="004E3800" w:rsidP="006B27F4">
            <w:pPr>
              <w:pStyle w:val="ListParagraph"/>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Diseases affecting cacao and coffee plantations</w:t>
            </w:r>
          </w:p>
          <w:p w14:paraId="0FB2DCBE" w14:textId="77777777" w:rsidR="004E3800" w:rsidRPr="005516CD" w:rsidRDefault="004E3800" w:rsidP="006B27F4">
            <w:pPr>
              <w:pStyle w:val="ListParagraph"/>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Natural disasters (hurricanes, floods)</w:t>
            </w:r>
          </w:p>
          <w:p w14:paraId="5BCB1BF2" w14:textId="77777777" w:rsidR="004E3800" w:rsidRPr="005516CD" w:rsidRDefault="004E3800" w:rsidP="006B27F4">
            <w:pPr>
              <w:pStyle w:val="ListParagraph"/>
              <w:numPr>
                <w:ilvl w:val="0"/>
                <w:numId w:val="113"/>
              </w:numPr>
              <w:pBdr>
                <w:top w:val="none" w:sz="0" w:space="0" w:color="auto"/>
                <w:left w:val="none" w:sz="0" w:space="0" w:color="auto"/>
                <w:bottom w:val="none" w:sz="0" w:space="0" w:color="auto"/>
                <w:right w:val="none" w:sz="0" w:space="0" w:color="auto"/>
                <w:between w:val="none" w:sz="0" w:space="0" w:color="auto"/>
                <w:bar w:val="none" w:sz="0" w:color="auto"/>
              </w:pBdr>
              <w:tabs>
                <w:tab w:val="left" w:pos="200"/>
              </w:tabs>
              <w:ind w:left="200" w:right="96" w:hanging="218"/>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Accelerated emigration of farmers to other countries.</w:t>
            </w:r>
          </w:p>
        </w:tc>
      </w:tr>
    </w:tbl>
    <w:p w14:paraId="71885057" w14:textId="77777777" w:rsidR="005B4D20" w:rsidRPr="005516CD" w:rsidRDefault="005B4D20" w:rsidP="005B4D20">
      <w:pPr>
        <w:tabs>
          <w:tab w:val="left" w:pos="426"/>
        </w:tabs>
        <w:spacing w:after="120"/>
        <w:ind w:right="96"/>
        <w:jc w:val="both"/>
        <w:rPr>
          <w:rFonts w:asciiTheme="majorHAnsi" w:hAnsiTheme="majorHAnsi" w:cstheme="majorHAnsi"/>
          <w:color w:val="000000" w:themeColor="text1"/>
          <w:sz w:val="20"/>
          <w:szCs w:val="20"/>
        </w:rPr>
      </w:pPr>
    </w:p>
    <w:p w14:paraId="157F1F6E" w14:textId="77777777" w:rsidR="00DD7F00" w:rsidRPr="005516CD" w:rsidRDefault="00045B04" w:rsidP="00CD01B2">
      <w:pPr>
        <w:pStyle w:val="Heading6"/>
        <w:keepNext/>
        <w:spacing w:before="120" w:after="120"/>
        <w:rPr>
          <w:rFonts w:asciiTheme="majorHAnsi" w:eastAsia="Calibri" w:hAnsiTheme="majorHAnsi" w:cstheme="majorHAnsi"/>
          <w:b/>
          <w:sz w:val="20"/>
        </w:rPr>
      </w:pPr>
      <w:r w:rsidRPr="005516CD">
        <w:rPr>
          <w:rFonts w:asciiTheme="majorHAnsi" w:eastAsia="Calibri" w:hAnsiTheme="majorHAnsi" w:cstheme="majorHAnsi"/>
          <w:b/>
          <w:sz w:val="20"/>
        </w:rPr>
        <w:t>Policy and regulatory context</w:t>
      </w:r>
    </w:p>
    <w:p w14:paraId="48E58252" w14:textId="77777777" w:rsidR="00476CB0" w:rsidRPr="005516CD" w:rsidRDefault="00543317" w:rsidP="00C669FA">
      <w:pPr>
        <w:pStyle w:val="Heading7"/>
        <w:keepNext/>
        <w:spacing w:before="0"/>
        <w:ind w:left="0"/>
        <w:rPr>
          <w:rFonts w:asciiTheme="majorHAnsi" w:hAnsiTheme="majorHAnsi" w:cstheme="majorHAnsi"/>
          <w:i/>
        </w:rPr>
      </w:pPr>
      <w:r w:rsidRPr="005516CD">
        <w:rPr>
          <w:rFonts w:asciiTheme="majorHAnsi" w:hAnsiTheme="majorHAnsi" w:cstheme="majorHAnsi"/>
          <w:i/>
        </w:rPr>
        <w:t>National Strategy Document for Growth and the Reduction of Poverty</w:t>
      </w:r>
      <w:r w:rsidR="00476CB0" w:rsidRPr="005516CD">
        <w:rPr>
          <w:rFonts w:asciiTheme="majorHAnsi" w:hAnsiTheme="majorHAnsi" w:cstheme="majorHAnsi"/>
          <w:i/>
        </w:rPr>
        <w:t xml:space="preserve"> (DSNCRP)</w:t>
      </w:r>
      <w:r w:rsidR="00476CB0" w:rsidRPr="005516CD">
        <w:rPr>
          <w:rFonts w:asciiTheme="majorHAnsi" w:hAnsiTheme="majorHAnsi" w:cstheme="majorHAnsi"/>
          <w:i/>
          <w:vertAlign w:val="superscript"/>
          <w:lang w:val="fr-FR"/>
        </w:rPr>
        <w:footnoteReference w:id="29"/>
      </w:r>
    </w:p>
    <w:p w14:paraId="27C568F2" w14:textId="77777777" w:rsidR="00476CB0" w:rsidRPr="005516CD" w:rsidRDefault="0054331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Written in </w:t>
      </w:r>
      <w:r w:rsidR="00476CB0" w:rsidRPr="005516CD">
        <w:rPr>
          <w:rFonts w:asciiTheme="majorHAnsi" w:hAnsiTheme="majorHAnsi" w:cstheme="majorHAnsi"/>
          <w:sz w:val="20"/>
          <w:szCs w:val="20"/>
        </w:rPr>
        <w:t xml:space="preserve">2007, </w:t>
      </w:r>
      <w:r w:rsidRPr="005516CD">
        <w:rPr>
          <w:rFonts w:asciiTheme="majorHAnsi" w:hAnsiTheme="majorHAnsi" w:cstheme="majorHAnsi"/>
          <w:sz w:val="20"/>
          <w:szCs w:val="20"/>
        </w:rPr>
        <w:t xml:space="preserve">the </w:t>
      </w:r>
      <w:r w:rsidR="00476CB0" w:rsidRPr="005516CD">
        <w:rPr>
          <w:rFonts w:asciiTheme="majorHAnsi" w:hAnsiTheme="majorHAnsi" w:cstheme="majorHAnsi"/>
          <w:sz w:val="20"/>
          <w:szCs w:val="20"/>
        </w:rPr>
        <w:t xml:space="preserve">DSNCRP </w:t>
      </w:r>
      <w:r w:rsidRPr="005516CD">
        <w:rPr>
          <w:rFonts w:asciiTheme="majorHAnsi" w:hAnsiTheme="majorHAnsi" w:cstheme="majorHAnsi"/>
          <w:sz w:val="20"/>
          <w:szCs w:val="20"/>
        </w:rPr>
        <w:t>implemented an approach with a long</w:t>
      </w:r>
      <w:r w:rsidR="00A25AC7" w:rsidRPr="005516CD">
        <w:rPr>
          <w:rFonts w:asciiTheme="majorHAnsi" w:hAnsiTheme="majorHAnsi" w:cstheme="majorHAnsi"/>
          <w:sz w:val="20"/>
          <w:szCs w:val="20"/>
        </w:rPr>
        <w:t>-</w:t>
      </w:r>
      <w:r w:rsidRPr="005516CD">
        <w:rPr>
          <w:rFonts w:asciiTheme="majorHAnsi" w:hAnsiTheme="majorHAnsi" w:cstheme="majorHAnsi"/>
          <w:sz w:val="20"/>
          <w:szCs w:val="20"/>
        </w:rPr>
        <w:t>term vision, characterised by an emphasis on the development and renewal of institutional structure, aiming at improved effectiveness in terms of the mobilisation of natural resources in order to put the country on a course of sustainable development, through for example sustainable agriculture and rural development.</w:t>
      </w:r>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Specifically, it was concerned with carrying out an analysis of poverty and inequality, to emphasis the vision of certain State and non-State actors as well as the </w:t>
      </w:r>
      <w:r w:rsidR="00A25AC7" w:rsidRPr="005516CD">
        <w:rPr>
          <w:rFonts w:asciiTheme="majorHAnsi" w:hAnsiTheme="majorHAnsi" w:cstheme="majorHAnsi"/>
          <w:sz w:val="20"/>
          <w:szCs w:val="20"/>
        </w:rPr>
        <w:t xml:space="preserve">challenges for </w:t>
      </w:r>
      <w:r w:rsidR="00476CB0" w:rsidRPr="005516CD">
        <w:rPr>
          <w:rFonts w:asciiTheme="majorHAnsi" w:hAnsiTheme="majorHAnsi" w:cstheme="majorHAnsi"/>
          <w:sz w:val="20"/>
          <w:szCs w:val="20"/>
        </w:rPr>
        <w:t xml:space="preserve">2015, </w:t>
      </w:r>
      <w:r w:rsidR="00A25AC7" w:rsidRPr="005516CD">
        <w:rPr>
          <w:rFonts w:asciiTheme="majorHAnsi" w:hAnsiTheme="majorHAnsi" w:cstheme="majorHAnsi"/>
          <w:sz w:val="20"/>
          <w:szCs w:val="20"/>
        </w:rPr>
        <w:t xml:space="preserve">to present strategic sector policies and directions that reflect the overall issues defined by the Government, taking into account the macroeconomic framework and the objectives of stabilisation and growth. </w:t>
      </w:r>
    </w:p>
    <w:p w14:paraId="5B57C7A1" w14:textId="77777777" w:rsidR="00476CB0" w:rsidRPr="005516CD" w:rsidRDefault="008E2058" w:rsidP="000C07BE">
      <w:pPr>
        <w:pStyle w:val="Heading7"/>
        <w:keepNext/>
        <w:spacing w:before="0"/>
        <w:ind w:left="0"/>
        <w:rPr>
          <w:rFonts w:asciiTheme="majorHAnsi" w:hAnsiTheme="majorHAnsi" w:cstheme="majorHAnsi"/>
          <w:i/>
        </w:rPr>
      </w:pPr>
      <w:r w:rsidRPr="005516CD">
        <w:rPr>
          <w:rFonts w:asciiTheme="majorHAnsi" w:hAnsiTheme="majorHAnsi" w:cstheme="majorHAnsi"/>
          <w:i/>
        </w:rPr>
        <w:t>Agricultural development policy and triennial programme for agricultural revival</w:t>
      </w:r>
      <w:r w:rsidR="00476CB0" w:rsidRPr="005516CD">
        <w:rPr>
          <w:rFonts w:asciiTheme="majorHAnsi" w:hAnsiTheme="majorHAnsi" w:cstheme="majorHAnsi"/>
          <w:i/>
        </w:rPr>
        <w:t xml:space="preserve"> </w:t>
      </w:r>
    </w:p>
    <w:p w14:paraId="519262C6" w14:textId="77777777" w:rsidR="00476CB0" w:rsidRPr="005516CD" w:rsidRDefault="008E2058"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Agricultural Development Project </w:t>
      </w:r>
      <w:r w:rsidR="00476CB0" w:rsidRPr="005516CD">
        <w:rPr>
          <w:rFonts w:asciiTheme="majorHAnsi" w:hAnsiTheme="majorHAnsi" w:cstheme="majorHAnsi"/>
          <w:sz w:val="20"/>
          <w:szCs w:val="20"/>
        </w:rPr>
        <w:t xml:space="preserve">(2010-2020) </w:t>
      </w:r>
      <w:r w:rsidRPr="005516CD">
        <w:rPr>
          <w:rFonts w:asciiTheme="majorHAnsi" w:hAnsiTheme="majorHAnsi" w:cstheme="majorHAnsi"/>
          <w:sz w:val="20"/>
          <w:szCs w:val="20"/>
        </w:rPr>
        <w:t xml:space="preserve">published by </w:t>
      </w:r>
      <w:r w:rsidR="00476CB0" w:rsidRPr="005516CD">
        <w:rPr>
          <w:rFonts w:asciiTheme="majorHAnsi" w:hAnsiTheme="majorHAnsi" w:cstheme="majorHAnsi"/>
          <w:sz w:val="20"/>
          <w:szCs w:val="20"/>
        </w:rPr>
        <w:t>MARNDR</w:t>
      </w:r>
      <w:r w:rsidRPr="005516CD">
        <w:rPr>
          <w:rFonts w:asciiTheme="majorHAnsi" w:hAnsiTheme="majorHAnsi" w:cstheme="majorHAnsi"/>
          <w:sz w:val="20"/>
          <w:szCs w:val="20"/>
        </w:rPr>
        <w:t xml:space="preserve"> in 2010, contained provisions for the sustainable development of agricultural productivity, with the aim of protecting natural resources (soils, water, forests</w:t>
      </w:r>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through the practice of integrated, conservationist and intensive agriculture, capable of reducing the vulnerability of the population to natural cataclysms. Priority axis </w:t>
      </w:r>
      <w:r w:rsidR="00476CB0" w:rsidRPr="005516CD">
        <w:rPr>
          <w:rFonts w:asciiTheme="majorHAnsi" w:hAnsiTheme="majorHAnsi" w:cstheme="majorHAnsi"/>
          <w:sz w:val="20"/>
          <w:szCs w:val="20"/>
        </w:rPr>
        <w:t xml:space="preserve">5 </w:t>
      </w:r>
      <w:r w:rsidRPr="005516CD">
        <w:rPr>
          <w:rFonts w:asciiTheme="majorHAnsi" w:hAnsiTheme="majorHAnsi" w:cstheme="majorHAnsi"/>
          <w:sz w:val="20"/>
          <w:szCs w:val="20"/>
        </w:rPr>
        <w:t xml:space="preserve">of this policy concerns the preservation and management of natural resources, favouring the accelerate adjustment of watershed management in humid and semi-arid mountains, and the </w:t>
      </w:r>
      <w:proofErr w:type="spellStart"/>
      <w:r w:rsidRPr="005516CD">
        <w:rPr>
          <w:rFonts w:asciiTheme="majorHAnsi" w:hAnsiTheme="majorHAnsi" w:cstheme="majorHAnsi"/>
          <w:sz w:val="20"/>
          <w:szCs w:val="20"/>
        </w:rPr>
        <w:t>proection</w:t>
      </w:r>
      <w:proofErr w:type="spellEnd"/>
      <w:r w:rsidRPr="005516CD">
        <w:rPr>
          <w:rFonts w:asciiTheme="majorHAnsi" w:hAnsiTheme="majorHAnsi" w:cstheme="majorHAnsi"/>
          <w:sz w:val="20"/>
          <w:szCs w:val="20"/>
        </w:rPr>
        <w:t xml:space="preserve"> of economic activities in the face of natural catastrophes.</w:t>
      </w:r>
      <w:r w:rsidR="00476CB0" w:rsidRPr="005516CD">
        <w:rPr>
          <w:rFonts w:asciiTheme="majorHAnsi" w:hAnsiTheme="majorHAnsi" w:cstheme="majorHAnsi"/>
          <w:sz w:val="20"/>
          <w:szCs w:val="20"/>
        </w:rPr>
        <w:t xml:space="preserve"> </w:t>
      </w:r>
    </w:p>
    <w:p w14:paraId="77E4265C" w14:textId="77777777" w:rsidR="00476CB0" w:rsidRPr="005516CD" w:rsidRDefault="0000593C" w:rsidP="0000593C">
      <w:pPr>
        <w:pStyle w:val="Heading7"/>
        <w:spacing w:before="0"/>
        <w:ind w:left="0"/>
        <w:rPr>
          <w:rFonts w:asciiTheme="majorHAnsi" w:hAnsiTheme="majorHAnsi" w:cstheme="majorHAnsi"/>
          <w:i/>
        </w:rPr>
      </w:pPr>
      <w:r w:rsidRPr="005516CD">
        <w:rPr>
          <w:rFonts w:asciiTheme="majorHAnsi" w:hAnsiTheme="majorHAnsi" w:cstheme="majorHAnsi"/>
          <w:i/>
        </w:rPr>
        <w:t>Strategic Plan for the Development of Haiti</w:t>
      </w:r>
      <w:r w:rsidR="00476CB0" w:rsidRPr="005516CD">
        <w:rPr>
          <w:rFonts w:asciiTheme="majorHAnsi" w:hAnsiTheme="majorHAnsi" w:cstheme="majorHAnsi"/>
          <w:i/>
        </w:rPr>
        <w:t xml:space="preserve"> (PSDH)</w:t>
      </w:r>
    </w:p>
    <w:p w14:paraId="06A08EDD" w14:textId="77777777" w:rsidR="00476CB0" w:rsidRPr="005516CD" w:rsidRDefault="007E2A3A"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w:t>
      </w:r>
      <w:r w:rsidR="00476CB0" w:rsidRPr="005516CD">
        <w:rPr>
          <w:rFonts w:asciiTheme="majorHAnsi" w:hAnsiTheme="majorHAnsi" w:cstheme="majorHAnsi"/>
          <w:sz w:val="20"/>
          <w:szCs w:val="20"/>
        </w:rPr>
        <w:t xml:space="preserve">PSDH </w:t>
      </w:r>
      <w:r w:rsidRPr="005516CD">
        <w:rPr>
          <w:rFonts w:asciiTheme="majorHAnsi" w:hAnsiTheme="majorHAnsi" w:cstheme="majorHAnsi"/>
          <w:sz w:val="20"/>
          <w:szCs w:val="20"/>
        </w:rPr>
        <w:t xml:space="preserve">is organised around four major issues, which </w:t>
      </w:r>
      <w:proofErr w:type="spellStart"/>
      <w:r w:rsidRPr="005516CD">
        <w:rPr>
          <w:rFonts w:asciiTheme="majorHAnsi" w:hAnsiTheme="majorHAnsi" w:cstheme="majorHAnsi"/>
          <w:sz w:val="20"/>
          <w:szCs w:val="20"/>
        </w:rPr>
        <w:t>ar</w:t>
      </w:r>
      <w:proofErr w:type="spellEnd"/>
      <w:r w:rsidRPr="005516CD">
        <w:rPr>
          <w:rFonts w:asciiTheme="majorHAnsi" w:hAnsiTheme="majorHAnsi" w:cstheme="majorHAnsi"/>
          <w:sz w:val="20"/>
          <w:szCs w:val="20"/>
        </w:rPr>
        <w:t xml:space="preserve"> divided into a number of programmes:</w:t>
      </w:r>
      <w:r w:rsidR="00476CB0" w:rsidRPr="005516CD">
        <w:rPr>
          <w:rFonts w:asciiTheme="majorHAnsi" w:hAnsiTheme="majorHAnsi" w:cstheme="majorHAnsi"/>
          <w:sz w:val="20"/>
          <w:szCs w:val="20"/>
        </w:rPr>
        <w:t xml:space="preserve"> </w:t>
      </w:r>
    </w:p>
    <w:p w14:paraId="58955614" w14:textId="77777777" w:rsidR="00476CB0" w:rsidRPr="005516CD" w:rsidRDefault="007E2A3A" w:rsidP="006B27F4">
      <w:pPr>
        <w:pStyle w:val="Default"/>
        <w:numPr>
          <w:ilvl w:val="0"/>
          <w:numId w:val="10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ind w:left="714" w:hanging="357"/>
        <w:rPr>
          <w:rFonts w:asciiTheme="majorHAnsi" w:hAnsiTheme="majorHAnsi" w:cstheme="majorHAnsi"/>
          <w:color w:val="auto"/>
          <w:sz w:val="20"/>
          <w:szCs w:val="20"/>
          <w:lang w:val="en-GB"/>
        </w:rPr>
      </w:pPr>
      <w:r w:rsidRPr="005516CD">
        <w:rPr>
          <w:rFonts w:asciiTheme="majorHAnsi" w:hAnsiTheme="majorHAnsi" w:cstheme="majorHAnsi"/>
          <w:b/>
          <w:bCs/>
          <w:i/>
          <w:iCs/>
          <w:color w:val="auto"/>
          <w:sz w:val="20"/>
          <w:szCs w:val="20"/>
          <w:lang w:val="en-GB"/>
        </w:rPr>
        <w:t>T</w:t>
      </w:r>
      <w:r w:rsidR="00476CB0" w:rsidRPr="005516CD">
        <w:rPr>
          <w:rFonts w:asciiTheme="majorHAnsi" w:hAnsiTheme="majorHAnsi" w:cstheme="majorHAnsi"/>
          <w:b/>
          <w:bCs/>
          <w:i/>
          <w:iCs/>
          <w:color w:val="auto"/>
          <w:sz w:val="20"/>
          <w:szCs w:val="20"/>
          <w:lang w:val="en-GB"/>
        </w:rPr>
        <w:t>erritorial</w:t>
      </w:r>
      <w:r w:rsidRPr="005516CD">
        <w:rPr>
          <w:rFonts w:asciiTheme="majorHAnsi" w:hAnsiTheme="majorHAnsi" w:cstheme="majorHAnsi"/>
          <w:b/>
          <w:bCs/>
          <w:i/>
          <w:iCs/>
          <w:color w:val="auto"/>
          <w:sz w:val="20"/>
          <w:szCs w:val="20"/>
          <w:lang w:val="en-GB"/>
        </w:rPr>
        <w:t xml:space="preserve"> reestablishment</w:t>
      </w:r>
      <w:r w:rsidR="00476CB0" w:rsidRPr="005516CD">
        <w:rPr>
          <w:rFonts w:asciiTheme="majorHAnsi" w:hAnsiTheme="majorHAnsi" w:cstheme="majorHAnsi"/>
          <w:b/>
          <w:bCs/>
          <w:i/>
          <w:iCs/>
          <w:color w:val="auto"/>
          <w:sz w:val="20"/>
          <w:szCs w:val="20"/>
          <w:lang w:val="en-GB"/>
        </w:rPr>
        <w:t xml:space="preserve">: </w:t>
      </w:r>
      <w:r w:rsidRPr="005516CD">
        <w:rPr>
          <w:rFonts w:asciiTheme="majorHAnsi" w:hAnsiTheme="majorHAnsi" w:cstheme="majorHAnsi"/>
          <w:bCs/>
          <w:iCs/>
          <w:color w:val="auto"/>
          <w:sz w:val="20"/>
          <w:szCs w:val="20"/>
          <w:lang w:val="en-GB"/>
        </w:rPr>
        <w:t xml:space="preserve">this concerns the </w:t>
      </w:r>
      <w:r w:rsidR="00476CB0" w:rsidRPr="005516CD">
        <w:rPr>
          <w:rFonts w:asciiTheme="majorHAnsi" w:hAnsiTheme="majorHAnsi" w:cstheme="majorHAnsi"/>
          <w:color w:val="auto"/>
          <w:sz w:val="20"/>
          <w:szCs w:val="20"/>
          <w:lang w:val="en-GB"/>
        </w:rPr>
        <w:t xml:space="preserve">identification, </w:t>
      </w:r>
      <w:r w:rsidRPr="005516CD">
        <w:rPr>
          <w:rFonts w:asciiTheme="majorHAnsi" w:hAnsiTheme="majorHAnsi" w:cstheme="majorHAnsi"/>
          <w:color w:val="auto"/>
          <w:sz w:val="20"/>
          <w:szCs w:val="20"/>
          <w:lang w:val="en-GB"/>
        </w:rPr>
        <w:t xml:space="preserve">planning and </w:t>
      </w:r>
      <w:proofErr w:type="spellStart"/>
      <w:r w:rsidRPr="005516CD">
        <w:rPr>
          <w:rFonts w:asciiTheme="majorHAnsi" w:hAnsiTheme="majorHAnsi" w:cstheme="majorHAnsi"/>
          <w:color w:val="auto"/>
          <w:sz w:val="20"/>
          <w:szCs w:val="20"/>
          <w:lang w:val="en-GB"/>
        </w:rPr>
        <w:t>manaement</w:t>
      </w:r>
      <w:proofErr w:type="spellEnd"/>
      <w:r w:rsidRPr="005516CD">
        <w:rPr>
          <w:rFonts w:asciiTheme="majorHAnsi" w:hAnsiTheme="majorHAnsi" w:cstheme="majorHAnsi"/>
          <w:color w:val="auto"/>
          <w:sz w:val="20"/>
          <w:szCs w:val="20"/>
          <w:lang w:val="en-GB"/>
        </w:rPr>
        <w:t xml:space="preserve"> of new poles of development within a framework of territorial planning. The </w:t>
      </w:r>
      <w:r w:rsidRPr="005516CD">
        <w:rPr>
          <w:rFonts w:asciiTheme="majorHAnsi" w:hAnsiTheme="majorHAnsi" w:cstheme="majorHAnsi"/>
          <w:i/>
          <w:color w:val="auto"/>
          <w:sz w:val="20"/>
          <w:szCs w:val="20"/>
          <w:lang w:val="en-GB"/>
        </w:rPr>
        <w:t>environmental</w:t>
      </w:r>
      <w:r w:rsidRPr="005516CD">
        <w:rPr>
          <w:rFonts w:asciiTheme="majorHAnsi" w:hAnsiTheme="majorHAnsi" w:cstheme="majorHAnsi"/>
          <w:color w:val="auto"/>
          <w:sz w:val="20"/>
          <w:szCs w:val="20"/>
          <w:lang w:val="en-GB"/>
        </w:rPr>
        <w:t xml:space="preserve"> </w:t>
      </w:r>
      <w:r w:rsidR="00476CB0" w:rsidRPr="005516CD">
        <w:rPr>
          <w:rFonts w:asciiTheme="majorHAnsi" w:hAnsiTheme="majorHAnsi" w:cstheme="majorHAnsi"/>
          <w:i/>
          <w:iCs/>
          <w:color w:val="auto"/>
          <w:sz w:val="20"/>
          <w:szCs w:val="20"/>
          <w:lang w:val="en-GB"/>
        </w:rPr>
        <w:t xml:space="preserve">programme </w:t>
      </w:r>
      <w:r w:rsidRPr="005516CD">
        <w:rPr>
          <w:rFonts w:asciiTheme="majorHAnsi" w:hAnsiTheme="majorHAnsi" w:cstheme="majorHAnsi"/>
          <w:iCs/>
          <w:color w:val="auto"/>
          <w:sz w:val="20"/>
          <w:szCs w:val="20"/>
          <w:lang w:val="en-GB"/>
        </w:rPr>
        <w:t xml:space="preserve">focuses on the protection of the environment through a collection of oversight and normative measures, the establishment of a network of protected areas and the good management and </w:t>
      </w:r>
      <w:r w:rsidR="00476CB0" w:rsidRPr="005516CD">
        <w:rPr>
          <w:rFonts w:asciiTheme="majorHAnsi" w:hAnsiTheme="majorHAnsi" w:cstheme="majorHAnsi"/>
          <w:color w:val="auto"/>
          <w:sz w:val="20"/>
          <w:szCs w:val="20"/>
          <w:lang w:val="en-GB"/>
        </w:rPr>
        <w:t xml:space="preserve">utilisation </w:t>
      </w:r>
      <w:r w:rsidRPr="005516CD">
        <w:rPr>
          <w:rFonts w:asciiTheme="majorHAnsi" w:hAnsiTheme="majorHAnsi" w:cstheme="majorHAnsi"/>
          <w:color w:val="auto"/>
          <w:sz w:val="20"/>
          <w:szCs w:val="20"/>
          <w:lang w:val="en-GB"/>
        </w:rPr>
        <w:t>of forests</w:t>
      </w:r>
      <w:r w:rsidR="00476CB0" w:rsidRPr="005516CD">
        <w:rPr>
          <w:rFonts w:asciiTheme="majorHAnsi" w:hAnsiTheme="majorHAnsi" w:cstheme="majorHAnsi"/>
          <w:color w:val="auto"/>
          <w:sz w:val="20"/>
          <w:szCs w:val="20"/>
          <w:lang w:val="en-GB"/>
        </w:rPr>
        <w:t xml:space="preserve">. </w:t>
      </w:r>
    </w:p>
    <w:p w14:paraId="74141408" w14:textId="77777777" w:rsidR="00476CB0" w:rsidRPr="005516CD" w:rsidRDefault="007E2A3A" w:rsidP="006B27F4">
      <w:pPr>
        <w:pStyle w:val="Default"/>
        <w:numPr>
          <w:ilvl w:val="0"/>
          <w:numId w:val="10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ind w:left="714" w:hanging="357"/>
        <w:rPr>
          <w:rFonts w:asciiTheme="majorHAnsi" w:hAnsiTheme="majorHAnsi" w:cstheme="majorHAnsi"/>
          <w:color w:val="auto"/>
          <w:sz w:val="20"/>
          <w:szCs w:val="20"/>
          <w:lang w:val="en-GB"/>
        </w:rPr>
      </w:pPr>
      <w:r w:rsidRPr="005516CD">
        <w:rPr>
          <w:rFonts w:asciiTheme="majorHAnsi" w:hAnsiTheme="majorHAnsi" w:cstheme="majorHAnsi"/>
          <w:b/>
          <w:bCs/>
          <w:i/>
          <w:iCs/>
          <w:color w:val="auto"/>
          <w:sz w:val="20"/>
          <w:szCs w:val="20"/>
          <w:lang w:val="en-GB"/>
        </w:rPr>
        <w:t xml:space="preserve">Economic reestablishment: </w:t>
      </w:r>
      <w:r w:rsidRPr="005516CD">
        <w:rPr>
          <w:rFonts w:asciiTheme="majorHAnsi" w:hAnsiTheme="majorHAnsi" w:cstheme="majorHAnsi"/>
          <w:bCs/>
          <w:iCs/>
          <w:color w:val="auto"/>
          <w:sz w:val="20"/>
          <w:szCs w:val="20"/>
          <w:lang w:val="en-GB"/>
        </w:rPr>
        <w:t xml:space="preserve">the </w:t>
      </w:r>
      <w:r w:rsidRPr="005516CD">
        <w:rPr>
          <w:rFonts w:asciiTheme="majorHAnsi" w:hAnsiTheme="majorHAnsi" w:cstheme="majorHAnsi"/>
          <w:bCs/>
          <w:i/>
          <w:iCs/>
          <w:color w:val="auto"/>
          <w:sz w:val="20"/>
          <w:szCs w:val="20"/>
          <w:lang w:val="en-GB"/>
        </w:rPr>
        <w:t xml:space="preserve">agricultural and livestock modernisation programme </w:t>
      </w:r>
      <w:r w:rsidRPr="005516CD">
        <w:rPr>
          <w:rFonts w:asciiTheme="majorHAnsi" w:hAnsiTheme="majorHAnsi" w:cstheme="majorHAnsi"/>
          <w:bCs/>
          <w:iCs/>
          <w:color w:val="auto"/>
          <w:sz w:val="20"/>
          <w:szCs w:val="20"/>
          <w:lang w:val="en-GB"/>
        </w:rPr>
        <w:t xml:space="preserve">stresses the use of agricultural practices capable of protecting the environment, and </w:t>
      </w:r>
      <w:r w:rsidRPr="005516CD">
        <w:rPr>
          <w:rFonts w:asciiTheme="majorHAnsi" w:hAnsiTheme="majorHAnsi" w:cstheme="majorHAnsi"/>
          <w:color w:val="auto"/>
          <w:sz w:val="20"/>
          <w:szCs w:val="20"/>
          <w:lang w:val="en-GB"/>
        </w:rPr>
        <w:t xml:space="preserve">the </w:t>
      </w:r>
      <w:r w:rsidR="00476CB0" w:rsidRPr="005516CD">
        <w:rPr>
          <w:rFonts w:asciiTheme="majorHAnsi" w:hAnsiTheme="majorHAnsi" w:cstheme="majorHAnsi"/>
          <w:color w:val="auto"/>
          <w:sz w:val="20"/>
          <w:szCs w:val="20"/>
          <w:lang w:val="en-GB"/>
        </w:rPr>
        <w:t xml:space="preserve">construction </w:t>
      </w:r>
      <w:r w:rsidRPr="005516CD">
        <w:rPr>
          <w:rFonts w:asciiTheme="majorHAnsi" w:hAnsiTheme="majorHAnsi" w:cstheme="majorHAnsi"/>
          <w:color w:val="auto"/>
          <w:sz w:val="20"/>
          <w:szCs w:val="20"/>
          <w:lang w:val="en-GB"/>
        </w:rPr>
        <w:t xml:space="preserve">and bringing back into operation of </w:t>
      </w:r>
      <w:r w:rsidR="00476CB0" w:rsidRPr="005516CD">
        <w:rPr>
          <w:rFonts w:asciiTheme="majorHAnsi" w:hAnsiTheme="majorHAnsi" w:cstheme="majorHAnsi"/>
          <w:color w:val="auto"/>
          <w:sz w:val="20"/>
          <w:szCs w:val="20"/>
          <w:lang w:val="en-GB"/>
        </w:rPr>
        <w:t>irrigation</w:t>
      </w:r>
      <w:r w:rsidRPr="005516CD">
        <w:rPr>
          <w:rFonts w:asciiTheme="majorHAnsi" w:hAnsiTheme="majorHAnsi" w:cstheme="majorHAnsi"/>
          <w:color w:val="auto"/>
          <w:sz w:val="20"/>
          <w:szCs w:val="20"/>
          <w:lang w:val="en-GB"/>
        </w:rPr>
        <w:t xml:space="preserve"> systems</w:t>
      </w:r>
      <w:r w:rsidR="00476CB0" w:rsidRPr="005516CD">
        <w:rPr>
          <w:rFonts w:asciiTheme="majorHAnsi" w:hAnsiTheme="majorHAnsi" w:cstheme="majorHAnsi"/>
          <w:color w:val="auto"/>
          <w:sz w:val="20"/>
          <w:szCs w:val="20"/>
          <w:lang w:val="en-GB"/>
        </w:rPr>
        <w:t xml:space="preserve">. </w:t>
      </w:r>
      <w:r w:rsidRPr="005516CD">
        <w:rPr>
          <w:rFonts w:asciiTheme="majorHAnsi" w:hAnsiTheme="majorHAnsi" w:cstheme="majorHAnsi"/>
          <w:color w:val="auto"/>
          <w:sz w:val="20"/>
          <w:szCs w:val="20"/>
          <w:lang w:val="en-GB"/>
        </w:rPr>
        <w:t xml:space="preserve">The </w:t>
      </w:r>
      <w:r w:rsidRPr="005516CD">
        <w:rPr>
          <w:rFonts w:asciiTheme="majorHAnsi" w:hAnsiTheme="majorHAnsi" w:cstheme="majorHAnsi"/>
          <w:i/>
          <w:color w:val="auto"/>
          <w:sz w:val="20"/>
          <w:szCs w:val="20"/>
          <w:lang w:val="en-GB"/>
        </w:rPr>
        <w:t>fisheries sector modernisation programme</w:t>
      </w:r>
      <w:r w:rsidRPr="005516CD">
        <w:rPr>
          <w:rFonts w:asciiTheme="majorHAnsi" w:hAnsiTheme="majorHAnsi" w:cstheme="majorHAnsi"/>
          <w:color w:val="auto"/>
          <w:sz w:val="20"/>
          <w:szCs w:val="20"/>
          <w:lang w:val="en-GB"/>
        </w:rPr>
        <w:t xml:space="preserve"> emphasises resource </w:t>
      </w:r>
      <w:proofErr w:type="spellStart"/>
      <w:r w:rsidRPr="005516CD">
        <w:rPr>
          <w:rFonts w:asciiTheme="majorHAnsi" w:hAnsiTheme="majorHAnsi" w:cstheme="majorHAnsi"/>
          <w:color w:val="auto"/>
          <w:sz w:val="20"/>
          <w:szCs w:val="20"/>
          <w:lang w:val="en-GB"/>
        </w:rPr>
        <w:t>studie</w:t>
      </w:r>
      <w:proofErr w:type="spellEnd"/>
      <w:r w:rsidRPr="005516CD">
        <w:rPr>
          <w:rFonts w:asciiTheme="majorHAnsi" w:hAnsiTheme="majorHAnsi" w:cstheme="majorHAnsi"/>
          <w:color w:val="auto"/>
          <w:sz w:val="20"/>
          <w:szCs w:val="20"/>
          <w:lang w:val="en-GB"/>
        </w:rPr>
        <w:t xml:space="preserve"> and the promotion of </w:t>
      </w:r>
      <w:r w:rsidR="00476CB0" w:rsidRPr="005516CD">
        <w:rPr>
          <w:rFonts w:asciiTheme="majorHAnsi" w:hAnsiTheme="majorHAnsi" w:cstheme="majorHAnsi"/>
          <w:color w:val="auto"/>
          <w:sz w:val="20"/>
          <w:szCs w:val="20"/>
          <w:lang w:val="en-GB"/>
        </w:rPr>
        <w:t>aquaculture</w:t>
      </w:r>
      <w:r w:rsidRPr="005516CD">
        <w:rPr>
          <w:rFonts w:asciiTheme="majorHAnsi" w:hAnsiTheme="majorHAnsi" w:cstheme="majorHAnsi"/>
          <w:color w:val="auto"/>
          <w:sz w:val="20"/>
          <w:szCs w:val="20"/>
          <w:lang w:val="en-GB"/>
        </w:rPr>
        <w:t xml:space="preserve">, to supply national markets and ensure food security. </w:t>
      </w:r>
    </w:p>
    <w:p w14:paraId="41515DC8" w14:textId="77777777" w:rsidR="00476CB0" w:rsidRPr="005516CD" w:rsidRDefault="007E2A3A" w:rsidP="006B27F4">
      <w:pPr>
        <w:pStyle w:val="Default"/>
        <w:numPr>
          <w:ilvl w:val="0"/>
          <w:numId w:val="10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ind w:left="714" w:hanging="357"/>
        <w:rPr>
          <w:rFonts w:asciiTheme="majorHAnsi" w:hAnsiTheme="majorHAnsi" w:cstheme="majorHAnsi"/>
          <w:color w:val="auto"/>
          <w:sz w:val="20"/>
          <w:szCs w:val="20"/>
          <w:lang w:val="en-GB"/>
        </w:rPr>
      </w:pPr>
      <w:r w:rsidRPr="005516CD">
        <w:rPr>
          <w:rFonts w:asciiTheme="majorHAnsi" w:hAnsiTheme="majorHAnsi" w:cstheme="majorHAnsi"/>
          <w:b/>
          <w:bCs/>
          <w:i/>
          <w:iCs/>
          <w:color w:val="auto"/>
          <w:sz w:val="20"/>
          <w:szCs w:val="20"/>
          <w:lang w:val="en-GB"/>
        </w:rPr>
        <w:t>Social reestablishment</w:t>
      </w:r>
      <w:r w:rsidR="00476CB0" w:rsidRPr="005516CD">
        <w:rPr>
          <w:rFonts w:asciiTheme="majorHAnsi" w:hAnsiTheme="majorHAnsi" w:cstheme="majorHAnsi"/>
          <w:b/>
          <w:bCs/>
          <w:i/>
          <w:iCs/>
          <w:color w:val="auto"/>
          <w:sz w:val="20"/>
          <w:szCs w:val="20"/>
          <w:lang w:val="en-GB"/>
        </w:rPr>
        <w:t xml:space="preserve">: </w:t>
      </w:r>
      <w:r w:rsidRPr="005516CD">
        <w:rPr>
          <w:rFonts w:asciiTheme="majorHAnsi" w:hAnsiTheme="majorHAnsi" w:cstheme="majorHAnsi"/>
          <w:bCs/>
          <w:iCs/>
          <w:color w:val="auto"/>
          <w:sz w:val="20"/>
          <w:szCs w:val="20"/>
          <w:lang w:val="en-GB"/>
        </w:rPr>
        <w:t xml:space="preserve">this prioritises the creation of modern social and educational networks, the protection of cultural resources, the development of civic action, and the establishment of a gender equality programme.  </w:t>
      </w:r>
    </w:p>
    <w:p w14:paraId="6987AAA1" w14:textId="77777777" w:rsidR="00476CB0" w:rsidRPr="005516CD" w:rsidRDefault="007E2A3A" w:rsidP="006B27F4">
      <w:pPr>
        <w:pStyle w:val="Default"/>
        <w:numPr>
          <w:ilvl w:val="0"/>
          <w:numId w:val="10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after="120"/>
        <w:ind w:left="714" w:hanging="357"/>
        <w:rPr>
          <w:rFonts w:asciiTheme="majorHAnsi" w:hAnsiTheme="majorHAnsi" w:cstheme="majorHAnsi"/>
          <w:color w:val="auto"/>
          <w:sz w:val="20"/>
          <w:szCs w:val="20"/>
          <w:lang w:val="en-GB"/>
        </w:rPr>
      </w:pPr>
      <w:r w:rsidRPr="005516CD">
        <w:rPr>
          <w:rFonts w:asciiTheme="majorHAnsi" w:hAnsiTheme="majorHAnsi" w:cstheme="majorHAnsi"/>
          <w:b/>
          <w:bCs/>
          <w:i/>
          <w:iCs/>
          <w:color w:val="auto"/>
          <w:sz w:val="20"/>
          <w:szCs w:val="20"/>
          <w:lang w:val="en-GB"/>
        </w:rPr>
        <w:t>I</w:t>
      </w:r>
      <w:r w:rsidR="00476CB0" w:rsidRPr="005516CD">
        <w:rPr>
          <w:rFonts w:asciiTheme="majorHAnsi" w:hAnsiTheme="majorHAnsi" w:cstheme="majorHAnsi"/>
          <w:b/>
          <w:bCs/>
          <w:i/>
          <w:iCs/>
          <w:color w:val="auto"/>
          <w:sz w:val="20"/>
          <w:szCs w:val="20"/>
          <w:lang w:val="en-GB"/>
        </w:rPr>
        <w:t>nstitution</w:t>
      </w:r>
      <w:r w:rsidRPr="005516CD">
        <w:rPr>
          <w:rFonts w:asciiTheme="majorHAnsi" w:hAnsiTheme="majorHAnsi" w:cstheme="majorHAnsi"/>
          <w:b/>
          <w:bCs/>
          <w:i/>
          <w:iCs/>
          <w:color w:val="auto"/>
          <w:sz w:val="20"/>
          <w:szCs w:val="20"/>
          <w:lang w:val="en-GB"/>
        </w:rPr>
        <w:t>al reestablishment</w:t>
      </w:r>
      <w:r w:rsidR="00476CB0" w:rsidRPr="005516CD">
        <w:rPr>
          <w:rFonts w:asciiTheme="majorHAnsi" w:hAnsiTheme="majorHAnsi" w:cstheme="majorHAnsi"/>
          <w:b/>
          <w:bCs/>
          <w:i/>
          <w:iCs/>
          <w:color w:val="auto"/>
          <w:sz w:val="20"/>
          <w:szCs w:val="20"/>
          <w:lang w:val="en-GB"/>
        </w:rPr>
        <w:t xml:space="preserve">: </w:t>
      </w:r>
      <w:r w:rsidRPr="005516CD">
        <w:rPr>
          <w:rFonts w:asciiTheme="majorHAnsi" w:hAnsiTheme="majorHAnsi" w:cstheme="majorHAnsi"/>
          <w:bCs/>
          <w:iCs/>
          <w:color w:val="auto"/>
          <w:sz w:val="20"/>
          <w:szCs w:val="20"/>
          <w:lang w:val="en-GB"/>
        </w:rPr>
        <w:t>th</w:t>
      </w:r>
      <w:r w:rsidR="00EA558A" w:rsidRPr="005516CD">
        <w:rPr>
          <w:rFonts w:asciiTheme="majorHAnsi" w:hAnsiTheme="majorHAnsi" w:cstheme="majorHAnsi"/>
          <w:bCs/>
          <w:iCs/>
          <w:color w:val="auto"/>
          <w:sz w:val="20"/>
          <w:szCs w:val="20"/>
          <w:lang w:val="en-GB"/>
        </w:rPr>
        <w:t xml:space="preserve">is focuses on achieving </w:t>
      </w:r>
      <w:proofErr w:type="spellStart"/>
      <w:r w:rsidR="00EA558A" w:rsidRPr="005516CD">
        <w:rPr>
          <w:rFonts w:asciiTheme="majorHAnsi" w:hAnsiTheme="majorHAnsi" w:cstheme="majorHAnsi"/>
          <w:bCs/>
          <w:iCs/>
          <w:color w:val="auto"/>
          <w:sz w:val="20"/>
          <w:szCs w:val="20"/>
          <w:lang w:val="en-GB"/>
        </w:rPr>
        <w:t>deconcentration</w:t>
      </w:r>
      <w:proofErr w:type="spellEnd"/>
      <w:r w:rsidR="00EA558A" w:rsidRPr="005516CD">
        <w:rPr>
          <w:rFonts w:asciiTheme="majorHAnsi" w:hAnsiTheme="majorHAnsi" w:cstheme="majorHAnsi"/>
          <w:bCs/>
          <w:iCs/>
          <w:color w:val="auto"/>
          <w:sz w:val="20"/>
          <w:szCs w:val="20"/>
          <w:lang w:val="en-GB"/>
        </w:rPr>
        <w:t xml:space="preserve"> and </w:t>
      </w:r>
      <w:r w:rsidR="00476CB0" w:rsidRPr="005516CD">
        <w:rPr>
          <w:rFonts w:asciiTheme="majorHAnsi" w:hAnsiTheme="majorHAnsi" w:cstheme="majorHAnsi"/>
          <w:color w:val="auto"/>
          <w:sz w:val="20"/>
          <w:szCs w:val="20"/>
          <w:lang w:val="en-GB"/>
        </w:rPr>
        <w:t>d</w:t>
      </w:r>
      <w:r w:rsidR="00EA558A" w:rsidRPr="005516CD">
        <w:rPr>
          <w:rFonts w:asciiTheme="majorHAnsi" w:hAnsiTheme="majorHAnsi" w:cstheme="majorHAnsi"/>
          <w:color w:val="auto"/>
          <w:sz w:val="20"/>
          <w:szCs w:val="20"/>
          <w:lang w:val="en-GB"/>
        </w:rPr>
        <w:t>e</w:t>
      </w:r>
      <w:r w:rsidR="00476CB0" w:rsidRPr="005516CD">
        <w:rPr>
          <w:rFonts w:asciiTheme="majorHAnsi" w:hAnsiTheme="majorHAnsi" w:cstheme="majorHAnsi"/>
          <w:color w:val="auto"/>
          <w:sz w:val="20"/>
          <w:szCs w:val="20"/>
          <w:lang w:val="en-GB"/>
        </w:rPr>
        <w:t xml:space="preserve">centralisation du pays, </w:t>
      </w:r>
      <w:r w:rsidR="00EA558A" w:rsidRPr="005516CD">
        <w:rPr>
          <w:rFonts w:asciiTheme="majorHAnsi" w:hAnsiTheme="majorHAnsi" w:cstheme="majorHAnsi"/>
          <w:color w:val="auto"/>
          <w:sz w:val="20"/>
          <w:szCs w:val="20"/>
          <w:lang w:val="en-GB"/>
        </w:rPr>
        <w:t xml:space="preserve">reviewing judicial frameworks, </w:t>
      </w:r>
      <w:proofErr w:type="spellStart"/>
      <w:r w:rsidR="00EA558A" w:rsidRPr="005516CD">
        <w:rPr>
          <w:rFonts w:asciiTheme="majorHAnsi" w:hAnsiTheme="majorHAnsi" w:cstheme="majorHAnsi"/>
          <w:color w:val="auto"/>
          <w:sz w:val="20"/>
          <w:szCs w:val="20"/>
          <w:lang w:val="en-GB"/>
        </w:rPr>
        <w:t>strenthening</w:t>
      </w:r>
      <w:proofErr w:type="spellEnd"/>
      <w:r w:rsidR="00EA558A" w:rsidRPr="005516CD">
        <w:rPr>
          <w:rFonts w:asciiTheme="majorHAnsi" w:hAnsiTheme="majorHAnsi" w:cstheme="majorHAnsi"/>
          <w:color w:val="auto"/>
          <w:sz w:val="20"/>
          <w:szCs w:val="20"/>
          <w:lang w:val="en-GB"/>
        </w:rPr>
        <w:t xml:space="preserve"> legislative and judicial </w:t>
      </w:r>
      <w:r w:rsidR="00476CB0" w:rsidRPr="005516CD">
        <w:rPr>
          <w:rFonts w:asciiTheme="majorHAnsi" w:hAnsiTheme="majorHAnsi" w:cstheme="majorHAnsi"/>
          <w:color w:val="auto"/>
          <w:sz w:val="20"/>
          <w:szCs w:val="20"/>
          <w:lang w:val="en-GB"/>
        </w:rPr>
        <w:t xml:space="preserve">administrations </w:t>
      </w:r>
      <w:r w:rsidR="00EA558A" w:rsidRPr="005516CD">
        <w:rPr>
          <w:rFonts w:asciiTheme="majorHAnsi" w:hAnsiTheme="majorHAnsi" w:cstheme="majorHAnsi"/>
          <w:color w:val="auto"/>
          <w:sz w:val="20"/>
          <w:szCs w:val="20"/>
          <w:lang w:val="en-GB"/>
        </w:rPr>
        <w:t xml:space="preserve">as well as independent </w:t>
      </w:r>
      <w:r w:rsidR="00476CB0" w:rsidRPr="005516CD">
        <w:rPr>
          <w:rFonts w:asciiTheme="majorHAnsi" w:hAnsiTheme="majorHAnsi" w:cstheme="majorHAnsi"/>
          <w:color w:val="auto"/>
          <w:sz w:val="20"/>
          <w:szCs w:val="20"/>
          <w:lang w:val="en-GB"/>
        </w:rPr>
        <w:t xml:space="preserve">institutions </w:t>
      </w:r>
      <w:proofErr w:type="spellStart"/>
      <w:r w:rsidR="00476CB0" w:rsidRPr="005516CD">
        <w:rPr>
          <w:rFonts w:asciiTheme="majorHAnsi" w:hAnsiTheme="majorHAnsi" w:cstheme="majorHAnsi"/>
          <w:color w:val="auto"/>
          <w:sz w:val="20"/>
          <w:szCs w:val="20"/>
          <w:lang w:val="en-GB"/>
        </w:rPr>
        <w:t>indépendantes</w:t>
      </w:r>
      <w:proofErr w:type="spellEnd"/>
      <w:r w:rsidR="00476CB0" w:rsidRPr="005516CD">
        <w:rPr>
          <w:rFonts w:asciiTheme="majorHAnsi" w:hAnsiTheme="majorHAnsi" w:cstheme="majorHAnsi"/>
          <w:color w:val="auto"/>
          <w:sz w:val="20"/>
          <w:szCs w:val="20"/>
          <w:lang w:val="en-GB"/>
        </w:rPr>
        <w:t xml:space="preserve">, </w:t>
      </w:r>
      <w:r w:rsidR="00EA558A" w:rsidRPr="005516CD">
        <w:rPr>
          <w:rFonts w:asciiTheme="majorHAnsi" w:hAnsiTheme="majorHAnsi" w:cstheme="majorHAnsi"/>
          <w:color w:val="auto"/>
          <w:sz w:val="20"/>
          <w:szCs w:val="20"/>
          <w:lang w:val="en-GB"/>
        </w:rPr>
        <w:t xml:space="preserve">and </w:t>
      </w:r>
      <w:r w:rsidR="00476CB0" w:rsidRPr="005516CD">
        <w:rPr>
          <w:rFonts w:asciiTheme="majorHAnsi" w:hAnsiTheme="majorHAnsi" w:cstheme="majorHAnsi"/>
          <w:color w:val="auto"/>
          <w:sz w:val="20"/>
          <w:szCs w:val="20"/>
          <w:lang w:val="en-GB"/>
        </w:rPr>
        <w:t>consolid</w:t>
      </w:r>
      <w:r w:rsidR="00EA558A" w:rsidRPr="005516CD">
        <w:rPr>
          <w:rFonts w:asciiTheme="majorHAnsi" w:hAnsiTheme="majorHAnsi" w:cstheme="majorHAnsi"/>
          <w:color w:val="auto"/>
          <w:sz w:val="20"/>
          <w:szCs w:val="20"/>
          <w:lang w:val="en-GB"/>
        </w:rPr>
        <w:t xml:space="preserve">ating </w:t>
      </w:r>
      <w:r w:rsidR="00476CB0" w:rsidRPr="005516CD">
        <w:rPr>
          <w:rFonts w:asciiTheme="majorHAnsi" w:hAnsiTheme="majorHAnsi" w:cstheme="majorHAnsi"/>
          <w:color w:val="auto"/>
          <w:sz w:val="20"/>
          <w:szCs w:val="20"/>
          <w:lang w:val="en-GB"/>
        </w:rPr>
        <w:t>territorial</w:t>
      </w:r>
      <w:r w:rsidR="00EA558A" w:rsidRPr="005516CD">
        <w:rPr>
          <w:rFonts w:asciiTheme="majorHAnsi" w:hAnsiTheme="majorHAnsi" w:cstheme="majorHAnsi"/>
          <w:color w:val="auto"/>
          <w:sz w:val="20"/>
          <w:szCs w:val="20"/>
          <w:lang w:val="en-GB"/>
        </w:rPr>
        <w:t xml:space="preserve"> </w:t>
      </w:r>
      <w:proofErr w:type="spellStart"/>
      <w:r w:rsidR="00EA558A" w:rsidRPr="005516CD">
        <w:rPr>
          <w:rFonts w:asciiTheme="majorHAnsi" w:hAnsiTheme="majorHAnsi" w:cstheme="majorHAnsi"/>
          <w:color w:val="auto"/>
          <w:sz w:val="20"/>
          <w:szCs w:val="20"/>
          <w:lang w:val="en-GB"/>
        </w:rPr>
        <w:t>collectivities</w:t>
      </w:r>
      <w:proofErr w:type="spellEnd"/>
      <w:r w:rsidR="00EA558A" w:rsidRPr="005516CD">
        <w:rPr>
          <w:rFonts w:asciiTheme="majorHAnsi" w:hAnsiTheme="majorHAnsi" w:cstheme="majorHAnsi"/>
          <w:color w:val="auto"/>
          <w:sz w:val="20"/>
          <w:szCs w:val="20"/>
          <w:lang w:val="en-GB"/>
        </w:rPr>
        <w:t xml:space="preserve"> and civil society</w:t>
      </w:r>
      <w:r w:rsidR="00476CB0" w:rsidRPr="005516CD">
        <w:rPr>
          <w:rFonts w:asciiTheme="majorHAnsi" w:hAnsiTheme="majorHAnsi" w:cstheme="majorHAnsi"/>
          <w:color w:val="auto"/>
          <w:sz w:val="20"/>
          <w:szCs w:val="20"/>
          <w:lang w:val="en-GB"/>
        </w:rPr>
        <w:t xml:space="preserve">. </w:t>
      </w:r>
    </w:p>
    <w:p w14:paraId="14A9CEB0" w14:textId="77777777" w:rsidR="00476CB0" w:rsidRPr="005516CD" w:rsidRDefault="00EA558A" w:rsidP="00EA558A">
      <w:pPr>
        <w:pStyle w:val="Heading7"/>
        <w:spacing w:before="0"/>
        <w:ind w:left="0"/>
        <w:rPr>
          <w:rFonts w:asciiTheme="majorHAnsi" w:hAnsiTheme="majorHAnsi" w:cstheme="majorHAnsi"/>
          <w:i/>
        </w:rPr>
      </w:pPr>
      <w:r w:rsidRPr="005516CD">
        <w:rPr>
          <w:rFonts w:asciiTheme="majorHAnsi" w:hAnsiTheme="majorHAnsi" w:cstheme="majorHAnsi"/>
          <w:i/>
        </w:rPr>
        <w:t>National Action Plan for the Environment (</w:t>
      </w:r>
      <w:r w:rsidR="00AE718A">
        <w:rPr>
          <w:rFonts w:asciiTheme="majorHAnsi" w:hAnsiTheme="majorHAnsi" w:cstheme="majorHAnsi"/>
          <w:i/>
        </w:rPr>
        <w:t>NAPE</w:t>
      </w:r>
      <w:r w:rsidR="00476CB0" w:rsidRPr="005516CD">
        <w:rPr>
          <w:rFonts w:asciiTheme="majorHAnsi" w:hAnsiTheme="majorHAnsi" w:cstheme="majorHAnsi"/>
          <w:i/>
        </w:rPr>
        <w:t xml:space="preserve">) </w:t>
      </w:r>
      <w:r w:rsidRPr="005516CD">
        <w:rPr>
          <w:rFonts w:asciiTheme="majorHAnsi" w:hAnsiTheme="majorHAnsi" w:cstheme="majorHAnsi"/>
          <w:i/>
        </w:rPr>
        <w:t>and Triannual I</w:t>
      </w:r>
      <w:r w:rsidR="00476CB0" w:rsidRPr="005516CD">
        <w:rPr>
          <w:rFonts w:asciiTheme="majorHAnsi" w:hAnsiTheme="majorHAnsi" w:cstheme="majorHAnsi"/>
          <w:i/>
        </w:rPr>
        <w:t xml:space="preserve">ntervention </w:t>
      </w:r>
      <w:r w:rsidRPr="005516CD">
        <w:rPr>
          <w:rFonts w:asciiTheme="majorHAnsi" w:hAnsiTheme="majorHAnsi" w:cstheme="majorHAnsi"/>
          <w:i/>
        </w:rPr>
        <w:t>Plan for the Sector</w:t>
      </w:r>
    </w:p>
    <w:p w14:paraId="516AF480" w14:textId="77777777" w:rsidR="00476CB0" w:rsidRPr="005516CD" w:rsidRDefault="00EA558A"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objectives of the </w:t>
      </w:r>
      <w:r w:rsidR="00AE718A">
        <w:rPr>
          <w:rFonts w:asciiTheme="majorHAnsi" w:hAnsiTheme="majorHAnsi" w:cstheme="majorHAnsi"/>
          <w:sz w:val="20"/>
          <w:szCs w:val="20"/>
        </w:rPr>
        <w:t>NAPE</w:t>
      </w:r>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are to </w:t>
      </w:r>
      <w:proofErr w:type="spellStart"/>
      <w:r w:rsidR="00476CB0" w:rsidRPr="005516CD">
        <w:rPr>
          <w:rFonts w:asciiTheme="majorHAnsi" w:hAnsiTheme="majorHAnsi" w:cstheme="majorHAnsi"/>
          <w:sz w:val="20"/>
          <w:szCs w:val="20"/>
        </w:rPr>
        <w:t>i</w:t>
      </w:r>
      <w:proofErr w:type="spellEnd"/>
      <w:r w:rsidR="00476CB0" w:rsidRPr="005516CD">
        <w:rPr>
          <w:rFonts w:asciiTheme="majorHAnsi" w:hAnsiTheme="majorHAnsi" w:cstheme="majorHAnsi"/>
          <w:sz w:val="20"/>
          <w:szCs w:val="20"/>
        </w:rPr>
        <w:t>) re</w:t>
      </w:r>
      <w:r w:rsidRPr="005516CD">
        <w:rPr>
          <w:rFonts w:asciiTheme="majorHAnsi" w:hAnsiTheme="majorHAnsi" w:cstheme="majorHAnsi"/>
          <w:sz w:val="20"/>
          <w:szCs w:val="20"/>
        </w:rPr>
        <w:t>i</w:t>
      </w:r>
      <w:r w:rsidR="00476CB0" w:rsidRPr="005516CD">
        <w:rPr>
          <w:rFonts w:asciiTheme="majorHAnsi" w:hAnsiTheme="majorHAnsi" w:cstheme="majorHAnsi"/>
          <w:sz w:val="20"/>
          <w:szCs w:val="20"/>
        </w:rPr>
        <w:t>nforce</w:t>
      </w:r>
      <w:r w:rsidRPr="005516CD">
        <w:rPr>
          <w:rFonts w:asciiTheme="majorHAnsi" w:hAnsiTheme="majorHAnsi" w:cstheme="majorHAnsi"/>
          <w:sz w:val="20"/>
          <w:szCs w:val="20"/>
        </w:rPr>
        <w:t xml:space="preserve"> and </w:t>
      </w:r>
      <w:r w:rsidR="00476CB0" w:rsidRPr="005516CD">
        <w:rPr>
          <w:rFonts w:asciiTheme="majorHAnsi" w:hAnsiTheme="majorHAnsi" w:cstheme="majorHAnsi"/>
          <w:sz w:val="20"/>
          <w:szCs w:val="20"/>
        </w:rPr>
        <w:t>rationalis</w:t>
      </w:r>
      <w:r w:rsidRPr="005516CD">
        <w:rPr>
          <w:rFonts w:asciiTheme="majorHAnsi" w:hAnsiTheme="majorHAnsi" w:cstheme="majorHAnsi"/>
          <w:sz w:val="20"/>
          <w:szCs w:val="20"/>
        </w:rPr>
        <w:t xml:space="preserve">e the management of the </w:t>
      </w:r>
      <w:r w:rsidR="00476CB0" w:rsidRPr="005516CD">
        <w:rPr>
          <w:rFonts w:asciiTheme="majorHAnsi" w:hAnsiTheme="majorHAnsi" w:cstheme="majorHAnsi"/>
          <w:sz w:val="20"/>
          <w:szCs w:val="20"/>
        </w:rPr>
        <w:t xml:space="preserve">environment; ii) </w:t>
      </w:r>
      <w:proofErr w:type="spellStart"/>
      <w:r w:rsidR="00476CB0" w:rsidRPr="005516CD">
        <w:rPr>
          <w:rFonts w:asciiTheme="majorHAnsi" w:hAnsiTheme="majorHAnsi" w:cstheme="majorHAnsi"/>
          <w:sz w:val="20"/>
          <w:szCs w:val="20"/>
        </w:rPr>
        <w:t>r</w:t>
      </w:r>
      <w:r w:rsidRPr="005516CD">
        <w:rPr>
          <w:rFonts w:asciiTheme="majorHAnsi" w:hAnsiTheme="majorHAnsi" w:cstheme="majorHAnsi"/>
          <w:sz w:val="20"/>
          <w:szCs w:val="20"/>
        </w:rPr>
        <w:t>eest</w:t>
      </w:r>
      <w:r w:rsidR="00476CB0" w:rsidRPr="005516CD">
        <w:rPr>
          <w:rFonts w:asciiTheme="majorHAnsi" w:hAnsiTheme="majorHAnsi" w:cstheme="majorHAnsi"/>
          <w:sz w:val="20"/>
          <w:szCs w:val="20"/>
        </w:rPr>
        <w:t>abli</w:t>
      </w:r>
      <w:r w:rsidRPr="005516CD">
        <w:rPr>
          <w:rFonts w:asciiTheme="majorHAnsi" w:hAnsiTheme="majorHAnsi" w:cstheme="majorHAnsi"/>
          <w:sz w:val="20"/>
          <w:szCs w:val="20"/>
        </w:rPr>
        <w:t>sh</w:t>
      </w:r>
      <w:proofErr w:type="spellEnd"/>
      <w:r w:rsidRPr="005516CD">
        <w:rPr>
          <w:rFonts w:asciiTheme="majorHAnsi" w:hAnsiTheme="majorHAnsi" w:cstheme="majorHAnsi"/>
          <w:sz w:val="20"/>
          <w:szCs w:val="20"/>
        </w:rPr>
        <w:t xml:space="preserve"> the ecological equilibrium of watersheds through the implementation of management norms and best practices</w:t>
      </w:r>
      <w:r w:rsidR="00476CB0" w:rsidRPr="005516CD">
        <w:rPr>
          <w:rFonts w:asciiTheme="majorHAnsi" w:hAnsiTheme="majorHAnsi" w:cstheme="majorHAnsi"/>
          <w:sz w:val="20"/>
          <w:szCs w:val="20"/>
        </w:rPr>
        <w:t xml:space="preserve">; iii) </w:t>
      </w:r>
      <w:r w:rsidRPr="005516CD">
        <w:rPr>
          <w:rFonts w:asciiTheme="majorHAnsi" w:hAnsiTheme="majorHAnsi" w:cstheme="majorHAnsi"/>
          <w:sz w:val="20"/>
          <w:szCs w:val="20"/>
        </w:rPr>
        <w:t xml:space="preserve">improve quality of life through improved management of </w:t>
      </w:r>
      <w:proofErr w:type="spellStart"/>
      <w:r w:rsidRPr="005516CD">
        <w:rPr>
          <w:rFonts w:asciiTheme="majorHAnsi" w:hAnsiTheme="majorHAnsi" w:cstheme="majorHAnsi"/>
          <w:sz w:val="20"/>
          <w:szCs w:val="20"/>
        </w:rPr>
        <w:t>urnam</w:t>
      </w:r>
      <w:proofErr w:type="spellEnd"/>
      <w:r w:rsidRPr="005516CD">
        <w:rPr>
          <w:rFonts w:asciiTheme="majorHAnsi" w:hAnsiTheme="majorHAnsi" w:cstheme="majorHAnsi"/>
          <w:sz w:val="20"/>
          <w:szCs w:val="20"/>
        </w:rPr>
        <w:t xml:space="preserve"> and rural areas</w:t>
      </w:r>
      <w:r w:rsidR="00476CB0" w:rsidRPr="005516CD">
        <w:rPr>
          <w:rFonts w:asciiTheme="majorHAnsi" w:hAnsiTheme="majorHAnsi" w:cstheme="majorHAnsi"/>
          <w:sz w:val="20"/>
          <w:szCs w:val="20"/>
        </w:rPr>
        <w:t xml:space="preserve">, </w:t>
      </w:r>
      <w:r w:rsidR="00790BB5" w:rsidRPr="005516CD">
        <w:rPr>
          <w:rFonts w:asciiTheme="majorHAnsi" w:hAnsiTheme="majorHAnsi" w:cstheme="majorHAnsi"/>
          <w:sz w:val="20"/>
          <w:szCs w:val="20"/>
        </w:rPr>
        <w:t xml:space="preserve">and the valuation of the </w:t>
      </w:r>
      <w:r w:rsidR="00476CB0" w:rsidRPr="005516CD">
        <w:rPr>
          <w:rFonts w:asciiTheme="majorHAnsi" w:hAnsiTheme="majorHAnsi" w:cstheme="majorHAnsi"/>
          <w:sz w:val="20"/>
          <w:szCs w:val="20"/>
        </w:rPr>
        <w:t xml:space="preserve">conservation </w:t>
      </w:r>
      <w:r w:rsidR="00790BB5" w:rsidRPr="005516CD">
        <w:rPr>
          <w:rFonts w:asciiTheme="majorHAnsi" w:hAnsiTheme="majorHAnsi" w:cstheme="majorHAnsi"/>
          <w:sz w:val="20"/>
          <w:szCs w:val="20"/>
        </w:rPr>
        <w:t>of natural and cultural heritage</w:t>
      </w:r>
      <w:r w:rsidR="00476CB0" w:rsidRPr="005516CD">
        <w:rPr>
          <w:rFonts w:asciiTheme="majorHAnsi" w:hAnsiTheme="majorHAnsi" w:cstheme="majorHAnsi"/>
          <w:sz w:val="20"/>
          <w:szCs w:val="20"/>
        </w:rPr>
        <w:t>; iv) propose</w:t>
      </w:r>
      <w:r w:rsidR="00790BB5" w:rsidRPr="005516CD">
        <w:rPr>
          <w:rFonts w:asciiTheme="majorHAnsi" w:hAnsiTheme="majorHAnsi" w:cstheme="majorHAnsi"/>
          <w:sz w:val="20"/>
          <w:szCs w:val="20"/>
        </w:rPr>
        <w:t xml:space="preserve"> a framework for improving the coherence of </w:t>
      </w:r>
      <w:r w:rsidR="00476CB0" w:rsidRPr="005516CD">
        <w:rPr>
          <w:rFonts w:asciiTheme="majorHAnsi" w:hAnsiTheme="majorHAnsi" w:cstheme="majorHAnsi"/>
          <w:sz w:val="20"/>
          <w:szCs w:val="20"/>
        </w:rPr>
        <w:t>diff</w:t>
      </w:r>
      <w:r w:rsidR="00790BB5" w:rsidRPr="005516CD">
        <w:rPr>
          <w:rFonts w:asciiTheme="majorHAnsi" w:hAnsiTheme="majorHAnsi" w:cstheme="majorHAnsi"/>
          <w:sz w:val="20"/>
          <w:szCs w:val="20"/>
        </w:rPr>
        <w:t>e</w:t>
      </w:r>
      <w:r w:rsidR="00476CB0" w:rsidRPr="005516CD">
        <w:rPr>
          <w:rFonts w:asciiTheme="majorHAnsi" w:hAnsiTheme="majorHAnsi" w:cstheme="majorHAnsi"/>
          <w:sz w:val="20"/>
          <w:szCs w:val="20"/>
        </w:rPr>
        <w:t>rent</w:t>
      </w:r>
      <w:r w:rsidR="00790BB5" w:rsidRPr="005516CD">
        <w:rPr>
          <w:rFonts w:asciiTheme="majorHAnsi" w:hAnsiTheme="majorHAnsi" w:cstheme="majorHAnsi"/>
          <w:sz w:val="20"/>
          <w:szCs w:val="20"/>
        </w:rPr>
        <w:t xml:space="preserve"> environmental action plans and programmes</w:t>
      </w:r>
      <w:r w:rsidR="00476CB0" w:rsidRPr="005516CD">
        <w:rPr>
          <w:rFonts w:asciiTheme="majorHAnsi" w:hAnsiTheme="majorHAnsi" w:cstheme="majorHAnsi"/>
          <w:sz w:val="20"/>
          <w:szCs w:val="20"/>
        </w:rPr>
        <w:t xml:space="preserve">. </w:t>
      </w:r>
      <w:r w:rsidR="00790BB5" w:rsidRPr="005516CD">
        <w:rPr>
          <w:rFonts w:asciiTheme="majorHAnsi" w:hAnsiTheme="majorHAnsi" w:cstheme="majorHAnsi"/>
          <w:sz w:val="20"/>
          <w:szCs w:val="20"/>
        </w:rPr>
        <w:t xml:space="preserve">Over the period </w:t>
      </w:r>
      <w:r w:rsidR="00476CB0" w:rsidRPr="005516CD">
        <w:rPr>
          <w:rFonts w:asciiTheme="majorHAnsi" w:hAnsiTheme="majorHAnsi" w:cstheme="majorHAnsi"/>
          <w:sz w:val="20"/>
          <w:szCs w:val="20"/>
        </w:rPr>
        <w:t>2000</w:t>
      </w:r>
      <w:r w:rsidR="00790BB5" w:rsidRPr="005516CD">
        <w:rPr>
          <w:rFonts w:asciiTheme="majorHAnsi" w:hAnsiTheme="majorHAnsi" w:cstheme="majorHAnsi"/>
          <w:sz w:val="20"/>
          <w:szCs w:val="20"/>
        </w:rPr>
        <w:t>-</w:t>
      </w:r>
      <w:r w:rsidR="00476CB0" w:rsidRPr="005516CD">
        <w:rPr>
          <w:rFonts w:asciiTheme="majorHAnsi" w:hAnsiTheme="majorHAnsi" w:cstheme="majorHAnsi"/>
          <w:sz w:val="20"/>
          <w:szCs w:val="20"/>
        </w:rPr>
        <w:t>2015</w:t>
      </w:r>
      <w:r w:rsidR="00790BB5" w:rsidRPr="005516CD">
        <w:rPr>
          <w:rFonts w:asciiTheme="majorHAnsi" w:hAnsiTheme="majorHAnsi" w:cstheme="majorHAnsi"/>
          <w:sz w:val="20"/>
          <w:szCs w:val="20"/>
        </w:rPr>
        <w:t xml:space="preserve">, </w:t>
      </w:r>
      <w:r w:rsidR="00AE718A">
        <w:rPr>
          <w:rFonts w:asciiTheme="majorHAnsi" w:hAnsiTheme="majorHAnsi" w:cstheme="majorHAnsi"/>
          <w:sz w:val="20"/>
          <w:szCs w:val="20"/>
        </w:rPr>
        <w:t>NAPE</w:t>
      </w:r>
      <w:r w:rsidR="00476CB0" w:rsidRPr="005516CD">
        <w:rPr>
          <w:rFonts w:asciiTheme="majorHAnsi" w:hAnsiTheme="majorHAnsi" w:cstheme="majorHAnsi"/>
          <w:sz w:val="20"/>
          <w:szCs w:val="20"/>
        </w:rPr>
        <w:t xml:space="preserve"> </w:t>
      </w:r>
      <w:r w:rsidR="00790BB5" w:rsidRPr="005516CD">
        <w:rPr>
          <w:rFonts w:asciiTheme="majorHAnsi" w:hAnsiTheme="majorHAnsi" w:cstheme="majorHAnsi"/>
          <w:sz w:val="20"/>
          <w:szCs w:val="20"/>
        </w:rPr>
        <w:t>was working on the following programmes</w:t>
      </w:r>
      <w:r w:rsidR="00476CB0" w:rsidRPr="005516CD">
        <w:rPr>
          <w:rFonts w:asciiTheme="majorHAnsi" w:hAnsiTheme="majorHAnsi" w:cstheme="majorHAnsi"/>
          <w:sz w:val="20"/>
          <w:szCs w:val="20"/>
        </w:rPr>
        <w:t xml:space="preserve">: </w:t>
      </w:r>
      <w:r w:rsidR="00790BB5" w:rsidRPr="005516CD">
        <w:rPr>
          <w:rFonts w:asciiTheme="majorHAnsi" w:hAnsiTheme="majorHAnsi" w:cstheme="majorHAnsi"/>
          <w:sz w:val="20"/>
          <w:szCs w:val="20"/>
        </w:rPr>
        <w:t>strengthening of institutional capacities for environmental management and different governance levels; energy and sustainable development; i</w:t>
      </w:r>
      <w:r w:rsidR="00476CB0" w:rsidRPr="005516CD">
        <w:rPr>
          <w:rFonts w:asciiTheme="majorHAnsi" w:hAnsiTheme="majorHAnsi" w:cstheme="majorHAnsi"/>
          <w:sz w:val="20"/>
          <w:szCs w:val="20"/>
        </w:rPr>
        <w:t xml:space="preserve">nformation, </w:t>
      </w:r>
      <w:r w:rsidR="00790BB5" w:rsidRPr="005516CD">
        <w:rPr>
          <w:rFonts w:asciiTheme="majorHAnsi" w:hAnsiTheme="majorHAnsi" w:cstheme="majorHAnsi"/>
          <w:sz w:val="20"/>
          <w:szCs w:val="20"/>
        </w:rPr>
        <w:t>e</w:t>
      </w:r>
      <w:r w:rsidR="00476CB0" w:rsidRPr="005516CD">
        <w:rPr>
          <w:rFonts w:asciiTheme="majorHAnsi" w:hAnsiTheme="majorHAnsi" w:cstheme="majorHAnsi"/>
          <w:sz w:val="20"/>
          <w:szCs w:val="20"/>
        </w:rPr>
        <w:t xml:space="preserve">ducation </w:t>
      </w:r>
      <w:r w:rsidR="00790BB5" w:rsidRPr="005516CD">
        <w:rPr>
          <w:rFonts w:asciiTheme="majorHAnsi" w:hAnsiTheme="majorHAnsi" w:cstheme="majorHAnsi"/>
          <w:sz w:val="20"/>
          <w:szCs w:val="20"/>
        </w:rPr>
        <w:t xml:space="preserve">and training on the </w:t>
      </w:r>
      <w:r w:rsidR="00476CB0" w:rsidRPr="005516CD">
        <w:rPr>
          <w:rFonts w:asciiTheme="majorHAnsi" w:hAnsiTheme="majorHAnsi" w:cstheme="majorHAnsi"/>
          <w:sz w:val="20"/>
          <w:szCs w:val="20"/>
        </w:rPr>
        <w:t xml:space="preserve">environment; </w:t>
      </w:r>
      <w:r w:rsidR="00790BB5" w:rsidRPr="005516CD">
        <w:rPr>
          <w:rFonts w:asciiTheme="majorHAnsi" w:hAnsiTheme="majorHAnsi" w:cstheme="majorHAnsi"/>
          <w:sz w:val="20"/>
          <w:szCs w:val="20"/>
        </w:rPr>
        <w:t>c</w:t>
      </w:r>
      <w:r w:rsidR="00476CB0" w:rsidRPr="005516CD">
        <w:rPr>
          <w:rFonts w:asciiTheme="majorHAnsi" w:hAnsiTheme="majorHAnsi" w:cstheme="majorHAnsi"/>
          <w:sz w:val="20"/>
          <w:szCs w:val="20"/>
        </w:rPr>
        <w:t xml:space="preserve">onservation </w:t>
      </w:r>
      <w:r w:rsidR="00790BB5" w:rsidRPr="005516CD">
        <w:rPr>
          <w:rFonts w:asciiTheme="majorHAnsi" w:hAnsiTheme="majorHAnsi" w:cstheme="majorHAnsi"/>
          <w:sz w:val="20"/>
          <w:szCs w:val="20"/>
        </w:rPr>
        <w:t xml:space="preserve">and sustainable use of </w:t>
      </w:r>
      <w:r w:rsidR="00476CB0" w:rsidRPr="005516CD">
        <w:rPr>
          <w:rFonts w:asciiTheme="majorHAnsi" w:hAnsiTheme="majorHAnsi" w:cstheme="majorHAnsi"/>
          <w:sz w:val="20"/>
          <w:szCs w:val="20"/>
        </w:rPr>
        <w:t>biodiversit</w:t>
      </w:r>
      <w:r w:rsidR="00790BB5" w:rsidRPr="005516CD">
        <w:rPr>
          <w:rFonts w:asciiTheme="majorHAnsi" w:hAnsiTheme="majorHAnsi" w:cstheme="majorHAnsi"/>
          <w:sz w:val="20"/>
          <w:szCs w:val="20"/>
        </w:rPr>
        <w:t>y</w:t>
      </w:r>
      <w:r w:rsidR="00476CB0" w:rsidRPr="005516CD">
        <w:rPr>
          <w:rFonts w:asciiTheme="majorHAnsi" w:hAnsiTheme="majorHAnsi" w:cstheme="majorHAnsi"/>
          <w:sz w:val="20"/>
          <w:szCs w:val="20"/>
        </w:rPr>
        <w:t xml:space="preserve">; </w:t>
      </w:r>
      <w:r w:rsidR="00790BB5" w:rsidRPr="005516CD">
        <w:rPr>
          <w:rFonts w:asciiTheme="majorHAnsi" w:hAnsiTheme="majorHAnsi" w:cstheme="majorHAnsi"/>
          <w:sz w:val="20"/>
          <w:szCs w:val="20"/>
        </w:rPr>
        <w:t>management of strategic watersheds</w:t>
      </w:r>
      <w:r w:rsidR="00476CB0" w:rsidRPr="005516CD">
        <w:rPr>
          <w:rFonts w:asciiTheme="majorHAnsi" w:hAnsiTheme="majorHAnsi" w:cstheme="majorHAnsi"/>
          <w:sz w:val="20"/>
          <w:szCs w:val="20"/>
        </w:rPr>
        <w:t xml:space="preserve">; </w:t>
      </w:r>
      <w:r w:rsidR="00790BB5" w:rsidRPr="005516CD">
        <w:rPr>
          <w:rFonts w:asciiTheme="majorHAnsi" w:hAnsiTheme="majorHAnsi" w:cstheme="majorHAnsi"/>
          <w:sz w:val="20"/>
          <w:szCs w:val="20"/>
        </w:rPr>
        <w:t>integrated management of coastal and marine zones</w:t>
      </w:r>
      <w:r w:rsidR="00476CB0" w:rsidRPr="005516CD">
        <w:rPr>
          <w:rFonts w:asciiTheme="majorHAnsi" w:hAnsiTheme="majorHAnsi" w:cstheme="majorHAnsi"/>
          <w:sz w:val="20"/>
          <w:szCs w:val="20"/>
        </w:rPr>
        <w:t xml:space="preserve">; </w:t>
      </w:r>
      <w:r w:rsidR="00790BB5" w:rsidRPr="005516CD">
        <w:rPr>
          <w:rFonts w:asciiTheme="majorHAnsi" w:hAnsiTheme="majorHAnsi" w:cstheme="majorHAnsi"/>
          <w:sz w:val="20"/>
          <w:szCs w:val="20"/>
        </w:rPr>
        <w:t>management of the risks of natural catastrophes</w:t>
      </w:r>
      <w:r w:rsidR="00476CB0" w:rsidRPr="005516CD">
        <w:rPr>
          <w:rFonts w:asciiTheme="majorHAnsi" w:hAnsiTheme="majorHAnsi" w:cstheme="majorHAnsi"/>
          <w:sz w:val="20"/>
          <w:szCs w:val="20"/>
        </w:rPr>
        <w:t xml:space="preserve">; </w:t>
      </w:r>
      <w:r w:rsidR="00790BB5" w:rsidRPr="005516CD">
        <w:rPr>
          <w:rFonts w:asciiTheme="majorHAnsi" w:hAnsiTheme="majorHAnsi" w:cstheme="majorHAnsi"/>
          <w:sz w:val="20"/>
          <w:szCs w:val="20"/>
        </w:rPr>
        <w:t>environmental health</w:t>
      </w:r>
      <w:r w:rsidR="00476CB0" w:rsidRPr="005516CD">
        <w:rPr>
          <w:rFonts w:asciiTheme="majorHAnsi" w:hAnsiTheme="majorHAnsi" w:cstheme="majorHAnsi"/>
          <w:sz w:val="20"/>
          <w:szCs w:val="20"/>
        </w:rPr>
        <w:t xml:space="preserve">; </w:t>
      </w:r>
      <w:r w:rsidR="00790BB5" w:rsidRPr="005516CD">
        <w:rPr>
          <w:rFonts w:asciiTheme="majorHAnsi" w:hAnsiTheme="majorHAnsi" w:cstheme="majorHAnsi"/>
          <w:sz w:val="20"/>
          <w:szCs w:val="20"/>
        </w:rPr>
        <w:t>rational management of mines and quarries</w:t>
      </w:r>
      <w:r w:rsidR="00476CB0" w:rsidRPr="005516CD">
        <w:rPr>
          <w:rFonts w:asciiTheme="majorHAnsi" w:hAnsiTheme="majorHAnsi" w:cstheme="majorHAnsi"/>
          <w:sz w:val="20"/>
          <w:szCs w:val="20"/>
        </w:rPr>
        <w:t xml:space="preserve">; </w:t>
      </w:r>
      <w:r w:rsidR="00790BB5" w:rsidRPr="005516CD">
        <w:rPr>
          <w:rFonts w:asciiTheme="majorHAnsi" w:hAnsiTheme="majorHAnsi" w:cstheme="majorHAnsi"/>
          <w:sz w:val="20"/>
          <w:szCs w:val="20"/>
        </w:rPr>
        <w:t>support to activities linked to sustainable development.</w:t>
      </w:r>
      <w:r w:rsidR="00476CB0" w:rsidRPr="005516CD">
        <w:rPr>
          <w:rFonts w:asciiTheme="majorHAnsi" w:hAnsiTheme="majorHAnsi" w:cstheme="majorHAnsi"/>
          <w:sz w:val="20"/>
          <w:szCs w:val="20"/>
        </w:rPr>
        <w:t xml:space="preserve"> </w:t>
      </w:r>
    </w:p>
    <w:p w14:paraId="0F32C60B" w14:textId="77777777" w:rsidR="00476CB0" w:rsidRPr="005516CD" w:rsidRDefault="002505A2"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Three of the four areas of action of the Triennial Plan relate to climate change: </w:t>
      </w:r>
      <w:r w:rsidR="00476CB0" w:rsidRPr="005516CD">
        <w:rPr>
          <w:rFonts w:asciiTheme="majorHAnsi" w:hAnsiTheme="majorHAnsi" w:cstheme="majorHAnsi"/>
          <w:sz w:val="20"/>
          <w:szCs w:val="20"/>
        </w:rPr>
        <w:t xml:space="preserve">1) </w:t>
      </w:r>
      <w:r w:rsidRPr="005516CD">
        <w:rPr>
          <w:rFonts w:asciiTheme="majorHAnsi" w:hAnsiTheme="majorHAnsi" w:cstheme="majorHAnsi"/>
          <w:sz w:val="20"/>
          <w:szCs w:val="20"/>
        </w:rPr>
        <w:t xml:space="preserve">Risk reduction, through </w:t>
      </w:r>
      <w:r w:rsidR="00476CB0" w:rsidRPr="005516CD">
        <w:rPr>
          <w:rFonts w:asciiTheme="majorHAnsi" w:hAnsiTheme="majorHAnsi" w:cstheme="majorHAnsi"/>
          <w:sz w:val="20"/>
          <w:szCs w:val="20"/>
        </w:rPr>
        <w:t xml:space="preserve">reforestation, </w:t>
      </w:r>
      <w:r w:rsidRPr="005516CD">
        <w:rPr>
          <w:rFonts w:asciiTheme="majorHAnsi" w:hAnsiTheme="majorHAnsi" w:cstheme="majorHAnsi"/>
          <w:sz w:val="20"/>
          <w:szCs w:val="20"/>
        </w:rPr>
        <w:t>and integrated management of watersheds and coa</w:t>
      </w:r>
      <w:r w:rsidR="000572D9" w:rsidRPr="005516CD">
        <w:rPr>
          <w:rFonts w:asciiTheme="majorHAnsi" w:hAnsiTheme="majorHAnsi" w:cstheme="majorHAnsi"/>
          <w:sz w:val="20"/>
          <w:szCs w:val="20"/>
        </w:rPr>
        <w:t>stal zones</w:t>
      </w:r>
      <w:r w:rsidR="00476CB0" w:rsidRPr="005516CD">
        <w:rPr>
          <w:rFonts w:asciiTheme="majorHAnsi" w:hAnsiTheme="majorHAnsi" w:cstheme="majorHAnsi"/>
          <w:sz w:val="20"/>
          <w:szCs w:val="20"/>
        </w:rPr>
        <w:t xml:space="preserve">; 2) </w:t>
      </w:r>
      <w:r w:rsidR="000572D9" w:rsidRPr="005516CD">
        <w:rPr>
          <w:rFonts w:asciiTheme="majorHAnsi" w:hAnsiTheme="majorHAnsi" w:cstheme="majorHAnsi"/>
          <w:sz w:val="20"/>
          <w:szCs w:val="20"/>
        </w:rPr>
        <w:t>strengthening of environmental governance</w:t>
      </w:r>
      <w:r w:rsidR="00476CB0" w:rsidRPr="005516CD">
        <w:rPr>
          <w:rFonts w:asciiTheme="majorHAnsi" w:hAnsiTheme="majorHAnsi" w:cstheme="majorHAnsi"/>
          <w:sz w:val="20"/>
          <w:szCs w:val="20"/>
        </w:rPr>
        <w:t xml:space="preserve">; 3) </w:t>
      </w:r>
      <w:r w:rsidR="000572D9" w:rsidRPr="005516CD">
        <w:rPr>
          <w:rFonts w:asciiTheme="majorHAnsi" w:hAnsiTheme="majorHAnsi" w:cstheme="majorHAnsi"/>
          <w:sz w:val="20"/>
          <w:szCs w:val="20"/>
        </w:rPr>
        <w:t>sustainable management of protected areas and natural landscapes</w:t>
      </w:r>
      <w:r w:rsidR="00476CB0" w:rsidRPr="005516CD">
        <w:rPr>
          <w:rFonts w:asciiTheme="majorHAnsi" w:hAnsiTheme="majorHAnsi" w:cstheme="majorHAnsi"/>
          <w:sz w:val="20"/>
          <w:szCs w:val="20"/>
        </w:rPr>
        <w:t xml:space="preserve">. </w:t>
      </w:r>
      <w:r w:rsidR="000572D9" w:rsidRPr="005516CD">
        <w:rPr>
          <w:rFonts w:asciiTheme="majorHAnsi" w:hAnsiTheme="majorHAnsi" w:cstheme="majorHAnsi"/>
          <w:sz w:val="20"/>
          <w:szCs w:val="20"/>
        </w:rPr>
        <w:t>Its specific objectives are</w:t>
      </w:r>
      <w:r w:rsidR="00476CB0" w:rsidRPr="005516CD">
        <w:rPr>
          <w:rFonts w:asciiTheme="majorHAnsi" w:hAnsiTheme="majorHAnsi" w:cstheme="majorHAnsi"/>
          <w:sz w:val="20"/>
          <w:szCs w:val="20"/>
        </w:rPr>
        <w:t xml:space="preserve">: </w:t>
      </w:r>
      <w:proofErr w:type="spellStart"/>
      <w:r w:rsidR="00476CB0" w:rsidRPr="005516CD">
        <w:rPr>
          <w:rFonts w:asciiTheme="majorHAnsi" w:hAnsiTheme="majorHAnsi" w:cstheme="majorHAnsi"/>
          <w:sz w:val="20"/>
          <w:szCs w:val="20"/>
        </w:rPr>
        <w:t>i</w:t>
      </w:r>
      <w:proofErr w:type="spellEnd"/>
      <w:r w:rsidR="00476CB0" w:rsidRPr="005516CD">
        <w:rPr>
          <w:rFonts w:asciiTheme="majorHAnsi" w:hAnsiTheme="majorHAnsi" w:cstheme="majorHAnsi"/>
          <w:sz w:val="20"/>
          <w:szCs w:val="20"/>
        </w:rPr>
        <w:t xml:space="preserve">) </w:t>
      </w:r>
      <w:r w:rsidR="000572D9" w:rsidRPr="005516CD">
        <w:rPr>
          <w:rFonts w:asciiTheme="majorHAnsi" w:hAnsiTheme="majorHAnsi" w:cstheme="majorHAnsi"/>
          <w:sz w:val="20"/>
          <w:szCs w:val="20"/>
        </w:rPr>
        <w:t xml:space="preserve">to increase forest cover from </w:t>
      </w:r>
      <w:r w:rsidR="00476CB0" w:rsidRPr="005516CD">
        <w:rPr>
          <w:rFonts w:asciiTheme="majorHAnsi" w:hAnsiTheme="majorHAnsi" w:cstheme="majorHAnsi"/>
          <w:sz w:val="20"/>
          <w:szCs w:val="20"/>
        </w:rPr>
        <w:t>1</w:t>
      </w:r>
      <w:r w:rsidR="000572D9" w:rsidRPr="005516CD">
        <w:rPr>
          <w:rFonts w:asciiTheme="majorHAnsi" w:hAnsiTheme="majorHAnsi" w:cstheme="majorHAnsi"/>
          <w:sz w:val="20"/>
          <w:szCs w:val="20"/>
        </w:rPr>
        <w:t>.</w:t>
      </w:r>
      <w:r w:rsidR="00476CB0" w:rsidRPr="005516CD">
        <w:rPr>
          <w:rFonts w:asciiTheme="majorHAnsi" w:hAnsiTheme="majorHAnsi" w:cstheme="majorHAnsi"/>
          <w:sz w:val="20"/>
          <w:szCs w:val="20"/>
        </w:rPr>
        <w:t xml:space="preserve">5% </w:t>
      </w:r>
      <w:r w:rsidR="000572D9" w:rsidRPr="005516CD">
        <w:rPr>
          <w:rFonts w:asciiTheme="majorHAnsi" w:hAnsiTheme="majorHAnsi" w:cstheme="majorHAnsi"/>
          <w:sz w:val="20"/>
          <w:szCs w:val="20"/>
        </w:rPr>
        <w:t xml:space="preserve">to </w:t>
      </w:r>
      <w:r w:rsidR="00476CB0" w:rsidRPr="005516CD">
        <w:rPr>
          <w:rFonts w:asciiTheme="majorHAnsi" w:hAnsiTheme="majorHAnsi" w:cstheme="majorHAnsi"/>
          <w:sz w:val="20"/>
          <w:szCs w:val="20"/>
        </w:rPr>
        <w:t xml:space="preserve">5% ; ii) </w:t>
      </w:r>
      <w:r w:rsidR="000572D9" w:rsidRPr="005516CD">
        <w:rPr>
          <w:rFonts w:asciiTheme="majorHAnsi" w:hAnsiTheme="majorHAnsi" w:cstheme="majorHAnsi"/>
          <w:sz w:val="20"/>
          <w:szCs w:val="20"/>
        </w:rPr>
        <w:t xml:space="preserve">to reduce by </w:t>
      </w:r>
      <w:r w:rsidR="00476CB0" w:rsidRPr="005516CD">
        <w:rPr>
          <w:rFonts w:asciiTheme="majorHAnsi" w:hAnsiTheme="majorHAnsi" w:cstheme="majorHAnsi"/>
          <w:sz w:val="20"/>
          <w:szCs w:val="20"/>
        </w:rPr>
        <w:t xml:space="preserve">10% </w:t>
      </w:r>
      <w:r w:rsidR="000572D9" w:rsidRPr="005516CD">
        <w:rPr>
          <w:rFonts w:asciiTheme="majorHAnsi" w:hAnsiTheme="majorHAnsi" w:cstheme="majorHAnsi"/>
          <w:sz w:val="20"/>
          <w:szCs w:val="20"/>
        </w:rPr>
        <w:t>the pressures affecting forest resources</w:t>
      </w:r>
      <w:r w:rsidR="00476CB0" w:rsidRPr="005516CD">
        <w:rPr>
          <w:rFonts w:asciiTheme="majorHAnsi" w:hAnsiTheme="majorHAnsi" w:cstheme="majorHAnsi"/>
          <w:sz w:val="20"/>
          <w:szCs w:val="20"/>
        </w:rPr>
        <w:t xml:space="preserve">; </w:t>
      </w:r>
      <w:r w:rsidR="000572D9" w:rsidRPr="005516CD">
        <w:rPr>
          <w:rFonts w:asciiTheme="majorHAnsi" w:hAnsiTheme="majorHAnsi" w:cstheme="majorHAnsi"/>
          <w:sz w:val="20"/>
          <w:szCs w:val="20"/>
        </w:rPr>
        <w:t xml:space="preserve">iii) to reduce the environmental vulnerability of populations living in watersheds through the integrated management of floods and risks </w:t>
      </w:r>
      <w:r w:rsidR="00476CB0" w:rsidRPr="005516CD">
        <w:rPr>
          <w:rFonts w:asciiTheme="majorHAnsi" w:hAnsiTheme="majorHAnsi" w:cstheme="majorHAnsi"/>
          <w:sz w:val="20"/>
          <w:szCs w:val="20"/>
        </w:rPr>
        <w:t xml:space="preserve">iv) </w:t>
      </w:r>
      <w:r w:rsidR="000572D9" w:rsidRPr="005516CD">
        <w:rPr>
          <w:rFonts w:asciiTheme="majorHAnsi" w:hAnsiTheme="majorHAnsi" w:cstheme="majorHAnsi"/>
          <w:sz w:val="20"/>
          <w:szCs w:val="20"/>
        </w:rPr>
        <w:t xml:space="preserve">to develop the </w:t>
      </w:r>
      <w:r w:rsidR="00476CB0" w:rsidRPr="005516CD">
        <w:rPr>
          <w:rFonts w:asciiTheme="majorHAnsi" w:hAnsiTheme="majorHAnsi" w:cstheme="majorHAnsi"/>
          <w:sz w:val="20"/>
          <w:szCs w:val="20"/>
        </w:rPr>
        <w:t>r</w:t>
      </w:r>
      <w:r w:rsidR="000572D9" w:rsidRPr="005516CD">
        <w:rPr>
          <w:rFonts w:asciiTheme="majorHAnsi" w:hAnsiTheme="majorHAnsi" w:cstheme="majorHAnsi"/>
          <w:sz w:val="20"/>
          <w:szCs w:val="20"/>
        </w:rPr>
        <w:t>e</w:t>
      </w:r>
      <w:r w:rsidR="00476CB0" w:rsidRPr="005516CD">
        <w:rPr>
          <w:rFonts w:asciiTheme="majorHAnsi" w:hAnsiTheme="majorHAnsi" w:cstheme="majorHAnsi"/>
          <w:sz w:val="20"/>
          <w:szCs w:val="20"/>
        </w:rPr>
        <w:t xml:space="preserve">silience </w:t>
      </w:r>
      <w:r w:rsidR="000572D9" w:rsidRPr="005516CD">
        <w:rPr>
          <w:rFonts w:asciiTheme="majorHAnsi" w:hAnsiTheme="majorHAnsi" w:cstheme="majorHAnsi"/>
          <w:sz w:val="20"/>
          <w:szCs w:val="20"/>
        </w:rPr>
        <w:t xml:space="preserve">of coastal </w:t>
      </w:r>
      <w:r w:rsidR="00476CB0" w:rsidRPr="005516CD">
        <w:rPr>
          <w:rFonts w:asciiTheme="majorHAnsi" w:hAnsiTheme="majorHAnsi" w:cstheme="majorHAnsi"/>
          <w:sz w:val="20"/>
          <w:szCs w:val="20"/>
        </w:rPr>
        <w:t>commun</w:t>
      </w:r>
      <w:r w:rsidR="000572D9" w:rsidRPr="005516CD">
        <w:rPr>
          <w:rFonts w:asciiTheme="majorHAnsi" w:hAnsiTheme="majorHAnsi" w:cstheme="majorHAnsi"/>
          <w:sz w:val="20"/>
          <w:szCs w:val="20"/>
        </w:rPr>
        <w:t xml:space="preserve">ities through </w:t>
      </w:r>
      <w:r w:rsidR="00476CB0" w:rsidRPr="005516CD">
        <w:rPr>
          <w:rFonts w:asciiTheme="majorHAnsi" w:hAnsiTheme="majorHAnsi" w:cstheme="majorHAnsi"/>
          <w:sz w:val="20"/>
          <w:szCs w:val="20"/>
        </w:rPr>
        <w:t xml:space="preserve">actions </w:t>
      </w:r>
      <w:r w:rsidR="000572D9" w:rsidRPr="005516CD">
        <w:rPr>
          <w:rFonts w:asciiTheme="majorHAnsi" w:hAnsiTheme="majorHAnsi" w:cstheme="majorHAnsi"/>
          <w:sz w:val="20"/>
          <w:szCs w:val="20"/>
        </w:rPr>
        <w:t xml:space="preserve">to sustainably improve the supply of goods and services </w:t>
      </w:r>
      <w:r w:rsidR="00E86CD8" w:rsidRPr="005516CD">
        <w:rPr>
          <w:rFonts w:asciiTheme="majorHAnsi" w:hAnsiTheme="majorHAnsi" w:cstheme="majorHAnsi"/>
          <w:sz w:val="20"/>
          <w:szCs w:val="20"/>
        </w:rPr>
        <w:t>related to coastal and marine resources; v) move Haiti from the status of a country affected by risks to one capable of managing them.</w:t>
      </w:r>
      <w:r w:rsidR="00476CB0" w:rsidRPr="005516CD">
        <w:rPr>
          <w:rFonts w:asciiTheme="majorHAnsi" w:hAnsiTheme="majorHAnsi" w:cstheme="majorHAnsi"/>
          <w:sz w:val="20"/>
          <w:szCs w:val="20"/>
        </w:rPr>
        <w:t xml:space="preserve"> </w:t>
      </w:r>
    </w:p>
    <w:p w14:paraId="29E44AEC" w14:textId="77777777" w:rsidR="00476CB0" w:rsidRPr="005516CD" w:rsidRDefault="00E86CD8" w:rsidP="00E86CD8">
      <w:pPr>
        <w:pStyle w:val="Heading7"/>
        <w:spacing w:before="0"/>
        <w:ind w:left="0"/>
        <w:rPr>
          <w:rFonts w:asciiTheme="majorHAnsi" w:hAnsiTheme="majorHAnsi" w:cstheme="majorHAnsi"/>
          <w:i/>
        </w:rPr>
      </w:pPr>
      <w:r w:rsidRPr="005516CD">
        <w:rPr>
          <w:rFonts w:asciiTheme="majorHAnsi" w:hAnsiTheme="majorHAnsi" w:cstheme="majorHAnsi"/>
          <w:i/>
        </w:rPr>
        <w:t>National Programme for the Combat of Desertification (NPCD)</w:t>
      </w:r>
    </w:p>
    <w:p w14:paraId="361AF8AE" w14:textId="77777777" w:rsidR="00476CB0" w:rsidRPr="005516CD" w:rsidRDefault="00E86CD8"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project for a</w:t>
      </w:r>
      <w:r w:rsidR="00EE27F9" w:rsidRPr="005516CD">
        <w:rPr>
          <w:rFonts w:asciiTheme="majorHAnsi" w:hAnsiTheme="majorHAnsi" w:cstheme="majorHAnsi"/>
          <w:sz w:val="20"/>
          <w:szCs w:val="20"/>
        </w:rPr>
        <w:t>n</w:t>
      </w:r>
      <w:r w:rsidRPr="005516CD">
        <w:rPr>
          <w:rFonts w:asciiTheme="majorHAnsi" w:hAnsiTheme="majorHAnsi" w:cstheme="majorHAnsi"/>
          <w:sz w:val="20"/>
          <w:szCs w:val="20"/>
        </w:rPr>
        <w:t xml:space="preserve"> NPCD has been prepared by the Ministry of Environment, but its text has not yet been submitted for approval by the Council of Ministers. It deals in a cross-cutting manner with the phenomenon of </w:t>
      </w:r>
      <w:r w:rsidR="00476CB0" w:rsidRPr="005516CD">
        <w:rPr>
          <w:rFonts w:asciiTheme="majorHAnsi" w:hAnsiTheme="majorHAnsi" w:cstheme="majorHAnsi"/>
          <w:sz w:val="20"/>
          <w:szCs w:val="20"/>
        </w:rPr>
        <w:t>d</w:t>
      </w:r>
      <w:r w:rsidRPr="005516CD">
        <w:rPr>
          <w:rFonts w:asciiTheme="majorHAnsi" w:hAnsiTheme="majorHAnsi" w:cstheme="majorHAnsi"/>
          <w:sz w:val="20"/>
          <w:szCs w:val="20"/>
        </w:rPr>
        <w:t>e</w:t>
      </w:r>
      <w:r w:rsidR="00476CB0" w:rsidRPr="005516CD">
        <w:rPr>
          <w:rFonts w:asciiTheme="majorHAnsi" w:hAnsiTheme="majorHAnsi" w:cstheme="majorHAnsi"/>
          <w:sz w:val="20"/>
          <w:szCs w:val="20"/>
        </w:rPr>
        <w:t xml:space="preserve">sertification </w:t>
      </w:r>
      <w:r w:rsidRPr="005516CD">
        <w:rPr>
          <w:rFonts w:asciiTheme="majorHAnsi" w:hAnsiTheme="majorHAnsi" w:cstheme="majorHAnsi"/>
          <w:sz w:val="20"/>
          <w:szCs w:val="20"/>
        </w:rPr>
        <w:t xml:space="preserve">and provides for a strengthening of the links </w:t>
      </w:r>
      <w:proofErr w:type="spellStart"/>
      <w:r w:rsidRPr="005516CD">
        <w:rPr>
          <w:rFonts w:asciiTheme="majorHAnsi" w:hAnsiTheme="majorHAnsi" w:cstheme="majorHAnsi"/>
          <w:sz w:val="20"/>
          <w:szCs w:val="20"/>
        </w:rPr>
        <w:t>beween</w:t>
      </w:r>
      <w:proofErr w:type="spellEnd"/>
      <w:r w:rsidRPr="005516CD">
        <w:rPr>
          <w:rFonts w:asciiTheme="majorHAnsi" w:hAnsiTheme="majorHAnsi" w:cstheme="majorHAnsi"/>
          <w:sz w:val="20"/>
          <w:szCs w:val="20"/>
        </w:rPr>
        <w:t xml:space="preserve"> the struggle against poverty and the struggles against </w:t>
      </w:r>
      <w:r w:rsidR="00476CB0" w:rsidRPr="005516CD">
        <w:rPr>
          <w:rFonts w:asciiTheme="majorHAnsi" w:hAnsiTheme="majorHAnsi" w:cstheme="majorHAnsi"/>
          <w:sz w:val="20"/>
          <w:szCs w:val="20"/>
        </w:rPr>
        <w:t>d</w:t>
      </w:r>
      <w:r w:rsidRPr="005516CD">
        <w:rPr>
          <w:rFonts w:asciiTheme="majorHAnsi" w:hAnsiTheme="majorHAnsi" w:cstheme="majorHAnsi"/>
          <w:sz w:val="20"/>
          <w:szCs w:val="20"/>
        </w:rPr>
        <w:t>e</w:t>
      </w:r>
      <w:r w:rsidR="00476CB0" w:rsidRPr="005516CD">
        <w:rPr>
          <w:rFonts w:asciiTheme="majorHAnsi" w:hAnsiTheme="majorHAnsi" w:cstheme="majorHAnsi"/>
          <w:sz w:val="20"/>
          <w:szCs w:val="20"/>
        </w:rPr>
        <w:t xml:space="preserve">sertification. </w:t>
      </w:r>
      <w:r w:rsidRPr="005516CD">
        <w:rPr>
          <w:rFonts w:asciiTheme="majorHAnsi" w:hAnsiTheme="majorHAnsi" w:cstheme="majorHAnsi"/>
          <w:sz w:val="20"/>
          <w:szCs w:val="20"/>
        </w:rPr>
        <w:t xml:space="preserve">It has the following </w:t>
      </w:r>
      <w:r w:rsidR="00476CB0" w:rsidRPr="005516CD">
        <w:rPr>
          <w:rFonts w:asciiTheme="majorHAnsi" w:hAnsiTheme="majorHAnsi" w:cstheme="majorHAnsi"/>
          <w:sz w:val="20"/>
          <w:szCs w:val="20"/>
        </w:rPr>
        <w:t>priorit</w:t>
      </w:r>
      <w:r w:rsidRPr="005516CD">
        <w:rPr>
          <w:rFonts w:asciiTheme="majorHAnsi" w:hAnsiTheme="majorHAnsi" w:cstheme="majorHAnsi"/>
          <w:sz w:val="20"/>
          <w:szCs w:val="20"/>
        </w:rPr>
        <w:t>ie</w:t>
      </w:r>
      <w:r w:rsidR="00476CB0" w:rsidRPr="005516CD">
        <w:rPr>
          <w:rFonts w:asciiTheme="majorHAnsi" w:hAnsiTheme="majorHAnsi" w:cstheme="majorHAnsi"/>
          <w:sz w:val="20"/>
          <w:szCs w:val="20"/>
        </w:rPr>
        <w:t xml:space="preserve">s: </w:t>
      </w:r>
      <w:proofErr w:type="spellStart"/>
      <w:r w:rsidR="00476CB0" w:rsidRPr="005516CD">
        <w:rPr>
          <w:rFonts w:asciiTheme="majorHAnsi" w:hAnsiTheme="majorHAnsi" w:cstheme="majorHAnsi"/>
          <w:sz w:val="20"/>
          <w:szCs w:val="20"/>
        </w:rPr>
        <w:t>i</w:t>
      </w:r>
      <w:proofErr w:type="spellEnd"/>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Strengthening of national </w:t>
      </w:r>
      <w:r w:rsidR="00476CB0" w:rsidRPr="005516CD">
        <w:rPr>
          <w:rFonts w:asciiTheme="majorHAnsi" w:hAnsiTheme="majorHAnsi" w:cstheme="majorHAnsi"/>
          <w:sz w:val="20"/>
          <w:szCs w:val="20"/>
        </w:rPr>
        <w:t>capacit</w:t>
      </w:r>
      <w:r w:rsidRPr="005516CD">
        <w:rPr>
          <w:rFonts w:asciiTheme="majorHAnsi" w:hAnsiTheme="majorHAnsi" w:cstheme="majorHAnsi"/>
          <w:sz w:val="20"/>
          <w:szCs w:val="20"/>
        </w:rPr>
        <w:t>ie</w:t>
      </w:r>
      <w:r w:rsidR="00476CB0" w:rsidRPr="005516CD">
        <w:rPr>
          <w:rFonts w:asciiTheme="majorHAnsi" w:hAnsiTheme="majorHAnsi" w:cstheme="majorHAnsi"/>
          <w:sz w:val="20"/>
          <w:szCs w:val="20"/>
        </w:rPr>
        <w:t>s</w:t>
      </w:r>
      <w:r w:rsidRPr="005516CD">
        <w:rPr>
          <w:rFonts w:asciiTheme="majorHAnsi" w:hAnsiTheme="majorHAnsi" w:cstheme="majorHAnsi"/>
          <w:sz w:val="20"/>
          <w:szCs w:val="20"/>
        </w:rPr>
        <w:t xml:space="preserve"> for the management of </w:t>
      </w:r>
      <w:r w:rsidR="00476CB0" w:rsidRPr="005516CD">
        <w:rPr>
          <w:rFonts w:asciiTheme="majorHAnsi" w:hAnsiTheme="majorHAnsi" w:cstheme="majorHAnsi"/>
          <w:sz w:val="20"/>
          <w:szCs w:val="20"/>
        </w:rPr>
        <w:t>d</w:t>
      </w:r>
      <w:r w:rsidRPr="005516CD">
        <w:rPr>
          <w:rFonts w:asciiTheme="majorHAnsi" w:hAnsiTheme="majorHAnsi" w:cstheme="majorHAnsi"/>
          <w:sz w:val="20"/>
          <w:szCs w:val="20"/>
        </w:rPr>
        <w:t>e</w:t>
      </w:r>
      <w:r w:rsidR="00476CB0" w:rsidRPr="005516CD">
        <w:rPr>
          <w:rFonts w:asciiTheme="majorHAnsi" w:hAnsiTheme="majorHAnsi" w:cstheme="majorHAnsi"/>
          <w:sz w:val="20"/>
          <w:szCs w:val="20"/>
        </w:rPr>
        <w:t>sertification, nota</w:t>
      </w:r>
      <w:r w:rsidRPr="005516CD">
        <w:rPr>
          <w:rFonts w:asciiTheme="majorHAnsi" w:hAnsiTheme="majorHAnsi" w:cstheme="majorHAnsi"/>
          <w:sz w:val="20"/>
          <w:szCs w:val="20"/>
        </w:rPr>
        <w:t xml:space="preserve">bly for the </w:t>
      </w:r>
      <w:r w:rsidR="00476CB0" w:rsidRPr="005516CD">
        <w:rPr>
          <w:rFonts w:asciiTheme="majorHAnsi" w:hAnsiTheme="majorHAnsi" w:cstheme="majorHAnsi"/>
          <w:sz w:val="20"/>
          <w:szCs w:val="20"/>
        </w:rPr>
        <w:t xml:space="preserve">transfer </w:t>
      </w:r>
      <w:r w:rsidRPr="005516CD">
        <w:rPr>
          <w:rFonts w:asciiTheme="majorHAnsi" w:hAnsiTheme="majorHAnsi" w:cstheme="majorHAnsi"/>
          <w:sz w:val="20"/>
          <w:szCs w:val="20"/>
        </w:rPr>
        <w:t xml:space="preserve">of </w:t>
      </w:r>
      <w:r w:rsidR="00476CB0" w:rsidRPr="005516CD">
        <w:rPr>
          <w:rFonts w:asciiTheme="majorHAnsi" w:hAnsiTheme="majorHAnsi" w:cstheme="majorHAnsi"/>
          <w:sz w:val="20"/>
          <w:szCs w:val="20"/>
        </w:rPr>
        <w:t>respons</w:t>
      </w:r>
      <w:r w:rsidRPr="005516CD">
        <w:rPr>
          <w:rFonts w:asciiTheme="majorHAnsi" w:hAnsiTheme="majorHAnsi" w:cstheme="majorHAnsi"/>
          <w:sz w:val="20"/>
          <w:szCs w:val="20"/>
        </w:rPr>
        <w:t>i</w:t>
      </w:r>
      <w:r w:rsidR="00476CB0" w:rsidRPr="005516CD">
        <w:rPr>
          <w:rFonts w:asciiTheme="majorHAnsi" w:hAnsiTheme="majorHAnsi" w:cstheme="majorHAnsi"/>
          <w:sz w:val="20"/>
          <w:szCs w:val="20"/>
        </w:rPr>
        <w:t>bilit</w:t>
      </w:r>
      <w:r w:rsidRPr="005516CD">
        <w:rPr>
          <w:rFonts w:asciiTheme="majorHAnsi" w:hAnsiTheme="majorHAnsi" w:cstheme="majorHAnsi"/>
          <w:sz w:val="20"/>
          <w:szCs w:val="20"/>
        </w:rPr>
        <w:t>ie</w:t>
      </w:r>
      <w:r w:rsidR="00476CB0" w:rsidRPr="005516CD">
        <w:rPr>
          <w:rFonts w:asciiTheme="majorHAnsi" w:hAnsiTheme="majorHAnsi" w:cstheme="majorHAnsi"/>
          <w:sz w:val="20"/>
          <w:szCs w:val="20"/>
        </w:rPr>
        <w:t xml:space="preserve">s </w:t>
      </w:r>
      <w:r w:rsidRPr="005516CD">
        <w:rPr>
          <w:rFonts w:asciiTheme="majorHAnsi" w:hAnsiTheme="majorHAnsi" w:cstheme="majorHAnsi"/>
          <w:sz w:val="20"/>
          <w:szCs w:val="20"/>
        </w:rPr>
        <w:t xml:space="preserve">to </w:t>
      </w:r>
      <w:r w:rsidR="00476CB0" w:rsidRPr="005516CD">
        <w:rPr>
          <w:rFonts w:asciiTheme="majorHAnsi" w:hAnsiTheme="majorHAnsi" w:cstheme="majorHAnsi"/>
          <w:sz w:val="20"/>
          <w:szCs w:val="20"/>
        </w:rPr>
        <w:t>territorial</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collectivities</w:t>
      </w:r>
      <w:proofErr w:type="spellEnd"/>
      <w:r w:rsidRPr="005516CD">
        <w:rPr>
          <w:rFonts w:asciiTheme="majorHAnsi" w:hAnsiTheme="majorHAnsi" w:cstheme="majorHAnsi"/>
          <w:sz w:val="20"/>
          <w:szCs w:val="20"/>
        </w:rPr>
        <w:t>, through the establishment of databases and the operationalisation of a decentralized system for monitoring and evaluation</w:t>
      </w:r>
      <w:r w:rsidR="00476CB0" w:rsidRPr="005516CD">
        <w:rPr>
          <w:rFonts w:asciiTheme="majorHAnsi" w:hAnsiTheme="majorHAnsi" w:cstheme="majorHAnsi"/>
          <w:sz w:val="20"/>
          <w:szCs w:val="20"/>
        </w:rPr>
        <w:t xml:space="preserve">; ii) </w:t>
      </w:r>
      <w:r w:rsidRPr="005516CD">
        <w:rPr>
          <w:rFonts w:asciiTheme="majorHAnsi" w:hAnsiTheme="majorHAnsi" w:cstheme="majorHAnsi"/>
          <w:sz w:val="20"/>
          <w:szCs w:val="20"/>
        </w:rPr>
        <w:t xml:space="preserve">Ensuring the sustainable management of natural resources, </w:t>
      </w:r>
      <w:r w:rsidR="00476CB0" w:rsidRPr="005516CD">
        <w:rPr>
          <w:rFonts w:asciiTheme="majorHAnsi" w:hAnsiTheme="majorHAnsi" w:cstheme="majorHAnsi"/>
          <w:sz w:val="20"/>
          <w:szCs w:val="20"/>
        </w:rPr>
        <w:t>nota</w:t>
      </w:r>
      <w:r w:rsidRPr="005516CD">
        <w:rPr>
          <w:rFonts w:asciiTheme="majorHAnsi" w:hAnsiTheme="majorHAnsi" w:cstheme="majorHAnsi"/>
          <w:sz w:val="20"/>
          <w:szCs w:val="20"/>
        </w:rPr>
        <w:t>bly by protecting ecologically fragile zones and those with high levels of biodiversity</w:t>
      </w:r>
      <w:r w:rsidR="00476CB0" w:rsidRPr="005516CD">
        <w:rPr>
          <w:rFonts w:asciiTheme="majorHAnsi" w:hAnsiTheme="majorHAnsi" w:cstheme="majorHAnsi"/>
          <w:sz w:val="20"/>
          <w:szCs w:val="20"/>
        </w:rPr>
        <w:t xml:space="preserve">; iii) </w:t>
      </w:r>
      <w:r w:rsidR="006D047D" w:rsidRPr="005516CD">
        <w:rPr>
          <w:rFonts w:asciiTheme="majorHAnsi" w:hAnsiTheme="majorHAnsi" w:cstheme="majorHAnsi"/>
          <w:sz w:val="20"/>
          <w:szCs w:val="20"/>
        </w:rPr>
        <w:t>Restoration</w:t>
      </w:r>
      <w:r w:rsidR="00476CB0" w:rsidRPr="005516CD">
        <w:rPr>
          <w:rFonts w:asciiTheme="majorHAnsi" w:hAnsiTheme="majorHAnsi" w:cstheme="majorHAnsi"/>
          <w:sz w:val="20"/>
          <w:szCs w:val="20"/>
        </w:rPr>
        <w:t>/r</w:t>
      </w:r>
      <w:r w:rsidR="006D047D" w:rsidRPr="005516CD">
        <w:rPr>
          <w:rFonts w:asciiTheme="majorHAnsi" w:hAnsiTheme="majorHAnsi" w:cstheme="majorHAnsi"/>
          <w:sz w:val="20"/>
          <w:szCs w:val="20"/>
        </w:rPr>
        <w:t>e</w:t>
      </w:r>
      <w:r w:rsidR="00476CB0" w:rsidRPr="005516CD">
        <w:rPr>
          <w:rFonts w:asciiTheme="majorHAnsi" w:hAnsiTheme="majorHAnsi" w:cstheme="majorHAnsi"/>
          <w:sz w:val="20"/>
          <w:szCs w:val="20"/>
        </w:rPr>
        <w:t xml:space="preserve">habilitation </w:t>
      </w:r>
      <w:r w:rsidR="006D047D" w:rsidRPr="005516CD">
        <w:rPr>
          <w:rFonts w:asciiTheme="majorHAnsi" w:hAnsiTheme="majorHAnsi" w:cstheme="majorHAnsi"/>
          <w:sz w:val="20"/>
          <w:szCs w:val="20"/>
        </w:rPr>
        <w:t xml:space="preserve">of degraded </w:t>
      </w:r>
      <w:r w:rsidR="00476CB0" w:rsidRPr="005516CD">
        <w:rPr>
          <w:rFonts w:asciiTheme="majorHAnsi" w:hAnsiTheme="majorHAnsi" w:cstheme="majorHAnsi"/>
          <w:sz w:val="20"/>
          <w:szCs w:val="20"/>
        </w:rPr>
        <w:t>so</w:t>
      </w:r>
      <w:r w:rsidR="006D047D" w:rsidRPr="005516CD">
        <w:rPr>
          <w:rFonts w:asciiTheme="majorHAnsi" w:hAnsiTheme="majorHAnsi" w:cstheme="majorHAnsi"/>
          <w:sz w:val="20"/>
          <w:szCs w:val="20"/>
        </w:rPr>
        <w:t>i</w:t>
      </w:r>
      <w:r w:rsidR="00476CB0" w:rsidRPr="005516CD">
        <w:rPr>
          <w:rFonts w:asciiTheme="majorHAnsi" w:hAnsiTheme="majorHAnsi" w:cstheme="majorHAnsi"/>
          <w:sz w:val="20"/>
          <w:szCs w:val="20"/>
        </w:rPr>
        <w:t xml:space="preserve">ls </w:t>
      </w:r>
      <w:r w:rsidR="006D047D" w:rsidRPr="005516CD">
        <w:rPr>
          <w:rFonts w:asciiTheme="majorHAnsi" w:hAnsiTheme="majorHAnsi" w:cstheme="majorHAnsi"/>
          <w:sz w:val="20"/>
          <w:szCs w:val="20"/>
        </w:rPr>
        <w:t>and e</w:t>
      </w:r>
      <w:r w:rsidR="00476CB0" w:rsidRPr="005516CD">
        <w:rPr>
          <w:rFonts w:asciiTheme="majorHAnsi" w:hAnsiTheme="majorHAnsi" w:cstheme="majorHAnsi"/>
          <w:sz w:val="20"/>
          <w:szCs w:val="20"/>
        </w:rPr>
        <w:t>cosyst</w:t>
      </w:r>
      <w:r w:rsidR="006D047D" w:rsidRPr="005516CD">
        <w:rPr>
          <w:rFonts w:asciiTheme="majorHAnsi" w:hAnsiTheme="majorHAnsi" w:cstheme="majorHAnsi"/>
          <w:sz w:val="20"/>
          <w:szCs w:val="20"/>
        </w:rPr>
        <w:t>e</w:t>
      </w:r>
      <w:r w:rsidR="00476CB0" w:rsidRPr="005516CD">
        <w:rPr>
          <w:rFonts w:asciiTheme="majorHAnsi" w:hAnsiTheme="majorHAnsi" w:cstheme="majorHAnsi"/>
          <w:sz w:val="20"/>
          <w:szCs w:val="20"/>
        </w:rPr>
        <w:t>ms, nota</w:t>
      </w:r>
      <w:r w:rsidR="006D047D" w:rsidRPr="005516CD">
        <w:rPr>
          <w:rFonts w:asciiTheme="majorHAnsi" w:hAnsiTheme="majorHAnsi" w:cstheme="majorHAnsi"/>
          <w:sz w:val="20"/>
          <w:szCs w:val="20"/>
        </w:rPr>
        <w:t>bly by promoting plant species and varieties that are adapted to climate change and to the evolution of e</w:t>
      </w:r>
      <w:r w:rsidR="00476CB0" w:rsidRPr="005516CD">
        <w:rPr>
          <w:rFonts w:asciiTheme="majorHAnsi" w:hAnsiTheme="majorHAnsi" w:cstheme="majorHAnsi"/>
          <w:sz w:val="20"/>
          <w:szCs w:val="20"/>
        </w:rPr>
        <w:t>cosyst</w:t>
      </w:r>
      <w:r w:rsidR="006D047D" w:rsidRPr="005516CD">
        <w:rPr>
          <w:rFonts w:asciiTheme="majorHAnsi" w:hAnsiTheme="majorHAnsi" w:cstheme="majorHAnsi"/>
          <w:sz w:val="20"/>
          <w:szCs w:val="20"/>
        </w:rPr>
        <w:t>e</w:t>
      </w:r>
      <w:r w:rsidR="00476CB0" w:rsidRPr="005516CD">
        <w:rPr>
          <w:rFonts w:asciiTheme="majorHAnsi" w:hAnsiTheme="majorHAnsi" w:cstheme="majorHAnsi"/>
          <w:sz w:val="20"/>
          <w:szCs w:val="20"/>
        </w:rPr>
        <w:t xml:space="preserve">ms, </w:t>
      </w:r>
      <w:r w:rsidR="006D047D" w:rsidRPr="005516CD">
        <w:rPr>
          <w:rFonts w:asciiTheme="majorHAnsi" w:hAnsiTheme="majorHAnsi" w:cstheme="majorHAnsi"/>
          <w:sz w:val="20"/>
          <w:szCs w:val="20"/>
        </w:rPr>
        <w:t xml:space="preserve">by practising </w:t>
      </w:r>
      <w:r w:rsidR="00476CB0" w:rsidRPr="005516CD">
        <w:rPr>
          <w:rFonts w:asciiTheme="majorHAnsi" w:hAnsiTheme="majorHAnsi" w:cstheme="majorHAnsi"/>
          <w:sz w:val="20"/>
          <w:szCs w:val="20"/>
        </w:rPr>
        <w:t>agroforestr</w:t>
      </w:r>
      <w:r w:rsidR="006D047D" w:rsidRPr="005516CD">
        <w:rPr>
          <w:rFonts w:asciiTheme="majorHAnsi" w:hAnsiTheme="majorHAnsi" w:cstheme="majorHAnsi"/>
          <w:sz w:val="20"/>
          <w:szCs w:val="20"/>
        </w:rPr>
        <w:t>y and the management of crops in fallows, carrying out research, and perfecting locally developed practices</w:t>
      </w:r>
      <w:r w:rsidR="00476CB0" w:rsidRPr="005516CD">
        <w:rPr>
          <w:rFonts w:asciiTheme="majorHAnsi" w:hAnsiTheme="majorHAnsi" w:cstheme="majorHAnsi"/>
          <w:sz w:val="20"/>
          <w:szCs w:val="20"/>
        </w:rPr>
        <w:t xml:space="preserve">; iv) </w:t>
      </w:r>
      <w:r w:rsidR="006D047D" w:rsidRPr="005516CD">
        <w:rPr>
          <w:rFonts w:asciiTheme="majorHAnsi" w:hAnsiTheme="majorHAnsi" w:cstheme="majorHAnsi"/>
          <w:sz w:val="20"/>
          <w:szCs w:val="20"/>
        </w:rPr>
        <w:t>Improvement of living conditions, incomes, and links with local development, favouring the creation of employment along the length of agricultural value chains</w:t>
      </w:r>
      <w:r w:rsidR="00476CB0" w:rsidRPr="005516CD">
        <w:rPr>
          <w:rFonts w:asciiTheme="majorHAnsi" w:hAnsiTheme="majorHAnsi" w:cstheme="majorHAnsi"/>
          <w:sz w:val="20"/>
          <w:szCs w:val="20"/>
        </w:rPr>
        <w:t>, encourag</w:t>
      </w:r>
      <w:r w:rsidR="006D047D" w:rsidRPr="005516CD">
        <w:rPr>
          <w:rFonts w:asciiTheme="majorHAnsi" w:hAnsiTheme="majorHAnsi" w:cstheme="majorHAnsi"/>
          <w:sz w:val="20"/>
          <w:szCs w:val="20"/>
        </w:rPr>
        <w:t xml:space="preserve">ing the </w:t>
      </w:r>
      <w:r w:rsidR="00476CB0" w:rsidRPr="005516CD">
        <w:rPr>
          <w:rFonts w:asciiTheme="majorHAnsi" w:hAnsiTheme="majorHAnsi" w:cstheme="majorHAnsi"/>
          <w:sz w:val="20"/>
          <w:szCs w:val="20"/>
        </w:rPr>
        <w:t>cr</w:t>
      </w:r>
      <w:r w:rsidR="006D047D" w:rsidRPr="005516CD">
        <w:rPr>
          <w:rFonts w:asciiTheme="majorHAnsi" w:hAnsiTheme="majorHAnsi" w:cstheme="majorHAnsi"/>
          <w:sz w:val="20"/>
          <w:szCs w:val="20"/>
        </w:rPr>
        <w:t>e</w:t>
      </w:r>
      <w:r w:rsidR="00476CB0" w:rsidRPr="005516CD">
        <w:rPr>
          <w:rFonts w:asciiTheme="majorHAnsi" w:hAnsiTheme="majorHAnsi" w:cstheme="majorHAnsi"/>
          <w:sz w:val="20"/>
          <w:szCs w:val="20"/>
        </w:rPr>
        <w:t xml:space="preserve">ation </w:t>
      </w:r>
      <w:r w:rsidR="006D047D" w:rsidRPr="005516CD">
        <w:rPr>
          <w:rFonts w:asciiTheme="majorHAnsi" w:hAnsiTheme="majorHAnsi" w:cstheme="majorHAnsi"/>
          <w:sz w:val="20"/>
          <w:szCs w:val="20"/>
        </w:rPr>
        <w:t xml:space="preserve">of rural businesses and improving market access. </w:t>
      </w:r>
    </w:p>
    <w:p w14:paraId="43C306D9" w14:textId="77777777" w:rsidR="00476CB0" w:rsidRPr="005516CD" w:rsidRDefault="006D047D" w:rsidP="006D047D">
      <w:pPr>
        <w:pStyle w:val="Heading7"/>
        <w:spacing w:before="0"/>
        <w:ind w:left="0"/>
        <w:rPr>
          <w:rFonts w:asciiTheme="majorHAnsi" w:hAnsiTheme="majorHAnsi" w:cstheme="majorHAnsi"/>
          <w:i/>
        </w:rPr>
      </w:pPr>
      <w:r w:rsidRPr="005516CD">
        <w:rPr>
          <w:rFonts w:asciiTheme="majorHAnsi" w:hAnsiTheme="majorHAnsi" w:cstheme="majorHAnsi"/>
          <w:i/>
        </w:rPr>
        <w:t xml:space="preserve">National </w:t>
      </w:r>
      <w:r w:rsidR="00476CB0" w:rsidRPr="005516CD">
        <w:rPr>
          <w:rFonts w:asciiTheme="majorHAnsi" w:hAnsiTheme="majorHAnsi" w:cstheme="majorHAnsi"/>
          <w:i/>
        </w:rPr>
        <w:t xml:space="preserve">Programme </w:t>
      </w:r>
      <w:r w:rsidRPr="005516CD">
        <w:rPr>
          <w:rFonts w:asciiTheme="majorHAnsi" w:hAnsiTheme="majorHAnsi" w:cstheme="majorHAnsi"/>
          <w:i/>
        </w:rPr>
        <w:t>for Adaptation and Strategy for Response to Climate Change</w:t>
      </w:r>
      <w:r w:rsidR="00476CB0" w:rsidRPr="005516CD">
        <w:rPr>
          <w:rFonts w:asciiTheme="majorHAnsi" w:hAnsiTheme="majorHAnsi" w:cstheme="majorHAnsi"/>
          <w:i/>
        </w:rPr>
        <w:t xml:space="preserve"> </w:t>
      </w:r>
    </w:p>
    <w:p w14:paraId="2BEA924B" w14:textId="77777777" w:rsidR="00476CB0" w:rsidRPr="005516CD" w:rsidRDefault="006D047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A National Adaptation </w:t>
      </w:r>
      <w:r w:rsidR="00476CB0" w:rsidRPr="005516CD">
        <w:rPr>
          <w:rFonts w:asciiTheme="majorHAnsi" w:hAnsiTheme="majorHAnsi" w:cstheme="majorHAnsi"/>
          <w:sz w:val="20"/>
          <w:szCs w:val="20"/>
        </w:rPr>
        <w:t xml:space="preserve">Plan </w:t>
      </w:r>
      <w:r w:rsidRPr="005516CD">
        <w:rPr>
          <w:rFonts w:asciiTheme="majorHAnsi" w:hAnsiTheme="majorHAnsi" w:cstheme="majorHAnsi"/>
          <w:sz w:val="20"/>
          <w:szCs w:val="20"/>
        </w:rPr>
        <w:t>corresponding to the U</w:t>
      </w:r>
      <w:r w:rsidR="00EE27F9" w:rsidRPr="005516CD">
        <w:rPr>
          <w:rFonts w:asciiTheme="majorHAnsi" w:hAnsiTheme="majorHAnsi" w:cstheme="majorHAnsi"/>
          <w:sz w:val="20"/>
          <w:szCs w:val="20"/>
        </w:rPr>
        <w:t>nited Nations Framework Convention on Climate Change (U</w:t>
      </w:r>
      <w:r w:rsidRPr="005516CD">
        <w:rPr>
          <w:rFonts w:asciiTheme="majorHAnsi" w:hAnsiTheme="majorHAnsi" w:cstheme="majorHAnsi"/>
          <w:sz w:val="20"/>
          <w:szCs w:val="20"/>
        </w:rPr>
        <w:t>NFCCC</w:t>
      </w:r>
      <w:r w:rsidR="00EE27F9" w:rsidRPr="005516CD">
        <w:rPr>
          <w:rFonts w:asciiTheme="majorHAnsi" w:hAnsiTheme="majorHAnsi" w:cstheme="majorHAnsi"/>
          <w:sz w:val="20"/>
          <w:szCs w:val="20"/>
        </w:rPr>
        <w:t>)</w:t>
      </w:r>
      <w:r w:rsidRPr="005516CD">
        <w:rPr>
          <w:rFonts w:asciiTheme="majorHAnsi" w:hAnsiTheme="majorHAnsi" w:cstheme="majorHAnsi"/>
          <w:sz w:val="20"/>
          <w:szCs w:val="20"/>
        </w:rPr>
        <w:t xml:space="preserve"> has been developed for Haiti, with eight priority actions:</w:t>
      </w:r>
      <w:r w:rsidR="00476CB0" w:rsidRPr="005516CD">
        <w:rPr>
          <w:rFonts w:asciiTheme="majorHAnsi" w:hAnsiTheme="majorHAnsi" w:cstheme="majorHAnsi"/>
          <w:sz w:val="20"/>
          <w:szCs w:val="20"/>
        </w:rPr>
        <w:t xml:space="preserve"> </w:t>
      </w:r>
    </w:p>
    <w:p w14:paraId="60FB0A75" w14:textId="77777777" w:rsidR="00476CB0" w:rsidRPr="005516CD" w:rsidRDefault="006D047D" w:rsidP="006B27F4">
      <w:pPr>
        <w:pStyle w:val="ListParagraph"/>
        <w:numPr>
          <w:ilvl w:val="0"/>
          <w:numId w:val="103"/>
        </w:numPr>
        <w:tabs>
          <w:tab w:val="left" w:pos="709"/>
        </w:tabs>
        <w:ind w:left="709"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Conservation of watersheds and lands;</w:t>
      </w:r>
      <w:r w:rsidR="00476CB0" w:rsidRPr="005516CD">
        <w:rPr>
          <w:rFonts w:asciiTheme="majorHAnsi" w:hAnsiTheme="majorHAnsi" w:cstheme="majorHAnsi"/>
          <w:color w:val="auto"/>
          <w:sz w:val="20"/>
          <w:szCs w:val="20"/>
        </w:rPr>
        <w:t xml:space="preserve"> </w:t>
      </w:r>
    </w:p>
    <w:p w14:paraId="19CD01B9" w14:textId="77777777" w:rsidR="00476CB0" w:rsidRPr="005516CD" w:rsidRDefault="006D047D" w:rsidP="006B27F4">
      <w:pPr>
        <w:pStyle w:val="ListParagraph"/>
        <w:numPr>
          <w:ilvl w:val="0"/>
          <w:numId w:val="103"/>
        </w:numPr>
        <w:tabs>
          <w:tab w:val="left" w:pos="709"/>
        </w:tabs>
        <w:ind w:left="709"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Coastal zone management</w:t>
      </w:r>
      <w:r w:rsidR="00476CB0" w:rsidRPr="005516CD">
        <w:rPr>
          <w:rFonts w:asciiTheme="majorHAnsi" w:hAnsiTheme="majorHAnsi" w:cstheme="majorHAnsi"/>
          <w:color w:val="auto"/>
          <w:sz w:val="20"/>
          <w:szCs w:val="20"/>
        </w:rPr>
        <w:t xml:space="preserve">; </w:t>
      </w:r>
    </w:p>
    <w:p w14:paraId="68C7DA2A" w14:textId="77777777" w:rsidR="00476CB0" w:rsidRPr="005516CD" w:rsidRDefault="00476CB0" w:rsidP="006B27F4">
      <w:pPr>
        <w:pStyle w:val="ListParagraph"/>
        <w:numPr>
          <w:ilvl w:val="0"/>
          <w:numId w:val="103"/>
        </w:numPr>
        <w:tabs>
          <w:tab w:val="left" w:pos="709"/>
        </w:tabs>
        <w:ind w:left="709"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Promotion </w:t>
      </w:r>
      <w:r w:rsidR="006D047D" w:rsidRPr="005516CD">
        <w:rPr>
          <w:rFonts w:asciiTheme="majorHAnsi" w:hAnsiTheme="majorHAnsi" w:cstheme="majorHAnsi"/>
          <w:color w:val="auto"/>
          <w:sz w:val="20"/>
          <w:szCs w:val="20"/>
        </w:rPr>
        <w:t xml:space="preserve">and </w:t>
      </w:r>
      <w:r w:rsidRPr="005516CD">
        <w:rPr>
          <w:rFonts w:asciiTheme="majorHAnsi" w:hAnsiTheme="majorHAnsi" w:cstheme="majorHAnsi"/>
          <w:color w:val="auto"/>
          <w:sz w:val="20"/>
          <w:szCs w:val="20"/>
        </w:rPr>
        <w:t>pr</w:t>
      </w:r>
      <w:r w:rsidR="006D047D" w:rsidRPr="005516CD">
        <w:rPr>
          <w:rFonts w:asciiTheme="majorHAnsi" w:hAnsiTheme="majorHAnsi" w:cstheme="majorHAnsi"/>
          <w:color w:val="auto"/>
          <w:sz w:val="20"/>
          <w:szCs w:val="20"/>
        </w:rPr>
        <w:t>e</w:t>
      </w:r>
      <w:r w:rsidRPr="005516CD">
        <w:rPr>
          <w:rFonts w:asciiTheme="majorHAnsi" w:hAnsiTheme="majorHAnsi" w:cstheme="majorHAnsi"/>
          <w:color w:val="auto"/>
          <w:sz w:val="20"/>
          <w:szCs w:val="20"/>
        </w:rPr>
        <w:t xml:space="preserve">servation </w:t>
      </w:r>
      <w:r w:rsidR="006D047D" w:rsidRPr="005516CD">
        <w:rPr>
          <w:rFonts w:asciiTheme="majorHAnsi" w:hAnsiTheme="majorHAnsi" w:cstheme="majorHAnsi"/>
          <w:color w:val="auto"/>
          <w:sz w:val="20"/>
          <w:szCs w:val="20"/>
        </w:rPr>
        <w:t xml:space="preserve">of natural </w:t>
      </w:r>
      <w:r w:rsidRPr="005516CD">
        <w:rPr>
          <w:rFonts w:asciiTheme="majorHAnsi" w:hAnsiTheme="majorHAnsi" w:cstheme="majorHAnsi"/>
          <w:color w:val="auto"/>
          <w:sz w:val="20"/>
          <w:szCs w:val="20"/>
        </w:rPr>
        <w:t xml:space="preserve">resources; </w:t>
      </w:r>
    </w:p>
    <w:p w14:paraId="560973CB" w14:textId="77777777" w:rsidR="00476CB0" w:rsidRPr="005516CD" w:rsidRDefault="00476CB0" w:rsidP="006B27F4">
      <w:pPr>
        <w:pStyle w:val="ListParagraph"/>
        <w:numPr>
          <w:ilvl w:val="0"/>
          <w:numId w:val="103"/>
        </w:numPr>
        <w:tabs>
          <w:tab w:val="left" w:pos="709"/>
        </w:tabs>
        <w:ind w:left="709"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Pr</w:t>
      </w:r>
      <w:r w:rsidR="006D047D" w:rsidRPr="005516CD">
        <w:rPr>
          <w:rFonts w:asciiTheme="majorHAnsi" w:hAnsiTheme="majorHAnsi" w:cstheme="majorHAnsi"/>
          <w:color w:val="auto"/>
          <w:sz w:val="20"/>
          <w:szCs w:val="20"/>
        </w:rPr>
        <w:t>e</w:t>
      </w:r>
      <w:r w:rsidRPr="005516CD">
        <w:rPr>
          <w:rFonts w:asciiTheme="majorHAnsi" w:hAnsiTheme="majorHAnsi" w:cstheme="majorHAnsi"/>
          <w:color w:val="auto"/>
          <w:sz w:val="20"/>
          <w:szCs w:val="20"/>
        </w:rPr>
        <w:t xml:space="preserve">servation </w:t>
      </w:r>
      <w:r w:rsidR="006D047D" w:rsidRPr="005516CD">
        <w:rPr>
          <w:rFonts w:asciiTheme="majorHAnsi" w:hAnsiTheme="majorHAnsi" w:cstheme="majorHAnsi"/>
          <w:color w:val="auto"/>
          <w:sz w:val="20"/>
          <w:szCs w:val="20"/>
        </w:rPr>
        <w:t>and improvement of food security</w:t>
      </w:r>
      <w:r w:rsidRPr="005516CD">
        <w:rPr>
          <w:rFonts w:asciiTheme="majorHAnsi" w:hAnsiTheme="majorHAnsi" w:cstheme="majorHAnsi"/>
          <w:color w:val="auto"/>
          <w:sz w:val="20"/>
          <w:szCs w:val="20"/>
        </w:rPr>
        <w:t xml:space="preserve">; </w:t>
      </w:r>
    </w:p>
    <w:p w14:paraId="43AC1A39" w14:textId="77777777" w:rsidR="00476CB0" w:rsidRPr="005516CD" w:rsidRDefault="00476CB0" w:rsidP="006B27F4">
      <w:pPr>
        <w:pStyle w:val="ListParagraph"/>
        <w:numPr>
          <w:ilvl w:val="0"/>
          <w:numId w:val="103"/>
        </w:numPr>
        <w:tabs>
          <w:tab w:val="left" w:pos="709"/>
        </w:tabs>
        <w:ind w:left="709"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Protection </w:t>
      </w:r>
      <w:r w:rsidR="006D047D" w:rsidRPr="005516CD">
        <w:rPr>
          <w:rFonts w:asciiTheme="majorHAnsi" w:hAnsiTheme="majorHAnsi" w:cstheme="majorHAnsi"/>
          <w:color w:val="auto"/>
          <w:sz w:val="20"/>
          <w:szCs w:val="20"/>
        </w:rPr>
        <w:t xml:space="preserve">and </w:t>
      </w:r>
      <w:r w:rsidRPr="005516CD">
        <w:rPr>
          <w:rFonts w:asciiTheme="majorHAnsi" w:hAnsiTheme="majorHAnsi" w:cstheme="majorHAnsi"/>
          <w:color w:val="auto"/>
          <w:sz w:val="20"/>
          <w:szCs w:val="20"/>
        </w:rPr>
        <w:t xml:space="preserve">conservation </w:t>
      </w:r>
      <w:r w:rsidR="006D047D" w:rsidRPr="005516CD">
        <w:rPr>
          <w:rFonts w:asciiTheme="majorHAnsi" w:hAnsiTheme="majorHAnsi" w:cstheme="majorHAnsi"/>
          <w:color w:val="auto"/>
          <w:sz w:val="20"/>
          <w:szCs w:val="20"/>
        </w:rPr>
        <w:t>of water</w:t>
      </w:r>
      <w:r w:rsidRPr="005516CD">
        <w:rPr>
          <w:rFonts w:asciiTheme="majorHAnsi" w:hAnsiTheme="majorHAnsi" w:cstheme="majorHAnsi"/>
          <w:color w:val="auto"/>
          <w:sz w:val="20"/>
          <w:szCs w:val="20"/>
        </w:rPr>
        <w:t xml:space="preserve">; </w:t>
      </w:r>
    </w:p>
    <w:p w14:paraId="3C76D0A1" w14:textId="77777777" w:rsidR="00476CB0" w:rsidRPr="005516CD" w:rsidRDefault="00476CB0" w:rsidP="006B27F4">
      <w:pPr>
        <w:pStyle w:val="ListParagraph"/>
        <w:numPr>
          <w:ilvl w:val="0"/>
          <w:numId w:val="103"/>
        </w:numPr>
        <w:tabs>
          <w:tab w:val="left" w:pos="709"/>
        </w:tabs>
        <w:ind w:left="709"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Construction </w:t>
      </w:r>
      <w:r w:rsidR="006D047D" w:rsidRPr="005516CD">
        <w:rPr>
          <w:rFonts w:asciiTheme="majorHAnsi" w:hAnsiTheme="majorHAnsi" w:cstheme="majorHAnsi"/>
          <w:color w:val="auto"/>
          <w:sz w:val="20"/>
          <w:szCs w:val="20"/>
        </w:rPr>
        <w:t xml:space="preserve">and </w:t>
      </w:r>
      <w:r w:rsidRPr="005516CD">
        <w:rPr>
          <w:rFonts w:asciiTheme="majorHAnsi" w:hAnsiTheme="majorHAnsi" w:cstheme="majorHAnsi"/>
          <w:color w:val="auto"/>
          <w:sz w:val="20"/>
          <w:szCs w:val="20"/>
        </w:rPr>
        <w:t>r</w:t>
      </w:r>
      <w:r w:rsidR="006D047D" w:rsidRPr="005516CD">
        <w:rPr>
          <w:rFonts w:asciiTheme="majorHAnsi" w:hAnsiTheme="majorHAnsi" w:cstheme="majorHAnsi"/>
          <w:color w:val="auto"/>
          <w:sz w:val="20"/>
          <w:szCs w:val="20"/>
        </w:rPr>
        <w:t>e</w:t>
      </w:r>
      <w:r w:rsidRPr="005516CD">
        <w:rPr>
          <w:rFonts w:asciiTheme="majorHAnsi" w:hAnsiTheme="majorHAnsi" w:cstheme="majorHAnsi"/>
          <w:color w:val="auto"/>
          <w:sz w:val="20"/>
          <w:szCs w:val="20"/>
        </w:rPr>
        <w:t xml:space="preserve">habilitation </w:t>
      </w:r>
      <w:r w:rsidR="006D047D" w:rsidRPr="005516CD">
        <w:rPr>
          <w:rFonts w:asciiTheme="majorHAnsi" w:hAnsiTheme="majorHAnsi" w:cstheme="majorHAnsi"/>
          <w:color w:val="auto"/>
          <w:sz w:val="20"/>
          <w:szCs w:val="20"/>
        </w:rPr>
        <w:t xml:space="preserve">of </w:t>
      </w:r>
      <w:r w:rsidRPr="005516CD">
        <w:rPr>
          <w:rFonts w:asciiTheme="majorHAnsi" w:hAnsiTheme="majorHAnsi" w:cstheme="majorHAnsi"/>
          <w:color w:val="auto"/>
          <w:sz w:val="20"/>
          <w:szCs w:val="20"/>
        </w:rPr>
        <w:t xml:space="preserve">infrastructure; </w:t>
      </w:r>
    </w:p>
    <w:p w14:paraId="352E74C0" w14:textId="77777777" w:rsidR="00476CB0" w:rsidRPr="005516CD" w:rsidRDefault="006D047D" w:rsidP="006B27F4">
      <w:pPr>
        <w:pStyle w:val="ListParagraph"/>
        <w:numPr>
          <w:ilvl w:val="0"/>
          <w:numId w:val="103"/>
        </w:numPr>
        <w:tabs>
          <w:tab w:val="left" w:pos="709"/>
        </w:tabs>
        <w:ind w:left="709" w:right="96" w:hanging="218"/>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Waste management;</w:t>
      </w:r>
      <w:r w:rsidR="00476CB0" w:rsidRPr="005516CD">
        <w:rPr>
          <w:rFonts w:asciiTheme="majorHAnsi" w:hAnsiTheme="majorHAnsi" w:cstheme="majorHAnsi"/>
          <w:color w:val="auto"/>
          <w:sz w:val="20"/>
          <w:szCs w:val="20"/>
        </w:rPr>
        <w:t xml:space="preserve"> </w:t>
      </w:r>
    </w:p>
    <w:p w14:paraId="5241AF6F" w14:textId="77777777" w:rsidR="00476CB0" w:rsidRPr="005516CD" w:rsidRDefault="006D047D" w:rsidP="006B27F4">
      <w:pPr>
        <w:pStyle w:val="ListParagraph"/>
        <w:numPr>
          <w:ilvl w:val="0"/>
          <w:numId w:val="103"/>
        </w:numPr>
        <w:tabs>
          <w:tab w:val="left" w:pos="709"/>
        </w:tabs>
        <w:spacing w:after="120"/>
        <w:ind w:left="708" w:right="96" w:hanging="215"/>
        <w:jc w:val="both"/>
        <w:rPr>
          <w:rFonts w:asciiTheme="majorHAnsi" w:hAnsiTheme="majorHAnsi" w:cstheme="majorHAnsi"/>
          <w:color w:val="auto"/>
          <w:sz w:val="20"/>
          <w:szCs w:val="20"/>
        </w:rPr>
      </w:pPr>
      <w:r w:rsidRPr="005516CD">
        <w:rPr>
          <w:rFonts w:asciiTheme="majorHAnsi" w:hAnsiTheme="majorHAnsi" w:cstheme="majorHAnsi"/>
          <w:color w:val="auto"/>
          <w:sz w:val="20"/>
          <w:szCs w:val="20"/>
        </w:rPr>
        <w:t xml:space="preserve">Awareness raising through education and </w:t>
      </w:r>
      <w:r w:rsidR="00476CB0" w:rsidRPr="005516CD">
        <w:rPr>
          <w:rFonts w:asciiTheme="majorHAnsi" w:hAnsiTheme="majorHAnsi" w:cstheme="majorHAnsi"/>
          <w:color w:val="auto"/>
          <w:sz w:val="20"/>
          <w:szCs w:val="20"/>
        </w:rPr>
        <w:t xml:space="preserve">information. </w:t>
      </w:r>
    </w:p>
    <w:p w14:paraId="3CF40C51" w14:textId="77777777" w:rsidR="00476CB0" w:rsidRPr="005516CD" w:rsidRDefault="0064544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national policy on climate change and the national adaptation strategy are not however fully in place : the elements required for their generation have been developed, but they have not yet been organised or systematised. </w:t>
      </w:r>
    </w:p>
    <w:p w14:paraId="798954D7" w14:textId="77777777" w:rsidR="00476CB0" w:rsidRPr="005516CD" w:rsidRDefault="0064544B" w:rsidP="0064544B">
      <w:pPr>
        <w:pStyle w:val="Heading7"/>
        <w:spacing w:before="0"/>
        <w:ind w:left="0"/>
        <w:rPr>
          <w:rFonts w:asciiTheme="majorHAnsi" w:hAnsiTheme="majorHAnsi" w:cstheme="majorHAnsi"/>
          <w:i/>
        </w:rPr>
      </w:pPr>
      <w:bookmarkStart w:id="24" w:name="_Toc528741884"/>
      <w:r w:rsidRPr="005516CD">
        <w:rPr>
          <w:rFonts w:asciiTheme="majorHAnsi" w:hAnsiTheme="majorHAnsi" w:cstheme="majorHAnsi"/>
          <w:i/>
        </w:rPr>
        <w:t>Regional frameworks for planning, incentives and policy development</w:t>
      </w:r>
      <w:bookmarkEnd w:id="24"/>
    </w:p>
    <w:p w14:paraId="2488BF02" w14:textId="77777777" w:rsidR="00476CB0" w:rsidRPr="005516CD" w:rsidRDefault="00476CB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Ha</w:t>
      </w:r>
      <w:r w:rsidR="0064544B" w:rsidRPr="005516CD">
        <w:rPr>
          <w:rFonts w:asciiTheme="majorHAnsi" w:hAnsiTheme="majorHAnsi" w:cstheme="majorHAnsi"/>
          <w:sz w:val="20"/>
          <w:szCs w:val="20"/>
        </w:rPr>
        <w:t>i</w:t>
      </w:r>
      <w:r w:rsidRPr="005516CD">
        <w:rPr>
          <w:rFonts w:asciiTheme="majorHAnsi" w:hAnsiTheme="majorHAnsi" w:cstheme="majorHAnsi"/>
          <w:sz w:val="20"/>
          <w:szCs w:val="20"/>
        </w:rPr>
        <w:t xml:space="preserve">ti </w:t>
      </w:r>
      <w:r w:rsidR="0064544B" w:rsidRPr="005516CD">
        <w:rPr>
          <w:rFonts w:asciiTheme="majorHAnsi" w:hAnsiTheme="majorHAnsi" w:cstheme="majorHAnsi"/>
          <w:sz w:val="20"/>
          <w:szCs w:val="20"/>
        </w:rPr>
        <w:t xml:space="preserve">has formed part of a number of regional and strategic </w:t>
      </w:r>
      <w:r w:rsidRPr="005516CD">
        <w:rPr>
          <w:rFonts w:asciiTheme="majorHAnsi" w:hAnsiTheme="majorHAnsi" w:cstheme="majorHAnsi"/>
          <w:sz w:val="20"/>
          <w:szCs w:val="20"/>
        </w:rPr>
        <w:t xml:space="preserve">initiatives </w:t>
      </w:r>
      <w:r w:rsidR="0064544B" w:rsidRPr="005516CD">
        <w:rPr>
          <w:rFonts w:asciiTheme="majorHAnsi" w:hAnsiTheme="majorHAnsi" w:cstheme="majorHAnsi"/>
          <w:sz w:val="20"/>
          <w:szCs w:val="20"/>
        </w:rPr>
        <w:t>of relevance to climate change resilience and the management of productive landscapes</w:t>
      </w:r>
      <w:r w:rsidRPr="005516CD">
        <w:rPr>
          <w:rFonts w:asciiTheme="majorHAnsi" w:hAnsiTheme="majorHAnsi" w:cstheme="majorHAnsi"/>
          <w:sz w:val="20"/>
          <w:szCs w:val="20"/>
        </w:rPr>
        <w:t xml:space="preserve">: </w:t>
      </w:r>
    </w:p>
    <w:p w14:paraId="2D146FCB" w14:textId="77777777" w:rsidR="00476CB0" w:rsidRPr="005516CD" w:rsidRDefault="0064544B" w:rsidP="006B27F4">
      <w:pPr>
        <w:pStyle w:val="Heading7"/>
        <w:numPr>
          <w:ilvl w:val="0"/>
          <w:numId w:val="106"/>
        </w:numPr>
        <w:spacing w:before="0"/>
        <w:rPr>
          <w:rFonts w:asciiTheme="majorHAnsi" w:hAnsiTheme="majorHAnsi" w:cstheme="majorHAnsi"/>
          <w:i/>
        </w:rPr>
      </w:pPr>
      <w:r w:rsidRPr="005516CD">
        <w:rPr>
          <w:rFonts w:asciiTheme="majorHAnsi" w:hAnsiTheme="majorHAnsi" w:cstheme="majorHAnsi"/>
          <w:i/>
        </w:rPr>
        <w:t>Mauritius Strategy for the sustainable development of Small Island Developing States (SIDS)</w:t>
      </w:r>
      <w:r w:rsidR="00476CB0" w:rsidRPr="005516CD">
        <w:rPr>
          <w:rFonts w:asciiTheme="majorHAnsi" w:hAnsiTheme="majorHAnsi" w:cstheme="majorHAnsi"/>
          <w:i/>
        </w:rPr>
        <w:t xml:space="preserve"> </w:t>
      </w:r>
    </w:p>
    <w:p w14:paraId="04117DD7" w14:textId="77777777" w:rsidR="00476CB0" w:rsidRPr="005516CD" w:rsidRDefault="0064544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This</w:t>
      </w:r>
      <w:r w:rsidR="00476CB0" w:rsidRPr="005516CD">
        <w:rPr>
          <w:rFonts w:asciiTheme="majorHAnsi" w:hAnsiTheme="majorHAnsi" w:cstheme="majorHAnsi"/>
          <w:sz w:val="20"/>
          <w:szCs w:val="20"/>
        </w:rPr>
        <w:t xml:space="preserve"> strat</w:t>
      </w:r>
      <w:r w:rsidRPr="005516CD">
        <w:rPr>
          <w:rFonts w:asciiTheme="majorHAnsi" w:hAnsiTheme="majorHAnsi" w:cstheme="majorHAnsi"/>
          <w:sz w:val="20"/>
          <w:szCs w:val="20"/>
        </w:rPr>
        <w:t xml:space="preserve">egy emphasises a series of connected measures notably related to climate change and sea level rise, natural and environmental </w:t>
      </w:r>
      <w:proofErr w:type="spellStart"/>
      <w:r w:rsidR="00476CB0" w:rsidRPr="005516CD">
        <w:rPr>
          <w:rFonts w:asciiTheme="majorHAnsi" w:hAnsiTheme="majorHAnsi" w:cstheme="majorHAnsi"/>
          <w:sz w:val="20"/>
          <w:szCs w:val="20"/>
        </w:rPr>
        <w:t>catastroph</w:t>
      </w:r>
      <w:r w:rsidRPr="005516CD">
        <w:rPr>
          <w:rFonts w:asciiTheme="majorHAnsi" w:hAnsiTheme="majorHAnsi" w:cstheme="majorHAnsi"/>
          <w:sz w:val="20"/>
          <w:szCs w:val="20"/>
        </w:rPr>
        <w:t>i</w:t>
      </w:r>
      <w:r w:rsidR="00476CB0" w:rsidRPr="005516CD">
        <w:rPr>
          <w:rFonts w:asciiTheme="majorHAnsi" w:hAnsiTheme="majorHAnsi" w:cstheme="majorHAnsi"/>
          <w:sz w:val="20"/>
          <w:szCs w:val="20"/>
        </w:rPr>
        <w:t>es</w:t>
      </w:r>
      <w:proofErr w:type="spellEnd"/>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waste management</w:t>
      </w:r>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the management and </w:t>
      </w:r>
      <w:r w:rsidR="00476CB0" w:rsidRPr="005516CD">
        <w:rPr>
          <w:rFonts w:asciiTheme="majorHAnsi" w:hAnsiTheme="majorHAnsi" w:cstheme="majorHAnsi"/>
          <w:sz w:val="20"/>
          <w:szCs w:val="20"/>
        </w:rPr>
        <w:t xml:space="preserve">protection </w:t>
      </w:r>
      <w:r w:rsidRPr="005516CD">
        <w:rPr>
          <w:rFonts w:asciiTheme="majorHAnsi" w:hAnsiTheme="majorHAnsi" w:cstheme="majorHAnsi"/>
          <w:sz w:val="20"/>
          <w:szCs w:val="20"/>
        </w:rPr>
        <w:t xml:space="preserve">of coastal and marine resources, and </w:t>
      </w:r>
      <w:r w:rsidR="00476CB0" w:rsidRPr="005516CD">
        <w:rPr>
          <w:rFonts w:asciiTheme="majorHAnsi" w:hAnsiTheme="majorHAnsi" w:cstheme="majorHAnsi"/>
          <w:sz w:val="20"/>
          <w:szCs w:val="20"/>
        </w:rPr>
        <w:t>biodiversit</w:t>
      </w:r>
      <w:r w:rsidRPr="005516CD">
        <w:rPr>
          <w:rFonts w:asciiTheme="majorHAnsi" w:hAnsiTheme="majorHAnsi" w:cstheme="majorHAnsi"/>
          <w:sz w:val="20"/>
          <w:szCs w:val="20"/>
        </w:rPr>
        <w:t>y</w:t>
      </w:r>
      <w:r w:rsidR="00476CB0" w:rsidRPr="005516CD">
        <w:rPr>
          <w:rFonts w:asciiTheme="majorHAnsi" w:hAnsiTheme="majorHAnsi" w:cstheme="majorHAnsi"/>
          <w:sz w:val="20"/>
          <w:szCs w:val="20"/>
        </w:rPr>
        <w:t xml:space="preserve">. </w:t>
      </w:r>
    </w:p>
    <w:p w14:paraId="2E155256" w14:textId="77777777" w:rsidR="00476CB0" w:rsidRPr="005516CD" w:rsidRDefault="0064544B" w:rsidP="006B27F4">
      <w:pPr>
        <w:pStyle w:val="Heading7"/>
        <w:numPr>
          <w:ilvl w:val="0"/>
          <w:numId w:val="106"/>
        </w:numPr>
        <w:spacing w:before="0"/>
        <w:rPr>
          <w:rFonts w:asciiTheme="majorHAnsi" w:hAnsiTheme="majorHAnsi" w:cstheme="majorHAnsi"/>
          <w:i/>
        </w:rPr>
      </w:pPr>
      <w:r w:rsidRPr="005516CD">
        <w:rPr>
          <w:rFonts w:asciiTheme="majorHAnsi" w:hAnsiTheme="majorHAnsi" w:cstheme="majorHAnsi"/>
          <w:i/>
        </w:rPr>
        <w:t xml:space="preserve">Regional </w:t>
      </w:r>
      <w:r w:rsidR="00476CB0" w:rsidRPr="005516CD">
        <w:rPr>
          <w:rFonts w:asciiTheme="majorHAnsi" w:hAnsiTheme="majorHAnsi" w:cstheme="majorHAnsi"/>
          <w:i/>
        </w:rPr>
        <w:t>Strat</w:t>
      </w:r>
      <w:r w:rsidRPr="005516CD">
        <w:rPr>
          <w:rFonts w:asciiTheme="majorHAnsi" w:hAnsiTheme="majorHAnsi" w:cstheme="majorHAnsi"/>
          <w:i/>
        </w:rPr>
        <w:t>e</w:t>
      </w:r>
      <w:r w:rsidR="00476CB0" w:rsidRPr="005516CD">
        <w:rPr>
          <w:rFonts w:asciiTheme="majorHAnsi" w:hAnsiTheme="majorHAnsi" w:cstheme="majorHAnsi"/>
          <w:i/>
        </w:rPr>
        <w:t>g</w:t>
      </w:r>
      <w:r w:rsidRPr="005516CD">
        <w:rPr>
          <w:rFonts w:asciiTheme="majorHAnsi" w:hAnsiTheme="majorHAnsi" w:cstheme="majorHAnsi"/>
          <w:i/>
        </w:rPr>
        <w:t>y</w:t>
      </w:r>
      <w:r w:rsidR="00476CB0" w:rsidRPr="005516CD">
        <w:rPr>
          <w:rFonts w:asciiTheme="majorHAnsi" w:hAnsiTheme="majorHAnsi" w:cstheme="majorHAnsi"/>
          <w:i/>
        </w:rPr>
        <w:t xml:space="preserve"> </w:t>
      </w:r>
      <w:r w:rsidRPr="005516CD">
        <w:rPr>
          <w:rFonts w:asciiTheme="majorHAnsi" w:hAnsiTheme="majorHAnsi" w:cstheme="majorHAnsi"/>
          <w:i/>
        </w:rPr>
        <w:t>for a Caribbean with CC-resilient sustainable development</w:t>
      </w:r>
      <w:r w:rsidR="00476CB0" w:rsidRPr="005516CD">
        <w:rPr>
          <w:rFonts w:asciiTheme="majorHAnsi" w:hAnsiTheme="majorHAnsi" w:cstheme="majorHAnsi"/>
          <w:i/>
        </w:rPr>
        <w:t xml:space="preserve"> (2009-2015). </w:t>
      </w:r>
    </w:p>
    <w:p w14:paraId="03046DAF" w14:textId="77777777" w:rsidR="00476CB0" w:rsidRPr="005516CD" w:rsidRDefault="0064544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This regional strategy has as its objective the preparation of member states for the development of resilience to </w:t>
      </w:r>
      <w:r w:rsidR="00EE27F9" w:rsidRPr="005516CD">
        <w:rPr>
          <w:rFonts w:asciiTheme="majorHAnsi" w:hAnsiTheme="majorHAnsi" w:cstheme="majorHAnsi"/>
          <w:sz w:val="20"/>
          <w:szCs w:val="20"/>
        </w:rPr>
        <w:t>climate-change (</w:t>
      </w:r>
      <w:r w:rsidRPr="005516CD">
        <w:rPr>
          <w:rFonts w:asciiTheme="majorHAnsi" w:hAnsiTheme="majorHAnsi" w:cstheme="majorHAnsi"/>
          <w:sz w:val="20"/>
          <w:szCs w:val="20"/>
        </w:rPr>
        <w:t>CC</w:t>
      </w:r>
      <w:r w:rsidR="00EE27F9" w:rsidRPr="005516CD">
        <w:rPr>
          <w:rFonts w:asciiTheme="majorHAnsi" w:hAnsiTheme="majorHAnsi" w:cstheme="majorHAnsi"/>
          <w:sz w:val="20"/>
          <w:szCs w:val="20"/>
        </w:rPr>
        <w:t>)</w:t>
      </w:r>
      <w:r w:rsidRPr="005516CD">
        <w:rPr>
          <w:rFonts w:asciiTheme="majorHAnsi" w:hAnsiTheme="majorHAnsi" w:cstheme="majorHAnsi"/>
          <w:sz w:val="20"/>
          <w:szCs w:val="20"/>
        </w:rPr>
        <w:t xml:space="preserve"> impacts, through </w:t>
      </w:r>
      <w:r w:rsidR="00476CB0" w:rsidRPr="005516CD">
        <w:rPr>
          <w:rFonts w:asciiTheme="majorHAnsi" w:hAnsiTheme="majorHAnsi" w:cstheme="majorHAnsi"/>
          <w:sz w:val="20"/>
          <w:szCs w:val="20"/>
        </w:rPr>
        <w:t>(</w:t>
      </w:r>
      <w:proofErr w:type="spellStart"/>
      <w:r w:rsidR="00476CB0" w:rsidRPr="005516CD">
        <w:rPr>
          <w:rFonts w:asciiTheme="majorHAnsi" w:hAnsiTheme="majorHAnsi" w:cstheme="majorHAnsi"/>
          <w:sz w:val="20"/>
          <w:szCs w:val="20"/>
        </w:rPr>
        <w:t>i</w:t>
      </w:r>
      <w:proofErr w:type="spellEnd"/>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the </w:t>
      </w:r>
      <w:r w:rsidR="00476CB0" w:rsidRPr="005516CD">
        <w:rPr>
          <w:rFonts w:asciiTheme="majorHAnsi" w:hAnsiTheme="majorHAnsi" w:cstheme="majorHAnsi"/>
          <w:sz w:val="20"/>
          <w:szCs w:val="20"/>
        </w:rPr>
        <w:t>int</w:t>
      </w:r>
      <w:r w:rsidRPr="005516CD">
        <w:rPr>
          <w:rFonts w:asciiTheme="majorHAnsi" w:hAnsiTheme="majorHAnsi" w:cstheme="majorHAnsi"/>
          <w:sz w:val="20"/>
          <w:szCs w:val="20"/>
        </w:rPr>
        <w:t>e</w:t>
      </w:r>
      <w:r w:rsidR="00476CB0" w:rsidRPr="005516CD">
        <w:rPr>
          <w:rFonts w:asciiTheme="majorHAnsi" w:hAnsiTheme="majorHAnsi" w:cstheme="majorHAnsi"/>
          <w:sz w:val="20"/>
          <w:szCs w:val="20"/>
        </w:rPr>
        <w:t xml:space="preserve">gration </w:t>
      </w:r>
      <w:r w:rsidRPr="005516CD">
        <w:rPr>
          <w:rFonts w:asciiTheme="majorHAnsi" w:hAnsiTheme="majorHAnsi" w:cstheme="majorHAnsi"/>
          <w:sz w:val="20"/>
          <w:szCs w:val="20"/>
        </w:rPr>
        <w:t xml:space="preserve">of CC adaptation </w:t>
      </w:r>
      <w:proofErr w:type="spellStart"/>
      <w:r w:rsidR="00476CB0" w:rsidRPr="005516CD">
        <w:rPr>
          <w:rFonts w:asciiTheme="majorHAnsi" w:hAnsiTheme="majorHAnsi" w:cstheme="majorHAnsi"/>
          <w:sz w:val="20"/>
          <w:szCs w:val="20"/>
        </w:rPr>
        <w:t>stratégies</w:t>
      </w:r>
      <w:proofErr w:type="spellEnd"/>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into the sustainable development </w:t>
      </w:r>
      <w:r w:rsidR="00476CB0" w:rsidRPr="005516CD">
        <w:rPr>
          <w:rFonts w:asciiTheme="majorHAnsi" w:hAnsiTheme="majorHAnsi" w:cstheme="majorHAnsi"/>
          <w:sz w:val="20"/>
          <w:szCs w:val="20"/>
        </w:rPr>
        <w:t xml:space="preserve">programmes </w:t>
      </w:r>
      <w:r w:rsidRPr="005516CD">
        <w:rPr>
          <w:rFonts w:asciiTheme="majorHAnsi" w:hAnsiTheme="majorHAnsi" w:cstheme="majorHAnsi"/>
          <w:sz w:val="20"/>
          <w:szCs w:val="20"/>
        </w:rPr>
        <w:t xml:space="preserve">of </w:t>
      </w:r>
      <w:r w:rsidR="00EE27F9" w:rsidRPr="005516CD">
        <w:rPr>
          <w:rFonts w:asciiTheme="majorHAnsi" w:hAnsiTheme="majorHAnsi" w:cstheme="majorHAnsi"/>
          <w:sz w:val="20"/>
          <w:szCs w:val="20"/>
        </w:rPr>
        <w:t>Caribbean Community (</w:t>
      </w:r>
      <w:r w:rsidR="00476CB0" w:rsidRPr="005516CD">
        <w:rPr>
          <w:rFonts w:asciiTheme="majorHAnsi" w:hAnsiTheme="majorHAnsi" w:cstheme="majorHAnsi"/>
          <w:sz w:val="20"/>
          <w:szCs w:val="20"/>
        </w:rPr>
        <w:t>CARICOM</w:t>
      </w:r>
      <w:r w:rsidR="00EE27F9" w:rsidRPr="005516CD">
        <w:rPr>
          <w:rFonts w:asciiTheme="majorHAnsi" w:hAnsiTheme="majorHAnsi" w:cstheme="majorHAnsi"/>
          <w:sz w:val="20"/>
          <w:szCs w:val="20"/>
        </w:rPr>
        <w:t>)</w:t>
      </w:r>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states</w:t>
      </w:r>
      <w:r w:rsidR="00476CB0" w:rsidRPr="005516CD">
        <w:rPr>
          <w:rFonts w:asciiTheme="majorHAnsi" w:hAnsiTheme="majorHAnsi" w:cstheme="majorHAnsi"/>
          <w:sz w:val="20"/>
          <w:szCs w:val="20"/>
        </w:rPr>
        <w:t xml:space="preserve">; (ii) </w:t>
      </w:r>
      <w:r w:rsidRPr="005516CD">
        <w:rPr>
          <w:rFonts w:asciiTheme="majorHAnsi" w:hAnsiTheme="majorHAnsi" w:cstheme="majorHAnsi"/>
          <w:sz w:val="20"/>
          <w:szCs w:val="20"/>
        </w:rPr>
        <w:t xml:space="preserve">the </w:t>
      </w:r>
      <w:r w:rsidR="00476CB0" w:rsidRPr="005516CD">
        <w:rPr>
          <w:rFonts w:asciiTheme="majorHAnsi" w:hAnsiTheme="majorHAnsi" w:cstheme="majorHAnsi"/>
          <w:sz w:val="20"/>
          <w:szCs w:val="20"/>
        </w:rPr>
        <w:t xml:space="preserve">promotion </w:t>
      </w:r>
      <w:r w:rsidRPr="005516CD">
        <w:rPr>
          <w:rFonts w:asciiTheme="majorHAnsi" w:hAnsiTheme="majorHAnsi" w:cstheme="majorHAnsi"/>
          <w:sz w:val="20"/>
          <w:szCs w:val="20"/>
        </w:rPr>
        <w:t xml:space="preserve">of </w:t>
      </w:r>
      <w:r w:rsidR="00476CB0" w:rsidRPr="005516CD">
        <w:rPr>
          <w:rFonts w:asciiTheme="majorHAnsi" w:hAnsiTheme="majorHAnsi" w:cstheme="majorHAnsi"/>
          <w:sz w:val="20"/>
          <w:szCs w:val="20"/>
        </w:rPr>
        <w:t xml:space="preserve">actions </w:t>
      </w:r>
      <w:r w:rsidRPr="005516CD">
        <w:rPr>
          <w:rFonts w:asciiTheme="majorHAnsi" w:hAnsiTheme="majorHAnsi" w:cstheme="majorHAnsi"/>
          <w:sz w:val="20"/>
          <w:szCs w:val="20"/>
        </w:rPr>
        <w:t xml:space="preserve">aimed at reducing GHG emissions through energy </w:t>
      </w:r>
      <w:r w:rsidR="00476CB0" w:rsidRPr="005516CD">
        <w:rPr>
          <w:rFonts w:asciiTheme="majorHAnsi" w:hAnsiTheme="majorHAnsi" w:cstheme="majorHAnsi"/>
          <w:sz w:val="20"/>
          <w:szCs w:val="20"/>
        </w:rPr>
        <w:t xml:space="preserve">conservation </w:t>
      </w:r>
      <w:r w:rsidRPr="005516CD">
        <w:rPr>
          <w:rFonts w:asciiTheme="majorHAnsi" w:hAnsiTheme="majorHAnsi" w:cstheme="majorHAnsi"/>
          <w:sz w:val="20"/>
          <w:szCs w:val="20"/>
        </w:rPr>
        <w:t xml:space="preserve">and efficiency measures and reduction of the vulnerability of human and natural systems in </w:t>
      </w:r>
      <w:r w:rsidR="00476CB0" w:rsidRPr="005516CD">
        <w:rPr>
          <w:rFonts w:asciiTheme="majorHAnsi" w:hAnsiTheme="majorHAnsi" w:cstheme="majorHAnsi"/>
          <w:sz w:val="20"/>
          <w:szCs w:val="20"/>
        </w:rPr>
        <w:t xml:space="preserve">CARICOM </w:t>
      </w:r>
      <w:r w:rsidRPr="005516CD">
        <w:rPr>
          <w:rFonts w:asciiTheme="majorHAnsi" w:hAnsiTheme="majorHAnsi" w:cstheme="majorHAnsi"/>
          <w:sz w:val="20"/>
          <w:szCs w:val="20"/>
        </w:rPr>
        <w:t>states</w:t>
      </w:r>
      <w:r w:rsidR="00476CB0" w:rsidRPr="005516CD">
        <w:rPr>
          <w:rFonts w:asciiTheme="majorHAnsi" w:hAnsiTheme="majorHAnsi" w:cstheme="majorHAnsi"/>
          <w:sz w:val="20"/>
          <w:szCs w:val="20"/>
        </w:rPr>
        <w:t xml:space="preserve">; (iii) </w:t>
      </w:r>
      <w:r w:rsidRPr="005516CD">
        <w:rPr>
          <w:rFonts w:asciiTheme="majorHAnsi" w:hAnsiTheme="majorHAnsi" w:cstheme="majorHAnsi"/>
          <w:sz w:val="20"/>
          <w:szCs w:val="20"/>
        </w:rPr>
        <w:t xml:space="preserve">the </w:t>
      </w:r>
      <w:r w:rsidR="00476CB0" w:rsidRPr="005516CD">
        <w:rPr>
          <w:rFonts w:asciiTheme="majorHAnsi" w:hAnsiTheme="majorHAnsi" w:cstheme="majorHAnsi"/>
          <w:sz w:val="20"/>
          <w:szCs w:val="20"/>
        </w:rPr>
        <w:t xml:space="preserve">promotion </w:t>
      </w:r>
      <w:r w:rsidRPr="005516CD">
        <w:rPr>
          <w:rFonts w:asciiTheme="majorHAnsi" w:hAnsiTheme="majorHAnsi" w:cstheme="majorHAnsi"/>
          <w:sz w:val="20"/>
          <w:szCs w:val="20"/>
        </w:rPr>
        <w:t xml:space="preserve">of </w:t>
      </w:r>
      <w:r w:rsidR="00476CB0" w:rsidRPr="005516CD">
        <w:rPr>
          <w:rFonts w:asciiTheme="majorHAnsi" w:hAnsiTheme="majorHAnsi" w:cstheme="majorHAnsi"/>
          <w:sz w:val="20"/>
          <w:szCs w:val="20"/>
        </w:rPr>
        <w:t xml:space="preserve">actions </w:t>
      </w:r>
      <w:r w:rsidRPr="005516CD">
        <w:rPr>
          <w:rFonts w:asciiTheme="majorHAnsi" w:hAnsiTheme="majorHAnsi" w:cstheme="majorHAnsi"/>
          <w:sz w:val="20"/>
          <w:szCs w:val="20"/>
        </w:rPr>
        <w:t xml:space="preserve">able to realise the social, economic and environmental benefits of </w:t>
      </w:r>
      <w:r w:rsidR="00F467E5" w:rsidRPr="005516CD">
        <w:rPr>
          <w:rFonts w:asciiTheme="majorHAnsi" w:hAnsiTheme="majorHAnsi" w:cstheme="majorHAnsi"/>
          <w:sz w:val="20"/>
          <w:szCs w:val="20"/>
        </w:rPr>
        <w:t>sound management of remaining forests</w:t>
      </w:r>
      <w:r w:rsidR="00476CB0" w:rsidRPr="005516CD">
        <w:rPr>
          <w:rFonts w:asciiTheme="majorHAnsi" w:hAnsiTheme="majorHAnsi" w:cstheme="majorHAnsi"/>
          <w:sz w:val="20"/>
          <w:szCs w:val="20"/>
        </w:rPr>
        <w:t xml:space="preserve">. </w:t>
      </w:r>
    </w:p>
    <w:p w14:paraId="5BF08E24" w14:textId="77777777" w:rsidR="00476CB0" w:rsidRPr="005516CD" w:rsidRDefault="00A814A0" w:rsidP="006B27F4">
      <w:pPr>
        <w:pStyle w:val="Heading7"/>
        <w:numPr>
          <w:ilvl w:val="0"/>
          <w:numId w:val="106"/>
        </w:numPr>
        <w:spacing w:before="0"/>
        <w:rPr>
          <w:rFonts w:asciiTheme="majorHAnsi" w:hAnsiTheme="majorHAnsi" w:cstheme="majorHAnsi"/>
          <w:i/>
        </w:rPr>
      </w:pPr>
      <w:r w:rsidRPr="005516CD">
        <w:rPr>
          <w:rFonts w:asciiTheme="majorHAnsi" w:hAnsiTheme="majorHAnsi" w:cstheme="majorHAnsi"/>
          <w:i/>
        </w:rPr>
        <w:t xml:space="preserve">The </w:t>
      </w:r>
      <w:r w:rsidR="00476CB0" w:rsidRPr="005516CD">
        <w:rPr>
          <w:rFonts w:asciiTheme="majorHAnsi" w:hAnsiTheme="majorHAnsi" w:cstheme="majorHAnsi"/>
          <w:i/>
        </w:rPr>
        <w:t xml:space="preserve">Saint-Marc/Haïti </w:t>
      </w:r>
      <w:r w:rsidRPr="005516CD">
        <w:rPr>
          <w:rFonts w:asciiTheme="majorHAnsi" w:hAnsiTheme="majorHAnsi" w:cstheme="majorHAnsi"/>
          <w:i/>
        </w:rPr>
        <w:t xml:space="preserve">Action Pan for the </w:t>
      </w:r>
      <w:r w:rsidR="00476CB0" w:rsidRPr="005516CD">
        <w:rPr>
          <w:rFonts w:asciiTheme="majorHAnsi" w:hAnsiTheme="majorHAnsi" w:cstheme="majorHAnsi"/>
          <w:i/>
        </w:rPr>
        <w:t xml:space="preserve">Association </w:t>
      </w:r>
      <w:r w:rsidRPr="005516CD">
        <w:rPr>
          <w:rFonts w:asciiTheme="majorHAnsi" w:hAnsiTheme="majorHAnsi" w:cstheme="majorHAnsi"/>
          <w:i/>
        </w:rPr>
        <w:t>of Caribbean States</w:t>
      </w:r>
      <w:r w:rsidR="00476CB0" w:rsidRPr="005516CD">
        <w:rPr>
          <w:rFonts w:asciiTheme="majorHAnsi" w:hAnsiTheme="majorHAnsi" w:cstheme="majorHAnsi"/>
          <w:i/>
        </w:rPr>
        <w:t xml:space="preserve"> </w:t>
      </w:r>
    </w:p>
    <w:p w14:paraId="3689E46E" w14:textId="77777777" w:rsidR="00476CB0" w:rsidRPr="005516CD" w:rsidRDefault="00A814A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This plan implements the political commitments related to the resolutions of the Hyogo action framework, concerning the hierarchisation of risk considerations in national policy frameworks</w:t>
      </w:r>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It is considered to be the </w:t>
      </w:r>
      <w:r w:rsidR="00476CB0" w:rsidRPr="005516CD">
        <w:rPr>
          <w:rFonts w:asciiTheme="majorHAnsi" w:hAnsiTheme="majorHAnsi" w:cstheme="majorHAnsi"/>
          <w:sz w:val="20"/>
          <w:szCs w:val="20"/>
        </w:rPr>
        <w:t xml:space="preserve">guide </w:t>
      </w:r>
      <w:r w:rsidRPr="005516CD">
        <w:rPr>
          <w:rFonts w:asciiTheme="majorHAnsi" w:hAnsiTheme="majorHAnsi" w:cstheme="majorHAnsi"/>
          <w:sz w:val="20"/>
          <w:szCs w:val="20"/>
        </w:rPr>
        <w:t xml:space="preserve">for the work </w:t>
      </w:r>
      <w:r w:rsidR="00476CB0" w:rsidRPr="005516CD">
        <w:rPr>
          <w:rFonts w:asciiTheme="majorHAnsi" w:hAnsiTheme="majorHAnsi" w:cstheme="majorHAnsi"/>
          <w:sz w:val="20"/>
          <w:szCs w:val="20"/>
        </w:rPr>
        <w:t xml:space="preserve">programme </w:t>
      </w:r>
      <w:r w:rsidRPr="005516CD">
        <w:rPr>
          <w:rFonts w:asciiTheme="majorHAnsi" w:hAnsiTheme="majorHAnsi" w:cstheme="majorHAnsi"/>
          <w:sz w:val="20"/>
          <w:szCs w:val="20"/>
        </w:rPr>
        <w:t xml:space="preserve">of the </w:t>
      </w:r>
      <w:r w:rsidR="00476CB0" w:rsidRPr="005516CD">
        <w:rPr>
          <w:rFonts w:asciiTheme="majorHAnsi" w:hAnsiTheme="majorHAnsi" w:cstheme="majorHAnsi"/>
          <w:sz w:val="20"/>
          <w:szCs w:val="20"/>
        </w:rPr>
        <w:t xml:space="preserve">Association </w:t>
      </w:r>
      <w:r w:rsidRPr="005516CD">
        <w:rPr>
          <w:rFonts w:asciiTheme="majorHAnsi" w:hAnsiTheme="majorHAnsi" w:cstheme="majorHAnsi"/>
          <w:sz w:val="20"/>
          <w:szCs w:val="20"/>
        </w:rPr>
        <w:t xml:space="preserve">of Caribbean States </w:t>
      </w:r>
      <w:r w:rsidR="00476CB0" w:rsidRPr="005516CD">
        <w:rPr>
          <w:rFonts w:asciiTheme="majorHAnsi" w:hAnsiTheme="majorHAnsi" w:cstheme="majorHAnsi"/>
          <w:sz w:val="20"/>
          <w:szCs w:val="20"/>
        </w:rPr>
        <w:t xml:space="preserve">(AEC) </w:t>
      </w:r>
      <w:r w:rsidRPr="005516CD">
        <w:rPr>
          <w:rFonts w:asciiTheme="majorHAnsi" w:hAnsiTheme="majorHAnsi" w:cstheme="majorHAnsi"/>
          <w:sz w:val="20"/>
          <w:szCs w:val="20"/>
        </w:rPr>
        <w:t xml:space="preserve">for the </w:t>
      </w:r>
      <w:r w:rsidR="00476CB0" w:rsidRPr="005516CD">
        <w:rPr>
          <w:rFonts w:asciiTheme="majorHAnsi" w:hAnsiTheme="majorHAnsi" w:cstheme="majorHAnsi"/>
          <w:sz w:val="20"/>
          <w:szCs w:val="20"/>
        </w:rPr>
        <w:t>r</w:t>
      </w:r>
      <w:r w:rsidRPr="005516CD">
        <w:rPr>
          <w:rFonts w:asciiTheme="majorHAnsi" w:hAnsiTheme="majorHAnsi" w:cstheme="majorHAnsi"/>
          <w:sz w:val="20"/>
          <w:szCs w:val="20"/>
        </w:rPr>
        <w:t>e</w:t>
      </w:r>
      <w:r w:rsidR="00476CB0" w:rsidRPr="005516CD">
        <w:rPr>
          <w:rFonts w:asciiTheme="majorHAnsi" w:hAnsiTheme="majorHAnsi" w:cstheme="majorHAnsi"/>
          <w:sz w:val="20"/>
          <w:szCs w:val="20"/>
        </w:rPr>
        <w:t xml:space="preserve">duction </w:t>
      </w:r>
      <w:r w:rsidRPr="005516CD">
        <w:rPr>
          <w:rFonts w:asciiTheme="majorHAnsi" w:hAnsiTheme="majorHAnsi" w:cstheme="majorHAnsi"/>
          <w:sz w:val="20"/>
          <w:szCs w:val="20"/>
        </w:rPr>
        <w:t>of disaster risks</w:t>
      </w:r>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and therefore provides for</w:t>
      </w:r>
      <w:r w:rsidR="00476CB0" w:rsidRPr="005516CD">
        <w:rPr>
          <w:rFonts w:asciiTheme="majorHAnsi" w:hAnsiTheme="majorHAnsi" w:cstheme="majorHAnsi"/>
          <w:sz w:val="20"/>
          <w:szCs w:val="20"/>
        </w:rPr>
        <w:t xml:space="preserve">: </w:t>
      </w:r>
      <w:proofErr w:type="spellStart"/>
      <w:r w:rsidR="00476CB0" w:rsidRPr="005516CD">
        <w:rPr>
          <w:rFonts w:asciiTheme="majorHAnsi" w:hAnsiTheme="majorHAnsi" w:cstheme="majorHAnsi"/>
          <w:sz w:val="20"/>
          <w:szCs w:val="20"/>
        </w:rPr>
        <w:t>i</w:t>
      </w:r>
      <w:proofErr w:type="spellEnd"/>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the provision of </w:t>
      </w:r>
      <w:r w:rsidR="00476CB0" w:rsidRPr="005516CD">
        <w:rPr>
          <w:rFonts w:asciiTheme="majorHAnsi" w:hAnsiTheme="majorHAnsi" w:cstheme="majorHAnsi"/>
          <w:sz w:val="20"/>
          <w:szCs w:val="20"/>
        </w:rPr>
        <w:t xml:space="preserve">assistance </w:t>
      </w:r>
      <w:r w:rsidRPr="005516CD">
        <w:rPr>
          <w:rFonts w:asciiTheme="majorHAnsi" w:hAnsiTheme="majorHAnsi" w:cstheme="majorHAnsi"/>
          <w:sz w:val="20"/>
          <w:szCs w:val="20"/>
        </w:rPr>
        <w:t xml:space="preserve">as needed at regional, </w:t>
      </w:r>
      <w:r w:rsidR="00476CB0" w:rsidRPr="005516CD">
        <w:rPr>
          <w:rFonts w:asciiTheme="majorHAnsi" w:hAnsiTheme="majorHAnsi" w:cstheme="majorHAnsi"/>
          <w:sz w:val="20"/>
          <w:szCs w:val="20"/>
        </w:rPr>
        <w:t xml:space="preserve">national </w:t>
      </w:r>
      <w:r w:rsidRPr="005516CD">
        <w:rPr>
          <w:rFonts w:asciiTheme="majorHAnsi" w:hAnsiTheme="majorHAnsi" w:cstheme="majorHAnsi"/>
          <w:sz w:val="20"/>
          <w:szCs w:val="20"/>
        </w:rPr>
        <w:t xml:space="preserve">and </w:t>
      </w:r>
      <w:r w:rsidR="00476CB0" w:rsidRPr="005516CD">
        <w:rPr>
          <w:rFonts w:asciiTheme="majorHAnsi" w:hAnsiTheme="majorHAnsi" w:cstheme="majorHAnsi"/>
          <w:sz w:val="20"/>
          <w:szCs w:val="20"/>
        </w:rPr>
        <w:t xml:space="preserve">local </w:t>
      </w:r>
      <w:r w:rsidRPr="005516CD">
        <w:rPr>
          <w:rFonts w:asciiTheme="majorHAnsi" w:hAnsiTheme="majorHAnsi" w:cstheme="majorHAnsi"/>
          <w:sz w:val="20"/>
          <w:szCs w:val="20"/>
        </w:rPr>
        <w:t>levels for the formulation and strengthening of community disaster risk management plans</w:t>
      </w:r>
      <w:r w:rsidR="00476CB0" w:rsidRPr="005516CD">
        <w:rPr>
          <w:rFonts w:asciiTheme="majorHAnsi" w:hAnsiTheme="majorHAnsi" w:cstheme="majorHAnsi"/>
          <w:sz w:val="20"/>
          <w:szCs w:val="20"/>
        </w:rPr>
        <w:t xml:space="preserve">; ii) </w:t>
      </w:r>
      <w:r w:rsidRPr="005516CD">
        <w:rPr>
          <w:rFonts w:asciiTheme="majorHAnsi" w:hAnsiTheme="majorHAnsi" w:cstheme="majorHAnsi"/>
          <w:sz w:val="20"/>
          <w:szCs w:val="20"/>
        </w:rPr>
        <w:t xml:space="preserve">promoting </w:t>
      </w:r>
      <w:r w:rsidR="00476CB0" w:rsidRPr="005516CD">
        <w:rPr>
          <w:rFonts w:asciiTheme="majorHAnsi" w:hAnsiTheme="majorHAnsi" w:cstheme="majorHAnsi"/>
          <w:sz w:val="20"/>
          <w:szCs w:val="20"/>
        </w:rPr>
        <w:t xml:space="preserve">synergies </w:t>
      </w:r>
      <w:r w:rsidRPr="005516CD">
        <w:rPr>
          <w:rFonts w:asciiTheme="majorHAnsi" w:hAnsiTheme="majorHAnsi" w:cstheme="majorHAnsi"/>
          <w:sz w:val="20"/>
          <w:szCs w:val="20"/>
        </w:rPr>
        <w:t xml:space="preserve">between the Hyogo Action Framework and international mechanisms related to PEID, and </w:t>
      </w:r>
      <w:r w:rsidR="00476CB0" w:rsidRPr="005516CD">
        <w:rPr>
          <w:rFonts w:asciiTheme="majorHAnsi" w:hAnsiTheme="majorHAnsi" w:cstheme="majorHAnsi"/>
          <w:sz w:val="20"/>
          <w:szCs w:val="20"/>
        </w:rPr>
        <w:t>contribu</w:t>
      </w:r>
      <w:r w:rsidRPr="005516CD">
        <w:rPr>
          <w:rFonts w:asciiTheme="majorHAnsi" w:hAnsiTheme="majorHAnsi" w:cstheme="majorHAnsi"/>
          <w:sz w:val="20"/>
          <w:szCs w:val="20"/>
        </w:rPr>
        <w:t xml:space="preserve">ting to the </w:t>
      </w:r>
      <w:r w:rsidR="00476CB0" w:rsidRPr="005516CD">
        <w:rPr>
          <w:rFonts w:asciiTheme="majorHAnsi" w:hAnsiTheme="majorHAnsi" w:cstheme="majorHAnsi"/>
          <w:sz w:val="20"/>
          <w:szCs w:val="20"/>
        </w:rPr>
        <w:t>cr</w:t>
      </w:r>
      <w:r w:rsidRPr="005516CD">
        <w:rPr>
          <w:rFonts w:asciiTheme="majorHAnsi" w:hAnsiTheme="majorHAnsi" w:cstheme="majorHAnsi"/>
          <w:sz w:val="20"/>
          <w:szCs w:val="20"/>
        </w:rPr>
        <w:t>e</w:t>
      </w:r>
      <w:r w:rsidR="00476CB0" w:rsidRPr="005516CD">
        <w:rPr>
          <w:rFonts w:asciiTheme="majorHAnsi" w:hAnsiTheme="majorHAnsi" w:cstheme="majorHAnsi"/>
          <w:sz w:val="20"/>
          <w:szCs w:val="20"/>
        </w:rPr>
        <w:t xml:space="preserve">ation </w:t>
      </w:r>
      <w:r w:rsidRPr="005516CD">
        <w:rPr>
          <w:rFonts w:asciiTheme="majorHAnsi" w:hAnsiTheme="majorHAnsi" w:cstheme="majorHAnsi"/>
          <w:sz w:val="20"/>
          <w:szCs w:val="20"/>
        </w:rPr>
        <w:t xml:space="preserve">of </w:t>
      </w:r>
      <w:r w:rsidR="00476CB0" w:rsidRPr="005516CD">
        <w:rPr>
          <w:rFonts w:asciiTheme="majorHAnsi" w:hAnsiTheme="majorHAnsi" w:cstheme="majorHAnsi"/>
          <w:sz w:val="20"/>
          <w:szCs w:val="20"/>
        </w:rPr>
        <w:t xml:space="preserve">instruments </w:t>
      </w:r>
      <w:r w:rsidRPr="005516CD">
        <w:rPr>
          <w:rFonts w:asciiTheme="majorHAnsi" w:hAnsiTheme="majorHAnsi" w:cstheme="majorHAnsi"/>
          <w:sz w:val="20"/>
          <w:szCs w:val="20"/>
        </w:rPr>
        <w:t>for the strengthening of national capacities for the reduction of the effects of disasters, the development and deployment of early warning systems</w:t>
      </w:r>
      <w:r w:rsidR="00476CB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ensuring the </w:t>
      </w:r>
      <w:r w:rsidR="00476CB0" w:rsidRPr="005516CD">
        <w:rPr>
          <w:rFonts w:asciiTheme="majorHAnsi" w:hAnsiTheme="majorHAnsi" w:cstheme="majorHAnsi"/>
          <w:sz w:val="20"/>
          <w:szCs w:val="20"/>
        </w:rPr>
        <w:t xml:space="preserve">transfer </w:t>
      </w:r>
      <w:r w:rsidRPr="005516CD">
        <w:rPr>
          <w:rFonts w:asciiTheme="majorHAnsi" w:hAnsiTheme="majorHAnsi" w:cstheme="majorHAnsi"/>
          <w:sz w:val="20"/>
          <w:szCs w:val="20"/>
        </w:rPr>
        <w:t xml:space="preserve">of </w:t>
      </w:r>
      <w:r w:rsidR="00476CB0" w:rsidRPr="005516CD">
        <w:rPr>
          <w:rFonts w:asciiTheme="majorHAnsi" w:hAnsiTheme="majorHAnsi" w:cstheme="majorHAnsi"/>
          <w:sz w:val="20"/>
          <w:szCs w:val="20"/>
        </w:rPr>
        <w:t xml:space="preserve">technologies </w:t>
      </w:r>
      <w:r w:rsidRPr="005516CD">
        <w:rPr>
          <w:rFonts w:asciiTheme="majorHAnsi" w:hAnsiTheme="majorHAnsi" w:cstheme="majorHAnsi"/>
          <w:sz w:val="20"/>
          <w:szCs w:val="20"/>
        </w:rPr>
        <w:t xml:space="preserve">and carrying out vulnerability assessments. </w:t>
      </w:r>
    </w:p>
    <w:p w14:paraId="630D2946" w14:textId="77777777" w:rsidR="001771FE" w:rsidRPr="005516CD" w:rsidRDefault="002A2731" w:rsidP="002A2731">
      <w:pPr>
        <w:pStyle w:val="Heading7"/>
        <w:spacing w:before="0"/>
        <w:ind w:left="0"/>
        <w:rPr>
          <w:rFonts w:asciiTheme="majorHAnsi" w:hAnsiTheme="majorHAnsi" w:cstheme="majorHAnsi"/>
          <w:i/>
          <w:lang w:val="fr-FR"/>
        </w:rPr>
      </w:pPr>
      <w:proofErr w:type="spellStart"/>
      <w:r w:rsidRPr="005516CD">
        <w:rPr>
          <w:rFonts w:asciiTheme="majorHAnsi" w:hAnsiTheme="majorHAnsi" w:cstheme="majorHAnsi"/>
          <w:i/>
          <w:lang w:val="fr-FR"/>
        </w:rPr>
        <w:t>Cooperatives</w:t>
      </w:r>
      <w:proofErr w:type="spellEnd"/>
    </w:p>
    <w:p w14:paraId="0AF5500E" w14:textId="77777777" w:rsidR="00FB4957" w:rsidRPr="005516CD" w:rsidRDefault="00FB495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Over the last three decades, a number of agencies have supported the maintenance of agroforestry systems. Since, 1986, cooperatives in the area have come to play an increasing role in the marketing of coffee and c</w:t>
      </w:r>
      <w:r w:rsidR="00A504BA" w:rsidRPr="005516CD">
        <w:rPr>
          <w:rFonts w:asciiTheme="majorHAnsi" w:hAnsiTheme="majorHAnsi" w:cstheme="majorHAnsi"/>
          <w:sz w:val="20"/>
          <w:szCs w:val="20"/>
        </w:rPr>
        <w:t>o</w:t>
      </w:r>
      <w:r w:rsidRPr="005516CD">
        <w:rPr>
          <w:rFonts w:asciiTheme="majorHAnsi" w:hAnsiTheme="majorHAnsi" w:cstheme="majorHAnsi"/>
          <w:sz w:val="20"/>
          <w:szCs w:val="20"/>
        </w:rPr>
        <w:t>c</w:t>
      </w:r>
      <w:r w:rsidR="00A504BA" w:rsidRPr="005516CD">
        <w:rPr>
          <w:rFonts w:asciiTheme="majorHAnsi" w:hAnsiTheme="majorHAnsi" w:cstheme="majorHAnsi"/>
          <w:sz w:val="20"/>
          <w:szCs w:val="20"/>
        </w:rPr>
        <w:t>o</w:t>
      </w:r>
      <w:r w:rsidRPr="005516CD">
        <w:rPr>
          <w:rFonts w:asciiTheme="majorHAnsi" w:hAnsiTheme="majorHAnsi" w:cstheme="majorHAnsi"/>
          <w:sz w:val="20"/>
          <w:szCs w:val="20"/>
        </w:rPr>
        <w:t>a, following the departure of other powerful actors. The main cooperatives in the area (CAPB, CAFUPBO) were regrouped at the end of the 1990s around the Network of Coffee Cooperatives in the North Region (RECOCARNO) for the marketing of coffee, and the Federation of Cacao Cooperatives of the North (FECCANO) in the case of cacao.</w:t>
      </w:r>
    </w:p>
    <w:p w14:paraId="000CD29A" w14:textId="77777777" w:rsidR="00FB4957" w:rsidRPr="005516CD" w:rsidRDefault="00FB495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RECOCARNO has supported cooperative members with the regeneration of old coffee plantations and the establishment of new plantations, with the use of compost as the main fertiliser in order to facilitate access to equitable markets where the best prices are obtained. </w:t>
      </w:r>
      <w:r w:rsidR="00815EEF" w:rsidRPr="005516CD">
        <w:rPr>
          <w:rFonts w:asciiTheme="majorHAnsi" w:hAnsiTheme="majorHAnsi" w:cstheme="majorHAnsi"/>
          <w:sz w:val="20"/>
          <w:szCs w:val="20"/>
        </w:rPr>
        <w:t>Coffee production has since markedly declined in the region, due in part to pests and diseases, and RECOCARNO now operates on a very small scale. FECCANO is mainly focused on the production of fermented coffee for export.</w:t>
      </w:r>
    </w:p>
    <w:p w14:paraId="06F80330" w14:textId="77777777" w:rsidR="001771FE" w:rsidRPr="005516CD" w:rsidRDefault="00045B04" w:rsidP="007B146B">
      <w:pPr>
        <w:pStyle w:val="Heading2"/>
        <w:spacing w:after="120"/>
        <w:ind w:left="0"/>
        <w:rPr>
          <w:rStyle w:val="None"/>
          <w:rFonts w:ascii="Calibri" w:eastAsia="Calibri" w:hAnsi="Calibri" w:cs="Calibri"/>
          <w:u w:val="single"/>
        </w:rPr>
      </w:pPr>
      <w:bookmarkStart w:id="25" w:name="_Toc8933075"/>
      <w:r w:rsidRPr="005516CD">
        <w:rPr>
          <w:rStyle w:val="None"/>
          <w:rFonts w:ascii="Calibri" w:eastAsia="Calibri" w:hAnsi="Calibri" w:cs="Calibri"/>
          <w:u w:val="single"/>
          <w:lang w:val="en-US"/>
        </w:rPr>
        <w:t>Threats and drivers</w:t>
      </w:r>
      <w:bookmarkEnd w:id="25"/>
    </w:p>
    <w:p w14:paraId="739F067A" w14:textId="09AC9516" w:rsidR="006C66B5" w:rsidRPr="005516CD" w:rsidRDefault="006C66B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2"/>
        </w:rPr>
      </w:pPr>
      <w:r w:rsidRPr="005516CD">
        <w:rPr>
          <w:rFonts w:asciiTheme="majorHAnsi" w:hAnsiTheme="majorHAnsi" w:cstheme="majorHAnsi"/>
          <w:sz w:val="20"/>
          <w:szCs w:val="22"/>
        </w:rPr>
        <w:t xml:space="preserve">Participants in focus groups during the process of project formulation identified a number of changes that have occurred over the last three decades </w:t>
      </w:r>
      <w:r w:rsidR="00F13F79" w:rsidRPr="005516CD">
        <w:rPr>
          <w:rFonts w:asciiTheme="majorHAnsi" w:hAnsiTheme="majorHAnsi" w:cstheme="majorHAnsi"/>
          <w:sz w:val="20"/>
          <w:szCs w:val="22"/>
        </w:rPr>
        <w:t>in the more degraded parts of the project area</w:t>
      </w:r>
      <w:r w:rsidR="00D5146A" w:rsidRPr="005516CD">
        <w:rPr>
          <w:rFonts w:asciiTheme="majorHAnsi" w:hAnsiTheme="majorHAnsi" w:cstheme="majorHAnsi"/>
          <w:sz w:val="20"/>
          <w:szCs w:val="22"/>
        </w:rPr>
        <w:t>,</w:t>
      </w:r>
      <w:r w:rsidR="00F13F79" w:rsidRPr="005516CD">
        <w:rPr>
          <w:rFonts w:asciiTheme="majorHAnsi" w:hAnsiTheme="majorHAnsi" w:cstheme="majorHAnsi"/>
          <w:sz w:val="20"/>
          <w:szCs w:val="22"/>
        </w:rPr>
        <w:t xml:space="preserve"> </w:t>
      </w:r>
      <w:r w:rsidRPr="005516CD">
        <w:rPr>
          <w:rFonts w:asciiTheme="majorHAnsi" w:hAnsiTheme="majorHAnsi" w:cstheme="majorHAnsi"/>
          <w:sz w:val="20"/>
          <w:szCs w:val="22"/>
        </w:rPr>
        <w:t>comparing the situation in 1990 to that of today</w:t>
      </w:r>
      <w:r w:rsidR="00D5146A" w:rsidRPr="005516CD">
        <w:rPr>
          <w:rFonts w:asciiTheme="majorHAnsi" w:hAnsiTheme="majorHAnsi" w:cstheme="majorHAnsi"/>
          <w:sz w:val="20"/>
          <w:szCs w:val="22"/>
        </w:rPr>
        <w:t xml:space="preserve"> (see </w:t>
      </w:r>
      <w:r w:rsidR="002A2731" w:rsidRPr="005516CD">
        <w:rPr>
          <w:rFonts w:asciiTheme="majorHAnsi" w:hAnsiTheme="majorHAnsi" w:cstheme="majorHAnsi"/>
          <w:sz w:val="20"/>
          <w:szCs w:val="22"/>
        </w:rPr>
        <w:fldChar w:fldCharType="begin"/>
      </w:r>
      <w:r w:rsidR="002A2731" w:rsidRPr="005516CD">
        <w:rPr>
          <w:rFonts w:asciiTheme="majorHAnsi" w:hAnsiTheme="majorHAnsi" w:cstheme="majorHAnsi"/>
          <w:sz w:val="20"/>
          <w:szCs w:val="22"/>
        </w:rPr>
        <w:instrText xml:space="preserve"> REF _Ref533168360 \r \h </w:instrText>
      </w:r>
      <w:r w:rsidR="005516CD">
        <w:rPr>
          <w:rFonts w:asciiTheme="majorHAnsi" w:hAnsiTheme="majorHAnsi" w:cstheme="majorHAnsi"/>
          <w:sz w:val="20"/>
          <w:szCs w:val="22"/>
        </w:rPr>
        <w:instrText xml:space="preserve"> \* MERGEFORMAT </w:instrText>
      </w:r>
      <w:r w:rsidR="002A2731" w:rsidRPr="005516CD">
        <w:rPr>
          <w:rFonts w:asciiTheme="majorHAnsi" w:hAnsiTheme="majorHAnsi" w:cstheme="majorHAnsi"/>
          <w:sz w:val="20"/>
          <w:szCs w:val="22"/>
        </w:rPr>
      </w:r>
      <w:r w:rsidR="002A2731" w:rsidRPr="005516CD">
        <w:rPr>
          <w:rFonts w:asciiTheme="majorHAnsi" w:hAnsiTheme="majorHAnsi" w:cstheme="majorHAnsi"/>
          <w:sz w:val="20"/>
          <w:szCs w:val="22"/>
        </w:rPr>
        <w:fldChar w:fldCharType="separate"/>
      </w:r>
      <w:r w:rsidR="00DD5948">
        <w:rPr>
          <w:rFonts w:asciiTheme="majorHAnsi" w:hAnsiTheme="majorHAnsi" w:cstheme="majorHAnsi"/>
          <w:sz w:val="20"/>
          <w:szCs w:val="22"/>
        </w:rPr>
        <w:t>Box 1</w:t>
      </w:r>
      <w:r w:rsidR="002A2731" w:rsidRPr="005516CD">
        <w:rPr>
          <w:rFonts w:asciiTheme="majorHAnsi" w:hAnsiTheme="majorHAnsi" w:cstheme="majorHAnsi"/>
          <w:sz w:val="20"/>
          <w:szCs w:val="22"/>
        </w:rPr>
        <w:fldChar w:fldCharType="end"/>
      </w:r>
      <w:r w:rsidRPr="005516CD">
        <w:rPr>
          <w:rFonts w:asciiTheme="majorHAnsi" w:hAnsiTheme="majorHAnsi" w:cstheme="majorHAnsi"/>
          <w:sz w:val="20"/>
          <w:szCs w:val="22"/>
        </w:rPr>
        <w:t>):</w:t>
      </w:r>
    </w:p>
    <w:tbl>
      <w:tblPr>
        <w:tblStyle w:val="TableGrid"/>
        <w:tblW w:w="0" w:type="auto"/>
        <w:tblLook w:val="04A0" w:firstRow="1" w:lastRow="0" w:firstColumn="1" w:lastColumn="0" w:noHBand="0" w:noVBand="1"/>
      </w:tblPr>
      <w:tblGrid>
        <w:gridCol w:w="9010"/>
      </w:tblGrid>
      <w:tr w:rsidR="00FC4C31" w:rsidRPr="005516CD" w14:paraId="03844C7E" w14:textId="77777777" w:rsidTr="00FC4C31">
        <w:tc>
          <w:tcPr>
            <w:tcW w:w="9010" w:type="dxa"/>
          </w:tcPr>
          <w:p w14:paraId="36C86D1A" w14:textId="77777777" w:rsidR="00FC4C31" w:rsidRPr="005516CD" w:rsidRDefault="00FC4C31" w:rsidP="006B27F4">
            <w:pPr>
              <w:pStyle w:val="ListParagraph"/>
              <w:numPr>
                <w:ilvl w:val="0"/>
                <w:numId w:val="114"/>
              </w:numPr>
              <w:tabs>
                <w:tab w:val="left" w:pos="594"/>
              </w:tabs>
              <w:spacing w:after="120"/>
              <w:ind w:left="306" w:right="96" w:hanging="357"/>
              <w:jc w:val="both"/>
              <w:rPr>
                <w:rFonts w:asciiTheme="majorHAnsi" w:hAnsiTheme="majorHAnsi" w:cstheme="majorHAnsi"/>
                <w:b/>
                <w:sz w:val="20"/>
                <w:szCs w:val="22"/>
              </w:rPr>
            </w:pPr>
            <w:bookmarkStart w:id="26" w:name="_Ref533168360"/>
            <w:r w:rsidRPr="005516CD">
              <w:rPr>
                <w:rFonts w:asciiTheme="majorHAnsi" w:hAnsiTheme="majorHAnsi" w:cstheme="majorHAnsi"/>
                <w:b/>
                <w:sz w:val="20"/>
                <w:szCs w:val="22"/>
              </w:rPr>
              <w:t>Changes in target landscapes between 1990 and 2018, as reported in focus group meetings</w:t>
            </w:r>
            <w:bookmarkEnd w:id="26"/>
          </w:p>
          <w:p w14:paraId="420E4CBF" w14:textId="77777777" w:rsidR="00FC4C31" w:rsidRPr="005516CD" w:rsidRDefault="00FC4C31" w:rsidP="006B27F4">
            <w:pPr>
              <w:pStyle w:val="ListParagraph"/>
              <w:numPr>
                <w:ilvl w:val="0"/>
                <w:numId w:val="96"/>
              </w:numPr>
              <w:tabs>
                <w:tab w:val="left" w:pos="169"/>
              </w:tabs>
              <w:ind w:left="169" w:right="96" w:hanging="169"/>
              <w:jc w:val="both"/>
              <w:rPr>
                <w:rFonts w:asciiTheme="majorHAnsi" w:hAnsiTheme="majorHAnsi" w:cstheme="majorHAnsi"/>
                <w:sz w:val="20"/>
                <w:szCs w:val="22"/>
              </w:rPr>
            </w:pPr>
            <w:r w:rsidRPr="005516CD">
              <w:rPr>
                <w:rFonts w:asciiTheme="majorHAnsi" w:eastAsia="Times New Roman" w:hAnsiTheme="majorHAnsi" w:cstheme="majorHAnsi"/>
                <w:sz w:val="20"/>
                <w:szCs w:val="16"/>
                <w:lang w:eastAsia="fr-FR"/>
              </w:rPr>
              <w:t>Before there was a greater diversity of forest and fruit species in all altitude belts than today</w:t>
            </w:r>
            <w:r w:rsidRPr="005516CD">
              <w:rPr>
                <w:rFonts w:asciiTheme="majorHAnsi" w:hAnsiTheme="majorHAnsi" w:cstheme="majorHAnsi"/>
                <w:sz w:val="20"/>
                <w:szCs w:val="22"/>
              </w:rPr>
              <w:t xml:space="preserve"> </w:t>
            </w:r>
          </w:p>
          <w:p w14:paraId="39A30E1C"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 xml:space="preserve">Riverine forests have been degraded, and productive areas and settlements are increasingly threatened by floods </w:t>
            </w:r>
          </w:p>
          <w:p w14:paraId="3F611007"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The number of permanent water sources has declined (to 35% of the previous number) and mountain households are having increasing problems with water supply for domestic use and livestock</w:t>
            </w:r>
          </w:p>
          <w:p w14:paraId="09B0BDCE" w14:textId="77777777" w:rsidR="00FC4C31" w:rsidRPr="005516CD" w:rsidRDefault="00FC4C31" w:rsidP="006B27F4">
            <w:pPr>
              <w:pStyle w:val="ListParagraph"/>
              <w:numPr>
                <w:ilvl w:val="0"/>
                <w:numId w:val="96"/>
              </w:numPr>
              <w:tabs>
                <w:tab w:val="left" w:pos="169"/>
              </w:tabs>
              <w:ind w:left="169" w:right="96" w:hanging="169"/>
              <w:jc w:val="both"/>
              <w:rPr>
                <w:rFonts w:asciiTheme="majorHAnsi" w:hAnsiTheme="majorHAnsi" w:cstheme="majorHAnsi"/>
                <w:sz w:val="20"/>
                <w:szCs w:val="22"/>
              </w:rPr>
            </w:pPr>
            <w:r w:rsidRPr="005516CD">
              <w:rPr>
                <w:rFonts w:asciiTheme="majorHAnsi" w:eastAsia="Times New Roman" w:hAnsiTheme="majorHAnsi" w:cstheme="majorHAnsi"/>
                <w:sz w:val="20"/>
                <w:szCs w:val="16"/>
                <w:lang w:eastAsia="fr-FR"/>
              </w:rPr>
              <w:t>Rainfall was much more frequent and dependable, which made it easier to carry out different farming practices in accordance with crop requirements.</w:t>
            </w:r>
          </w:p>
          <w:p w14:paraId="5C6E3278"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 xml:space="preserve">Coffee-based agroforestry systems have greatly declined (more than 70% reduction); </w:t>
            </w:r>
            <w:proofErr w:type="gramStart"/>
            <w:r w:rsidRPr="005516CD">
              <w:rPr>
                <w:rFonts w:asciiTheme="majorHAnsi" w:eastAsia="Times New Roman" w:hAnsiTheme="majorHAnsi" w:cstheme="majorHAnsi"/>
                <w:sz w:val="20"/>
                <w:szCs w:val="16"/>
                <w:lang w:eastAsia="fr-FR"/>
              </w:rPr>
              <w:t>however</w:t>
            </w:r>
            <w:proofErr w:type="gramEnd"/>
            <w:r w:rsidRPr="005516CD">
              <w:rPr>
                <w:rFonts w:asciiTheme="majorHAnsi" w:eastAsia="Times New Roman" w:hAnsiTheme="majorHAnsi" w:cstheme="majorHAnsi"/>
                <w:sz w:val="20"/>
                <w:szCs w:val="16"/>
                <w:lang w:eastAsia="fr-FR"/>
              </w:rPr>
              <w:t xml:space="preserve"> cacao plantations are widespread and the proportion of the farmed area that they occupy is increasing</w:t>
            </w:r>
          </w:p>
          <w:p w14:paraId="0A930D00"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 xml:space="preserve">The total area being farmed has decreased (by more than 35%). </w:t>
            </w:r>
          </w:p>
          <w:p w14:paraId="46665F97"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Tree-felling (especially of mangos and Inga) is accelerating: this is a fundamental cause of the degradation of wooded landscapes and of the ecological niches of threatened species;</w:t>
            </w:r>
          </w:p>
          <w:p w14:paraId="606DEC3C"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 xml:space="preserve">Little goat and sheep raising is </w:t>
            </w:r>
            <w:proofErr w:type="spellStart"/>
            <w:r w:rsidRPr="005516CD">
              <w:rPr>
                <w:rFonts w:asciiTheme="majorHAnsi" w:eastAsia="Times New Roman" w:hAnsiTheme="majorHAnsi" w:cstheme="majorHAnsi"/>
                <w:sz w:val="20"/>
                <w:szCs w:val="16"/>
                <w:lang w:eastAsia="fr-FR"/>
              </w:rPr>
              <w:t>practised</w:t>
            </w:r>
            <w:proofErr w:type="spellEnd"/>
            <w:r w:rsidRPr="005516CD">
              <w:rPr>
                <w:rFonts w:asciiTheme="majorHAnsi" w:eastAsia="Times New Roman" w:hAnsiTheme="majorHAnsi" w:cstheme="majorHAnsi"/>
                <w:sz w:val="20"/>
                <w:szCs w:val="16"/>
                <w:lang w:eastAsia="fr-FR"/>
              </w:rPr>
              <w:t xml:space="preserve"> now; cattle raising is also in decline (cattle are sold to pay for airline tickets for emigration to South America or to buy motorcycle taxis)</w:t>
            </w:r>
          </w:p>
          <w:p w14:paraId="740CA577"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Areas planted with beans and vegetables are in decline (estimated &gt;50% reduction), due mainly to the degradation of humid ecosystems and newly cultivated areas, together with prolonged drought;</w:t>
            </w:r>
          </w:p>
          <w:p w14:paraId="2434C71C"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 xml:space="preserve">Today fertility is renewed using slash and burn and artificial </w:t>
            </w:r>
            <w:proofErr w:type="spellStart"/>
            <w:r w:rsidRPr="005516CD">
              <w:rPr>
                <w:rFonts w:asciiTheme="majorHAnsi" w:eastAsia="Times New Roman" w:hAnsiTheme="majorHAnsi" w:cstheme="majorHAnsi"/>
                <w:sz w:val="20"/>
                <w:szCs w:val="16"/>
                <w:lang w:eastAsia="fr-FR"/>
              </w:rPr>
              <w:t>fertilisers</w:t>
            </w:r>
            <w:proofErr w:type="spellEnd"/>
            <w:r w:rsidRPr="005516CD">
              <w:rPr>
                <w:rFonts w:asciiTheme="majorHAnsi" w:eastAsia="Times New Roman" w:hAnsiTheme="majorHAnsi" w:cstheme="majorHAnsi"/>
                <w:sz w:val="20"/>
                <w:szCs w:val="16"/>
                <w:lang w:eastAsia="fr-FR"/>
              </w:rPr>
              <w:t xml:space="preserve"> where possible; before it was achieved using organic manure and/or lime, complemented with crop rotation techniques;</w:t>
            </w:r>
          </w:p>
          <w:p w14:paraId="17C740D6"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Some crops have practically disappeared or are disappearing in some areas, e.g. taro, maize, pois-de-</w:t>
            </w:r>
            <w:proofErr w:type="spellStart"/>
            <w:r w:rsidRPr="005516CD">
              <w:rPr>
                <w:rFonts w:asciiTheme="majorHAnsi" w:eastAsia="Times New Roman" w:hAnsiTheme="majorHAnsi" w:cstheme="majorHAnsi"/>
                <w:sz w:val="20"/>
                <w:szCs w:val="16"/>
                <w:lang w:eastAsia="fr-FR"/>
              </w:rPr>
              <w:t>souche</w:t>
            </w:r>
            <w:proofErr w:type="spellEnd"/>
            <w:r w:rsidRPr="005516CD">
              <w:rPr>
                <w:rFonts w:asciiTheme="majorHAnsi" w:eastAsia="Times New Roman" w:hAnsiTheme="majorHAnsi" w:cstheme="majorHAnsi"/>
                <w:sz w:val="20"/>
                <w:szCs w:val="16"/>
                <w:lang w:eastAsia="fr-FR"/>
              </w:rPr>
              <w:t xml:space="preserve"> (lima beans), mirliton (chayote) and some yam varieties of importance for local food systems </w:t>
            </w:r>
          </w:p>
          <w:p w14:paraId="520F060B"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 xml:space="preserve">Wildlife is in decline (&gt;50% reduction): some birds, reptiles, frogs and insects are no longer found </w:t>
            </w:r>
          </w:p>
          <w:p w14:paraId="2567A598"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 xml:space="preserve">The decline in bird populations means that people no longer have to employ daily </w:t>
            </w:r>
            <w:proofErr w:type="spellStart"/>
            <w:r w:rsidRPr="005516CD">
              <w:rPr>
                <w:rFonts w:asciiTheme="majorHAnsi" w:eastAsia="Times New Roman" w:hAnsiTheme="majorHAnsi" w:cstheme="majorHAnsi"/>
                <w:sz w:val="20"/>
                <w:szCs w:val="16"/>
                <w:lang w:eastAsia="fr-FR"/>
              </w:rPr>
              <w:t>labour</w:t>
            </w:r>
            <w:proofErr w:type="spellEnd"/>
            <w:r w:rsidRPr="005516CD">
              <w:rPr>
                <w:rFonts w:asciiTheme="majorHAnsi" w:eastAsia="Times New Roman" w:hAnsiTheme="majorHAnsi" w:cstheme="majorHAnsi"/>
                <w:sz w:val="20"/>
                <w:szCs w:val="16"/>
                <w:lang w:eastAsia="fr-FR"/>
              </w:rPr>
              <w:t xml:space="preserve"> to protect cereal crops from predation </w:t>
            </w:r>
          </w:p>
          <w:p w14:paraId="14488AA5"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Crop yields are unreliable, unstable and in decline, which means however that prices on local and international markets have increased</w:t>
            </w:r>
          </w:p>
          <w:p w14:paraId="3DFB87ED"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 xml:space="preserve">Periods of scarcity in purely agricultural households are becoming longer, and in at least 50% of farms production is not sufficient to meet minimum food needs;   </w:t>
            </w:r>
          </w:p>
          <w:p w14:paraId="759A5A79" w14:textId="77777777" w:rsidR="00FC4C31" w:rsidRPr="005516CD" w:rsidRDefault="00FC4C31" w:rsidP="006B27F4">
            <w:pPr>
              <w:pStyle w:val="ListParagraph"/>
              <w:numPr>
                <w:ilvl w:val="0"/>
                <w:numId w:val="96"/>
              </w:numPr>
              <w:tabs>
                <w:tab w:val="left" w:pos="169"/>
              </w:tabs>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 xml:space="preserve">Plots are becoming more and more fragmented, and land </w:t>
            </w:r>
            <w:proofErr w:type="spellStart"/>
            <w:r w:rsidRPr="005516CD">
              <w:rPr>
                <w:rFonts w:asciiTheme="majorHAnsi" w:eastAsia="Times New Roman" w:hAnsiTheme="majorHAnsi" w:cstheme="majorHAnsi"/>
                <w:sz w:val="20"/>
                <w:szCs w:val="16"/>
                <w:lang w:eastAsia="fr-FR"/>
              </w:rPr>
              <w:t>transations</w:t>
            </w:r>
            <w:proofErr w:type="spellEnd"/>
            <w:r w:rsidRPr="005516CD">
              <w:rPr>
                <w:rFonts w:asciiTheme="majorHAnsi" w:eastAsia="Times New Roman" w:hAnsiTheme="majorHAnsi" w:cstheme="majorHAnsi"/>
                <w:sz w:val="20"/>
                <w:szCs w:val="16"/>
                <w:lang w:eastAsia="fr-FR"/>
              </w:rPr>
              <w:t xml:space="preserve"> are very dynamic; even land is being traded for motorcycle taxis in some zones;  </w:t>
            </w:r>
          </w:p>
          <w:p w14:paraId="3D8DC9D2" w14:textId="77777777" w:rsidR="00FC4C31" w:rsidRPr="005516CD" w:rsidRDefault="00FC4C31" w:rsidP="006B27F4">
            <w:pPr>
              <w:pStyle w:val="ListParagraph"/>
              <w:numPr>
                <w:ilvl w:val="0"/>
                <w:numId w:val="96"/>
              </w:numPr>
              <w:tabs>
                <w:tab w:val="left" w:pos="169"/>
              </w:tabs>
              <w:spacing w:after="120"/>
              <w:ind w:left="169" w:right="96" w:hanging="169"/>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Home gardens (</w:t>
            </w:r>
            <w:proofErr w:type="spellStart"/>
            <w:r w:rsidRPr="005516CD">
              <w:rPr>
                <w:rFonts w:asciiTheme="majorHAnsi" w:eastAsia="Times New Roman" w:hAnsiTheme="majorHAnsi" w:cstheme="majorHAnsi"/>
                <w:sz w:val="20"/>
                <w:szCs w:val="16"/>
                <w:lang w:eastAsia="fr-FR"/>
              </w:rPr>
              <w:t>jaden</w:t>
            </w:r>
            <w:proofErr w:type="spellEnd"/>
            <w:r w:rsidRPr="005516CD">
              <w:rPr>
                <w:rFonts w:asciiTheme="majorHAnsi" w:eastAsia="Times New Roman" w:hAnsiTheme="majorHAnsi" w:cstheme="majorHAnsi"/>
                <w:sz w:val="20"/>
                <w:szCs w:val="16"/>
                <w:lang w:eastAsia="fr-FR"/>
              </w:rPr>
              <w:t xml:space="preserve"> </w:t>
            </w:r>
            <w:proofErr w:type="spellStart"/>
            <w:r w:rsidRPr="005516CD">
              <w:rPr>
                <w:rFonts w:asciiTheme="majorHAnsi" w:eastAsia="Times New Roman" w:hAnsiTheme="majorHAnsi" w:cstheme="majorHAnsi"/>
                <w:sz w:val="20"/>
                <w:szCs w:val="16"/>
                <w:lang w:eastAsia="fr-FR"/>
              </w:rPr>
              <w:t>lakou</w:t>
            </w:r>
            <w:proofErr w:type="spellEnd"/>
            <w:r w:rsidRPr="005516CD">
              <w:rPr>
                <w:rFonts w:asciiTheme="majorHAnsi" w:eastAsia="Times New Roman" w:hAnsiTheme="majorHAnsi" w:cstheme="majorHAnsi"/>
                <w:sz w:val="20"/>
                <w:szCs w:val="16"/>
                <w:lang w:eastAsia="fr-FR"/>
              </w:rPr>
              <w:t>) were more productive and diversified before.</w:t>
            </w:r>
          </w:p>
        </w:tc>
      </w:tr>
    </w:tbl>
    <w:p w14:paraId="05773107" w14:textId="77777777" w:rsidR="00D5146A" w:rsidRPr="005516CD" w:rsidRDefault="00D5146A" w:rsidP="00D5146A">
      <w:pPr>
        <w:tabs>
          <w:tab w:val="left" w:pos="567"/>
        </w:tabs>
        <w:ind w:right="96"/>
        <w:jc w:val="both"/>
        <w:rPr>
          <w:rFonts w:asciiTheme="majorHAnsi" w:hAnsiTheme="majorHAnsi" w:cstheme="majorHAnsi"/>
          <w:sz w:val="20"/>
          <w:szCs w:val="22"/>
        </w:rPr>
      </w:pPr>
    </w:p>
    <w:p w14:paraId="48A0964F" w14:textId="77777777" w:rsidR="00F13F79" w:rsidRPr="005516CD" w:rsidRDefault="00F13F79" w:rsidP="006B27F4">
      <w:pPr>
        <w:numPr>
          <w:ilvl w:val="0"/>
          <w:numId w:val="87"/>
        </w:numPr>
        <w:tabs>
          <w:tab w:val="clear" w:pos="720"/>
          <w:tab w:val="num" w:pos="-284"/>
          <w:tab w:val="left" w:pos="426"/>
        </w:tabs>
        <w:spacing w:after="120"/>
        <w:ind w:left="0" w:right="96" w:firstLine="0"/>
        <w:jc w:val="both"/>
        <w:rPr>
          <w:rFonts w:asciiTheme="majorHAnsi" w:eastAsia="Times New Roman" w:hAnsiTheme="majorHAnsi" w:cstheme="majorHAnsi"/>
          <w:sz w:val="20"/>
          <w:szCs w:val="16"/>
          <w:lang w:eastAsia="fr-FR"/>
        </w:rPr>
      </w:pPr>
      <w:r w:rsidRPr="005516CD">
        <w:rPr>
          <w:rFonts w:asciiTheme="majorHAnsi" w:eastAsia="Times New Roman" w:hAnsiTheme="majorHAnsi" w:cstheme="majorHAnsi"/>
          <w:sz w:val="20"/>
          <w:szCs w:val="16"/>
          <w:lang w:eastAsia="fr-FR"/>
        </w:rPr>
        <w:t xml:space="preserve">In the less degraded areas, </w:t>
      </w:r>
      <w:r w:rsidR="00A37B5A" w:rsidRPr="005516CD">
        <w:rPr>
          <w:rFonts w:asciiTheme="majorHAnsi" w:eastAsia="Times New Roman" w:hAnsiTheme="majorHAnsi" w:cstheme="majorHAnsi"/>
          <w:sz w:val="20"/>
          <w:szCs w:val="16"/>
          <w:lang w:eastAsia="fr-FR"/>
        </w:rPr>
        <w:t xml:space="preserve">these changes were generally less pronounced: for example, the less degraded areas still produce significant amounts of </w:t>
      </w:r>
      <w:proofErr w:type="spellStart"/>
      <w:r w:rsidR="00A37B5A" w:rsidRPr="005516CD">
        <w:rPr>
          <w:rFonts w:asciiTheme="majorHAnsi" w:eastAsia="Times New Roman" w:hAnsiTheme="majorHAnsi" w:cstheme="majorHAnsi"/>
          <w:sz w:val="20"/>
          <w:szCs w:val="16"/>
          <w:lang w:eastAsia="fr-FR"/>
        </w:rPr>
        <w:t>rootcrops</w:t>
      </w:r>
      <w:proofErr w:type="spellEnd"/>
      <w:r w:rsidR="00A37B5A" w:rsidRPr="005516CD">
        <w:rPr>
          <w:rFonts w:asciiTheme="majorHAnsi" w:eastAsia="Times New Roman" w:hAnsiTheme="majorHAnsi" w:cstheme="majorHAnsi"/>
          <w:sz w:val="20"/>
          <w:szCs w:val="16"/>
          <w:lang w:eastAsia="fr-FR"/>
        </w:rPr>
        <w:t>, c</w:t>
      </w:r>
      <w:r w:rsidR="00A504BA" w:rsidRPr="005516CD">
        <w:rPr>
          <w:rFonts w:asciiTheme="majorHAnsi" w:eastAsia="Times New Roman" w:hAnsiTheme="majorHAnsi" w:cstheme="majorHAnsi"/>
          <w:sz w:val="20"/>
          <w:szCs w:val="16"/>
          <w:lang w:eastAsia="fr-FR"/>
        </w:rPr>
        <w:t>o</w:t>
      </w:r>
      <w:r w:rsidR="00A37B5A" w:rsidRPr="005516CD">
        <w:rPr>
          <w:rFonts w:asciiTheme="majorHAnsi" w:eastAsia="Times New Roman" w:hAnsiTheme="majorHAnsi" w:cstheme="majorHAnsi"/>
          <w:sz w:val="20"/>
          <w:szCs w:val="16"/>
          <w:lang w:eastAsia="fr-FR"/>
        </w:rPr>
        <w:t>c</w:t>
      </w:r>
      <w:r w:rsidR="00A504BA" w:rsidRPr="005516CD">
        <w:rPr>
          <w:rFonts w:asciiTheme="majorHAnsi" w:eastAsia="Times New Roman" w:hAnsiTheme="majorHAnsi" w:cstheme="majorHAnsi"/>
          <w:sz w:val="20"/>
          <w:szCs w:val="16"/>
          <w:lang w:eastAsia="fr-FR"/>
        </w:rPr>
        <w:t>o</w:t>
      </w:r>
      <w:r w:rsidR="00A37B5A" w:rsidRPr="005516CD">
        <w:rPr>
          <w:rFonts w:asciiTheme="majorHAnsi" w:eastAsia="Times New Roman" w:hAnsiTheme="majorHAnsi" w:cstheme="majorHAnsi"/>
          <w:sz w:val="20"/>
          <w:szCs w:val="16"/>
          <w:lang w:eastAsia="fr-FR"/>
        </w:rPr>
        <w:t>a, livestock and fruit for local, national and cross-frontier markets</w:t>
      </w:r>
      <w:r w:rsidR="00637144" w:rsidRPr="005516CD">
        <w:rPr>
          <w:rFonts w:asciiTheme="majorHAnsi" w:eastAsia="Times New Roman" w:hAnsiTheme="majorHAnsi" w:cstheme="majorHAnsi"/>
          <w:sz w:val="20"/>
          <w:szCs w:val="16"/>
          <w:lang w:eastAsia="fr-FR"/>
        </w:rPr>
        <w:t xml:space="preserve">; </w:t>
      </w:r>
      <w:proofErr w:type="spellStart"/>
      <w:r w:rsidR="00637144" w:rsidRPr="005516CD">
        <w:rPr>
          <w:rFonts w:asciiTheme="majorHAnsi" w:eastAsia="Times New Roman" w:hAnsiTheme="majorHAnsi" w:cstheme="majorHAnsi"/>
          <w:sz w:val="20"/>
          <w:szCs w:val="16"/>
          <w:lang w:eastAsia="fr-FR"/>
        </w:rPr>
        <w:t>jaden</w:t>
      </w:r>
      <w:proofErr w:type="spellEnd"/>
      <w:r w:rsidR="00637144" w:rsidRPr="005516CD">
        <w:rPr>
          <w:rFonts w:asciiTheme="majorHAnsi" w:eastAsia="Times New Roman" w:hAnsiTheme="majorHAnsi" w:cstheme="majorHAnsi"/>
          <w:sz w:val="20"/>
          <w:szCs w:val="16"/>
          <w:lang w:eastAsia="fr-FR"/>
        </w:rPr>
        <w:t xml:space="preserve"> </w:t>
      </w:r>
      <w:proofErr w:type="spellStart"/>
      <w:r w:rsidR="00637144" w:rsidRPr="005516CD">
        <w:rPr>
          <w:rFonts w:asciiTheme="majorHAnsi" w:eastAsia="Times New Roman" w:hAnsiTheme="majorHAnsi" w:cstheme="majorHAnsi"/>
          <w:sz w:val="20"/>
          <w:szCs w:val="16"/>
          <w:lang w:eastAsia="fr-FR"/>
        </w:rPr>
        <w:t>lakou</w:t>
      </w:r>
      <w:proofErr w:type="spellEnd"/>
      <w:r w:rsidR="00637144" w:rsidRPr="005516CD">
        <w:rPr>
          <w:rFonts w:asciiTheme="majorHAnsi" w:eastAsia="Times New Roman" w:hAnsiTheme="majorHAnsi" w:cstheme="majorHAnsi"/>
          <w:sz w:val="20"/>
          <w:szCs w:val="16"/>
          <w:lang w:eastAsia="fr-FR"/>
        </w:rPr>
        <w:t xml:space="preserve"> are still largely intact, apart from the loss of a few varieties of trees, and the absence of horses and donkeys which previously played an important role in fertility renewal but have now in many been cases been sold to raise money to buy motorcycle taxis.</w:t>
      </w:r>
    </w:p>
    <w:p w14:paraId="53B33A73" w14:textId="77777777" w:rsidR="00015FDB" w:rsidRPr="005516CD" w:rsidRDefault="00693B4D" w:rsidP="007B146B">
      <w:pPr>
        <w:pStyle w:val="Heading6"/>
        <w:spacing w:before="120" w:after="0"/>
        <w:rPr>
          <w:rFonts w:asciiTheme="majorHAnsi" w:eastAsia="Calibri" w:hAnsiTheme="majorHAnsi" w:cstheme="majorHAnsi"/>
          <w:b/>
          <w:sz w:val="20"/>
          <w:lang w:val="en-US"/>
        </w:rPr>
      </w:pPr>
      <w:r w:rsidRPr="005516CD">
        <w:rPr>
          <w:rFonts w:asciiTheme="majorHAnsi" w:eastAsia="Calibri" w:hAnsiTheme="majorHAnsi" w:cstheme="majorHAnsi"/>
          <w:b/>
          <w:sz w:val="20"/>
          <w:lang w:val="en-US"/>
        </w:rPr>
        <w:t xml:space="preserve">Habitat Loss and Degradation: </w:t>
      </w:r>
    </w:p>
    <w:p w14:paraId="1DD6413F" w14:textId="77777777" w:rsidR="00693B4D" w:rsidRPr="005516CD" w:rsidRDefault="00693B4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2"/>
        </w:rPr>
      </w:pPr>
      <w:r w:rsidRPr="005516CD">
        <w:rPr>
          <w:rFonts w:asciiTheme="majorHAnsi" w:hAnsiTheme="majorHAnsi" w:cstheme="majorHAnsi"/>
          <w:sz w:val="20"/>
          <w:szCs w:val="22"/>
        </w:rPr>
        <w:t xml:space="preserve">Today, </w:t>
      </w:r>
      <w:r w:rsidRPr="005516CD">
        <w:rPr>
          <w:rFonts w:asciiTheme="majorHAnsi" w:hAnsiTheme="majorHAnsi" w:cstheme="majorHAnsi"/>
          <w:sz w:val="20"/>
          <w:szCs w:val="20"/>
        </w:rPr>
        <w:t>cutting</w:t>
      </w:r>
      <w:r w:rsidRPr="005516CD">
        <w:rPr>
          <w:rFonts w:asciiTheme="majorHAnsi" w:hAnsiTheme="majorHAnsi" w:cstheme="majorHAnsi"/>
          <w:sz w:val="20"/>
          <w:szCs w:val="22"/>
        </w:rPr>
        <w:t xml:space="preserve"> of trees for charcoal, the country’s chief source of fuel, is a major </w:t>
      </w:r>
      <w:r w:rsidRPr="005516CD">
        <w:rPr>
          <w:rFonts w:asciiTheme="majorHAnsi" w:eastAsia="Calibri" w:hAnsiTheme="majorHAnsi" w:cstheme="majorHAnsi"/>
          <w:sz w:val="20"/>
          <w:szCs w:val="22"/>
        </w:rPr>
        <w:t>contributor</w:t>
      </w:r>
      <w:r w:rsidRPr="005516CD">
        <w:rPr>
          <w:rFonts w:asciiTheme="majorHAnsi" w:hAnsiTheme="majorHAnsi" w:cstheme="majorHAnsi"/>
          <w:sz w:val="20"/>
          <w:szCs w:val="22"/>
        </w:rPr>
        <w:t xml:space="preserve"> to deforestation</w:t>
      </w:r>
      <w:r w:rsidR="007660EC" w:rsidRPr="005516CD">
        <w:rPr>
          <w:rFonts w:asciiTheme="majorHAnsi" w:hAnsiTheme="majorHAnsi" w:cstheme="majorHAnsi"/>
          <w:sz w:val="20"/>
          <w:szCs w:val="22"/>
        </w:rPr>
        <w:t>.</w:t>
      </w:r>
      <w:r w:rsidRPr="005516CD">
        <w:rPr>
          <w:rFonts w:asciiTheme="majorHAnsi" w:hAnsiTheme="majorHAnsi" w:cstheme="majorHAnsi"/>
          <w:sz w:val="20"/>
          <w:szCs w:val="22"/>
        </w:rPr>
        <w:t xml:space="preserve"> In recent years, among the secondary causes of deforestation and land clearing in Haiti is the increasing demand for wood for construction (Geo Haiti 2010), which can be expected to increase with the need for reconstruction following the January 2010 earthquake. Deforestation has led to severe erosion in the mountainous areas and also periodic (but often catastrophic) flooding. </w:t>
      </w:r>
    </w:p>
    <w:p w14:paraId="3F91BDD7" w14:textId="77777777" w:rsidR="00015FDB" w:rsidRPr="005516CD" w:rsidRDefault="00693B4D" w:rsidP="002A2731">
      <w:pPr>
        <w:pStyle w:val="Heading6"/>
        <w:keepNext/>
        <w:spacing w:before="120" w:after="0"/>
        <w:rPr>
          <w:rFonts w:asciiTheme="majorHAnsi" w:eastAsia="Calibri" w:hAnsiTheme="majorHAnsi" w:cstheme="majorHAnsi"/>
          <w:b/>
          <w:sz w:val="20"/>
          <w:lang w:val="en-US"/>
        </w:rPr>
      </w:pPr>
      <w:r w:rsidRPr="005516CD">
        <w:rPr>
          <w:rFonts w:asciiTheme="majorHAnsi" w:eastAsia="Calibri" w:hAnsiTheme="majorHAnsi" w:cstheme="majorHAnsi"/>
          <w:b/>
          <w:sz w:val="20"/>
          <w:lang w:val="en-US"/>
        </w:rPr>
        <w:t xml:space="preserve">Ecosystem Degradation: </w:t>
      </w:r>
    </w:p>
    <w:p w14:paraId="552CC489" w14:textId="77777777" w:rsidR="00693B4D" w:rsidRPr="005516CD" w:rsidRDefault="00693B4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2"/>
        </w:rPr>
      </w:pPr>
      <w:r w:rsidRPr="005516CD">
        <w:rPr>
          <w:rFonts w:asciiTheme="majorHAnsi" w:hAnsiTheme="majorHAnsi" w:cstheme="majorHAnsi"/>
          <w:sz w:val="20"/>
          <w:szCs w:val="22"/>
        </w:rPr>
        <w:t>Continued farming and grazing and expansion, which prevent the tree component from re-establishing itself. The resulting slumping and landslides generate impacts on farm in the form of the loss of scarce agricultural land; given the small average farm size in the country the implications of this for the livelihoods of individual farmers can be severe. Such impacts on farm and livelihood sustainability pose significant threats to landscape stability and result in increased pressures being placed on remnant ecosystems as farmers seek new cultivation areas and alternative income generation opportunities.</w:t>
      </w:r>
    </w:p>
    <w:p w14:paraId="317C9709" w14:textId="77777777" w:rsidR="00015FDB" w:rsidRPr="005516CD" w:rsidRDefault="00693B4D" w:rsidP="007B146B">
      <w:pPr>
        <w:pStyle w:val="Heading6"/>
        <w:spacing w:before="120" w:after="0"/>
        <w:rPr>
          <w:rFonts w:asciiTheme="majorHAnsi" w:eastAsia="Calibri" w:hAnsiTheme="majorHAnsi" w:cstheme="majorHAnsi"/>
          <w:b/>
          <w:sz w:val="20"/>
          <w:lang w:val="en-US"/>
        </w:rPr>
      </w:pPr>
      <w:r w:rsidRPr="005516CD">
        <w:rPr>
          <w:rFonts w:asciiTheme="majorHAnsi" w:eastAsia="Calibri" w:hAnsiTheme="majorHAnsi" w:cstheme="majorHAnsi"/>
          <w:b/>
          <w:sz w:val="20"/>
          <w:lang w:val="en-US"/>
        </w:rPr>
        <w:t xml:space="preserve">Fire: </w:t>
      </w:r>
    </w:p>
    <w:p w14:paraId="13BAF0E4" w14:textId="77777777" w:rsidR="00693B4D" w:rsidRPr="005516CD" w:rsidRDefault="00693B4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2"/>
        </w:rPr>
      </w:pPr>
      <w:r w:rsidRPr="005516CD">
        <w:rPr>
          <w:rFonts w:asciiTheme="majorHAnsi" w:hAnsiTheme="majorHAnsi" w:cstheme="majorHAnsi"/>
          <w:sz w:val="20"/>
          <w:szCs w:val="22"/>
        </w:rPr>
        <w:t xml:space="preserve">Associated with </w:t>
      </w:r>
      <w:r w:rsidRPr="005516CD">
        <w:rPr>
          <w:rFonts w:asciiTheme="majorHAnsi" w:hAnsiTheme="majorHAnsi" w:cstheme="majorHAnsi"/>
          <w:sz w:val="20"/>
          <w:szCs w:val="20"/>
        </w:rPr>
        <w:t>agriculture</w:t>
      </w:r>
      <w:r w:rsidRPr="005516CD">
        <w:rPr>
          <w:rFonts w:asciiTheme="majorHAnsi" w:hAnsiTheme="majorHAnsi" w:cstheme="majorHAnsi"/>
          <w:sz w:val="20"/>
          <w:szCs w:val="22"/>
        </w:rPr>
        <w:t xml:space="preserve"> and grazing is the risk posed by fire, which is typically used as a tool for land clearance </w:t>
      </w:r>
      <w:r w:rsidRPr="005516CD">
        <w:rPr>
          <w:rFonts w:asciiTheme="majorHAnsi" w:eastAsia="Calibri" w:hAnsiTheme="majorHAnsi" w:cstheme="majorHAnsi"/>
          <w:sz w:val="20"/>
          <w:szCs w:val="22"/>
        </w:rPr>
        <w:t>and</w:t>
      </w:r>
      <w:r w:rsidRPr="005516CD">
        <w:rPr>
          <w:rFonts w:asciiTheme="majorHAnsi" w:hAnsiTheme="majorHAnsi" w:cstheme="majorHAnsi"/>
          <w:sz w:val="20"/>
          <w:szCs w:val="22"/>
        </w:rPr>
        <w:t xml:space="preserve"> for the control of weeds and pests, and commonly spreads into the wider landscape, killing trees and impeding natural regeneration. </w:t>
      </w:r>
    </w:p>
    <w:p w14:paraId="05B80C49" w14:textId="77777777" w:rsidR="00015FDB" w:rsidRPr="005516CD" w:rsidRDefault="00693B4D" w:rsidP="007B146B">
      <w:pPr>
        <w:pStyle w:val="Heading6"/>
        <w:spacing w:before="120" w:after="0"/>
        <w:rPr>
          <w:rFonts w:asciiTheme="majorHAnsi" w:eastAsia="Calibri" w:hAnsiTheme="majorHAnsi" w:cstheme="majorHAnsi"/>
          <w:b/>
          <w:sz w:val="20"/>
          <w:lang w:val="en-US"/>
        </w:rPr>
      </w:pPr>
      <w:r w:rsidRPr="005516CD">
        <w:rPr>
          <w:rFonts w:asciiTheme="majorHAnsi" w:eastAsia="Calibri" w:hAnsiTheme="majorHAnsi" w:cstheme="majorHAnsi"/>
          <w:b/>
          <w:sz w:val="20"/>
          <w:lang w:val="en-US"/>
        </w:rPr>
        <w:t xml:space="preserve">Abandonment of shade coffee farms: </w:t>
      </w:r>
    </w:p>
    <w:p w14:paraId="00BBFB81" w14:textId="77777777" w:rsidR="00693B4D" w:rsidRPr="005516CD" w:rsidRDefault="00693B4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2"/>
        </w:rPr>
      </w:pPr>
      <w:r w:rsidRPr="005516CD">
        <w:rPr>
          <w:rFonts w:asciiTheme="majorHAnsi" w:hAnsiTheme="majorHAnsi" w:cstheme="majorHAnsi"/>
          <w:sz w:val="20"/>
          <w:szCs w:val="22"/>
        </w:rPr>
        <w:t>Although when first introduced into the country in the 18</w:t>
      </w:r>
      <w:r w:rsidRPr="005516CD">
        <w:rPr>
          <w:rFonts w:asciiTheme="majorHAnsi" w:hAnsiTheme="majorHAnsi" w:cstheme="majorHAnsi"/>
          <w:sz w:val="20"/>
          <w:szCs w:val="22"/>
          <w:vertAlign w:val="superscript"/>
        </w:rPr>
        <w:t>th</w:t>
      </w:r>
      <w:r w:rsidRPr="005516CD">
        <w:rPr>
          <w:rFonts w:asciiTheme="majorHAnsi" w:hAnsiTheme="majorHAnsi" w:cstheme="majorHAnsi"/>
          <w:sz w:val="20"/>
          <w:szCs w:val="22"/>
        </w:rPr>
        <w:t xml:space="preserve"> century, the expansion of coffee farms had significant negative impacts </w:t>
      </w:r>
      <w:r w:rsidRPr="005516CD">
        <w:rPr>
          <w:rFonts w:asciiTheme="majorHAnsi" w:hAnsiTheme="majorHAnsi" w:cstheme="majorHAnsi"/>
          <w:sz w:val="20"/>
          <w:szCs w:val="20"/>
        </w:rPr>
        <w:t>on</w:t>
      </w:r>
      <w:r w:rsidRPr="005516CD">
        <w:rPr>
          <w:rFonts w:asciiTheme="majorHAnsi" w:hAnsiTheme="majorHAnsi" w:cstheme="majorHAnsi"/>
          <w:sz w:val="20"/>
          <w:szCs w:val="22"/>
        </w:rPr>
        <w:t xml:space="preserve"> the natural vegetation in mountain areas, today both coffee and cacao plantations, with their associated shade canopy, generally represent a net benefit relative to the deforested areas in which they are typically established. Coffee farms are in fact estimated to represent about 50% of the remaining forest cover in the country. In fact, a greater threat would therefore be posed by any reduction in the area of these crops, and their replacement by pasture or annual cropping. </w:t>
      </w:r>
    </w:p>
    <w:p w14:paraId="46AC3311" w14:textId="77777777" w:rsidR="00693B4D" w:rsidRPr="005516CD" w:rsidRDefault="00693B4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2"/>
        </w:rPr>
      </w:pPr>
      <w:r w:rsidRPr="005516CD">
        <w:rPr>
          <w:rFonts w:asciiTheme="majorHAnsi" w:hAnsiTheme="majorHAnsi" w:cstheme="majorHAnsi"/>
          <w:sz w:val="20"/>
          <w:szCs w:val="22"/>
        </w:rPr>
        <w:t>Although the harvested area of coffee in the country has remained on average largely stable over the last 50 years, with a notable increase towards the end of the first decade of the 21</w:t>
      </w:r>
      <w:r w:rsidRPr="005516CD">
        <w:rPr>
          <w:rFonts w:asciiTheme="majorHAnsi" w:hAnsiTheme="majorHAnsi" w:cstheme="majorHAnsi"/>
          <w:sz w:val="20"/>
          <w:szCs w:val="22"/>
          <w:vertAlign w:val="superscript"/>
        </w:rPr>
        <w:t>st</w:t>
      </w:r>
      <w:r w:rsidRPr="005516CD">
        <w:rPr>
          <w:rFonts w:asciiTheme="majorHAnsi" w:hAnsiTheme="majorHAnsi" w:cstheme="majorHAnsi"/>
          <w:sz w:val="20"/>
          <w:szCs w:val="22"/>
        </w:rPr>
        <w:t xml:space="preserve"> century, since 2010 the crop has suffered significant pest problems including the coffee borer (</w:t>
      </w:r>
      <w:proofErr w:type="spellStart"/>
      <w:r w:rsidRPr="005516CD">
        <w:rPr>
          <w:rFonts w:asciiTheme="majorHAnsi" w:hAnsiTheme="majorHAnsi" w:cstheme="majorHAnsi"/>
          <w:i/>
          <w:iCs/>
          <w:sz w:val="20"/>
          <w:szCs w:val="22"/>
        </w:rPr>
        <w:t>Hypothenemus</w:t>
      </w:r>
      <w:proofErr w:type="spellEnd"/>
      <w:r w:rsidRPr="005516CD">
        <w:rPr>
          <w:rFonts w:asciiTheme="majorHAnsi" w:hAnsiTheme="majorHAnsi" w:cstheme="majorHAnsi"/>
          <w:i/>
          <w:iCs/>
          <w:sz w:val="20"/>
          <w:szCs w:val="22"/>
        </w:rPr>
        <w:t xml:space="preserve"> </w:t>
      </w:r>
      <w:proofErr w:type="spellStart"/>
      <w:r w:rsidRPr="005516CD">
        <w:rPr>
          <w:rFonts w:asciiTheme="majorHAnsi" w:hAnsiTheme="majorHAnsi" w:cstheme="majorHAnsi"/>
          <w:i/>
          <w:iCs/>
          <w:sz w:val="20"/>
          <w:szCs w:val="22"/>
        </w:rPr>
        <w:t>hampei</w:t>
      </w:r>
      <w:proofErr w:type="spellEnd"/>
      <w:r w:rsidRPr="005516CD">
        <w:rPr>
          <w:rFonts w:asciiTheme="majorHAnsi" w:hAnsiTheme="majorHAnsi" w:cstheme="majorHAnsi"/>
          <w:sz w:val="20"/>
          <w:szCs w:val="22"/>
        </w:rPr>
        <w:t>), in addition to coffee rust (</w:t>
      </w:r>
      <w:proofErr w:type="spellStart"/>
      <w:r w:rsidRPr="005516CD">
        <w:rPr>
          <w:rFonts w:asciiTheme="majorHAnsi" w:hAnsiTheme="majorHAnsi" w:cstheme="majorHAnsi"/>
          <w:i/>
          <w:iCs/>
          <w:sz w:val="20"/>
          <w:szCs w:val="22"/>
        </w:rPr>
        <w:t>Hemileia</w:t>
      </w:r>
      <w:proofErr w:type="spellEnd"/>
      <w:r w:rsidRPr="005516CD">
        <w:rPr>
          <w:rFonts w:asciiTheme="majorHAnsi" w:hAnsiTheme="majorHAnsi" w:cstheme="majorHAnsi"/>
          <w:i/>
          <w:iCs/>
          <w:sz w:val="20"/>
          <w:szCs w:val="22"/>
        </w:rPr>
        <w:t xml:space="preserve"> </w:t>
      </w:r>
      <w:proofErr w:type="spellStart"/>
      <w:r w:rsidRPr="005516CD">
        <w:rPr>
          <w:rFonts w:asciiTheme="majorHAnsi" w:hAnsiTheme="majorHAnsi" w:cstheme="majorHAnsi"/>
          <w:i/>
          <w:iCs/>
          <w:sz w:val="20"/>
          <w:szCs w:val="22"/>
        </w:rPr>
        <w:t>vastatrix</w:t>
      </w:r>
      <w:proofErr w:type="spellEnd"/>
      <w:r w:rsidRPr="005516CD">
        <w:rPr>
          <w:rFonts w:asciiTheme="majorHAnsi" w:hAnsiTheme="majorHAnsi" w:cstheme="majorHAnsi"/>
          <w:sz w:val="20"/>
          <w:szCs w:val="22"/>
        </w:rPr>
        <w:t>) and root rotting. Other major threats to coffee production are reported as the age of plantations (almost 70% of all planted coffee corresponds to old stands); and the low levels of technical inputs to improve productivity</w:t>
      </w:r>
      <w:r w:rsidRPr="005516CD">
        <w:rPr>
          <w:rStyle w:val="FootnoteReference"/>
          <w:rFonts w:asciiTheme="majorHAnsi" w:hAnsiTheme="majorHAnsi" w:cstheme="majorHAnsi"/>
          <w:sz w:val="20"/>
          <w:szCs w:val="22"/>
        </w:rPr>
        <w:footnoteReference w:id="30"/>
      </w:r>
      <w:r w:rsidRPr="005516CD">
        <w:rPr>
          <w:rFonts w:asciiTheme="majorHAnsi" w:hAnsiTheme="majorHAnsi" w:cstheme="majorHAnsi"/>
          <w:sz w:val="20"/>
          <w:szCs w:val="22"/>
        </w:rPr>
        <w:t>.</w:t>
      </w:r>
      <w:r w:rsidR="00EC6A86" w:rsidRPr="005516CD">
        <w:rPr>
          <w:rFonts w:asciiTheme="majorHAnsi" w:hAnsiTheme="majorHAnsi" w:cstheme="majorHAnsi"/>
          <w:sz w:val="20"/>
          <w:szCs w:val="22"/>
        </w:rPr>
        <w:t xml:space="preserve"> </w:t>
      </w:r>
      <w:r w:rsidRPr="005516CD">
        <w:rPr>
          <w:rFonts w:asciiTheme="majorHAnsi" w:hAnsiTheme="majorHAnsi" w:cstheme="majorHAnsi"/>
          <w:sz w:val="20"/>
          <w:szCs w:val="22"/>
        </w:rPr>
        <w:t xml:space="preserve">Coupled with the problem of producers’ limited access to investment funds, these factors have led to the abandonment of coffee in a number of areas. This situation raises the risk of the conversion of plantations to pasture and agriculture, with corresponding loss of biodiversity values and watershed protection functions. This risk is particularly </w:t>
      </w:r>
      <w:r w:rsidRPr="005516CD">
        <w:rPr>
          <w:rFonts w:asciiTheme="majorHAnsi" w:eastAsia="Calibri" w:hAnsiTheme="majorHAnsi" w:cstheme="majorHAnsi"/>
          <w:sz w:val="20"/>
          <w:szCs w:val="22"/>
        </w:rPr>
        <w:t>pronounced</w:t>
      </w:r>
      <w:r w:rsidRPr="005516CD">
        <w:rPr>
          <w:rFonts w:asciiTheme="majorHAnsi" w:hAnsiTheme="majorHAnsi" w:cstheme="majorHAnsi"/>
          <w:sz w:val="20"/>
          <w:szCs w:val="22"/>
        </w:rPr>
        <w:t xml:space="preserve"> at higher altitudes (&gt;600m), where on the one hand the expansion of coffee/tree associations (typically in</w:t>
      </w:r>
      <w:r w:rsidR="006138BF" w:rsidRPr="005516CD">
        <w:rPr>
          <w:rFonts w:asciiTheme="majorHAnsi" w:hAnsiTheme="majorHAnsi" w:cstheme="majorHAnsi"/>
          <w:sz w:val="20"/>
          <w:szCs w:val="22"/>
        </w:rPr>
        <w:t xml:space="preserve"> </w:t>
      </w:r>
      <w:r w:rsidRPr="005516CD">
        <w:rPr>
          <w:rFonts w:asciiTheme="majorHAnsi" w:hAnsiTheme="majorHAnsi" w:cstheme="majorHAnsi"/>
          <w:sz w:val="20"/>
          <w:szCs w:val="22"/>
        </w:rPr>
        <w:t>home gardens) is hindered by fertility constraints and, on the other, farmers’ motivations to grow such perennials may be limited by the relatively narrow range of useful tree species that will grow here and by fluctuations in the price or yield of coffee</w:t>
      </w:r>
      <w:r w:rsidRPr="005516CD">
        <w:rPr>
          <w:rStyle w:val="FootnoteReference"/>
          <w:rFonts w:asciiTheme="majorHAnsi" w:hAnsiTheme="majorHAnsi" w:cstheme="majorHAnsi"/>
          <w:sz w:val="20"/>
          <w:szCs w:val="22"/>
        </w:rPr>
        <w:footnoteReference w:id="31"/>
      </w:r>
      <w:r w:rsidRPr="005516CD">
        <w:rPr>
          <w:rFonts w:asciiTheme="majorHAnsi" w:hAnsiTheme="majorHAnsi" w:cstheme="majorHAnsi"/>
          <w:sz w:val="20"/>
          <w:szCs w:val="22"/>
        </w:rPr>
        <w:t>.</w:t>
      </w:r>
    </w:p>
    <w:p w14:paraId="572FFDA6" w14:textId="77777777" w:rsidR="000C0390" w:rsidRPr="005516CD" w:rsidRDefault="000C0390" w:rsidP="007B146B">
      <w:pPr>
        <w:pStyle w:val="Heading2"/>
        <w:spacing w:after="120"/>
        <w:ind w:left="0"/>
        <w:rPr>
          <w:rStyle w:val="None"/>
          <w:rFonts w:ascii="Calibri" w:eastAsia="Calibri" w:hAnsi="Calibri" w:cs="Calibri"/>
          <w:u w:val="single"/>
          <w:lang w:val="en-US"/>
        </w:rPr>
      </w:pPr>
      <w:bookmarkStart w:id="27" w:name="_Toc8933076"/>
      <w:r w:rsidRPr="005516CD">
        <w:rPr>
          <w:rStyle w:val="None"/>
          <w:rFonts w:ascii="Calibri" w:eastAsia="Calibri" w:hAnsi="Calibri" w:cs="Calibri"/>
          <w:u w:val="single"/>
          <w:lang w:val="en-US"/>
        </w:rPr>
        <w:t>Baseline investments</w:t>
      </w:r>
      <w:bookmarkEnd w:id="27"/>
    </w:p>
    <w:p w14:paraId="6722B2E0" w14:textId="77777777"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hAnsiTheme="majorHAnsi" w:cstheme="majorHAnsi"/>
          <w:sz w:val="20"/>
          <w:szCs w:val="20"/>
        </w:rPr>
        <w:t>There</w:t>
      </w:r>
      <w:r w:rsidRPr="005516CD">
        <w:rPr>
          <w:rFonts w:asciiTheme="majorHAnsi" w:eastAsia="Calibri" w:hAnsiTheme="majorHAnsi" w:cstheme="majorHAnsi"/>
          <w:sz w:val="20"/>
          <w:szCs w:val="20"/>
        </w:rPr>
        <w:t xml:space="preserve"> is a solid and diverse baseline of investments in relation to natural resource management, conservation and CC resilience in Haiti, however this lacks the integrated vision proposed in the present project, which is necessary to take into account the landscape-wide spatial interrelations between these considerations. These include national and local scale programmes and projects supported by resources of the Government of Haiti as well as international agencies, as well as initiatives being executed by UN agencies, multilateral financial institutions and bilateral development assistance agencies. </w:t>
      </w:r>
    </w:p>
    <w:p w14:paraId="393538F5" w14:textId="77777777"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Efforts </w:t>
      </w:r>
      <w:r w:rsidRPr="005516CD">
        <w:rPr>
          <w:rFonts w:asciiTheme="majorHAnsi" w:hAnsiTheme="majorHAnsi" w:cstheme="majorHAnsi"/>
          <w:sz w:val="20"/>
          <w:szCs w:val="22"/>
        </w:rPr>
        <w:t>promoted</w:t>
      </w:r>
      <w:r w:rsidRPr="005516CD">
        <w:rPr>
          <w:rFonts w:asciiTheme="majorHAnsi" w:hAnsiTheme="majorHAnsi" w:cstheme="majorHAnsi"/>
          <w:sz w:val="20"/>
          <w:szCs w:val="20"/>
        </w:rPr>
        <w:t xml:space="preserve"> by governmental agencies that are exclusively funded from the Public Investment Budget tend to focus on (</w:t>
      </w:r>
      <w:proofErr w:type="spellStart"/>
      <w:r w:rsidRPr="005516CD">
        <w:rPr>
          <w:rFonts w:asciiTheme="majorHAnsi" w:hAnsiTheme="majorHAnsi" w:cstheme="majorHAnsi"/>
          <w:sz w:val="20"/>
          <w:szCs w:val="20"/>
        </w:rPr>
        <w:t>i</w:t>
      </w:r>
      <w:proofErr w:type="spellEnd"/>
      <w:r w:rsidRPr="005516CD">
        <w:rPr>
          <w:rFonts w:asciiTheme="majorHAnsi" w:hAnsiTheme="majorHAnsi" w:cstheme="majorHAnsi"/>
          <w:sz w:val="20"/>
          <w:szCs w:val="20"/>
        </w:rPr>
        <w:t>) ensuring primary needs and provide a social safety net for the most vulnerable: women, elderly, children and disabled people, and combatting social exclusion; (ii) improving food security; (iii) addressing the implications of exposure and vulnerability to extreme weather events.</w:t>
      </w:r>
    </w:p>
    <w:p w14:paraId="49D6D2F7" w14:textId="77777777"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sz w:val="20"/>
          <w:szCs w:val="20"/>
        </w:rPr>
        <w:t xml:space="preserve">The </w:t>
      </w:r>
      <w:r w:rsidRPr="005516CD">
        <w:rPr>
          <w:rFonts w:asciiTheme="majorHAnsi" w:hAnsiTheme="majorHAnsi" w:cstheme="majorHAnsi"/>
          <w:b/>
          <w:sz w:val="20"/>
          <w:szCs w:val="20"/>
        </w:rPr>
        <w:t xml:space="preserve">Ede </w:t>
      </w:r>
      <w:proofErr w:type="spellStart"/>
      <w:r w:rsidRPr="005516CD">
        <w:rPr>
          <w:rFonts w:asciiTheme="majorHAnsi" w:hAnsiTheme="majorHAnsi" w:cstheme="majorHAnsi"/>
          <w:b/>
          <w:sz w:val="20"/>
          <w:szCs w:val="20"/>
        </w:rPr>
        <w:t>Pèp</w:t>
      </w:r>
      <w:proofErr w:type="spellEnd"/>
      <w:r w:rsidRPr="005516CD">
        <w:rPr>
          <w:rFonts w:asciiTheme="majorHAnsi" w:hAnsiTheme="majorHAnsi" w:cstheme="majorHAnsi"/>
          <w:b/>
          <w:sz w:val="20"/>
          <w:szCs w:val="20"/>
        </w:rPr>
        <w:t xml:space="preserve"> (Help the Haitian People) Programme</w:t>
      </w:r>
      <w:r w:rsidRPr="005516CD">
        <w:rPr>
          <w:rStyle w:val="FootnoteReference"/>
          <w:rFonts w:asciiTheme="majorHAnsi" w:hAnsiTheme="majorHAnsi" w:cstheme="majorHAnsi"/>
          <w:b/>
          <w:sz w:val="20"/>
          <w:szCs w:val="20"/>
        </w:rPr>
        <w:footnoteReference w:id="32"/>
      </w:r>
      <w:r w:rsidRPr="005516CD">
        <w:rPr>
          <w:rFonts w:asciiTheme="majorHAnsi" w:hAnsiTheme="majorHAnsi" w:cstheme="majorHAnsi"/>
          <w:sz w:val="20"/>
          <w:szCs w:val="20"/>
        </w:rPr>
        <w:t xml:space="preserve">, is a social assistance programme aimed at fighting poverty and facilitating access </w:t>
      </w:r>
      <w:r w:rsidRPr="005516CD">
        <w:rPr>
          <w:rFonts w:asciiTheme="majorHAnsi" w:hAnsiTheme="majorHAnsi" w:cstheme="majorHAnsi"/>
          <w:sz w:val="20"/>
          <w:szCs w:val="22"/>
        </w:rPr>
        <w:t>to</w:t>
      </w:r>
      <w:r w:rsidRPr="005516CD">
        <w:rPr>
          <w:rFonts w:asciiTheme="majorHAnsi" w:hAnsiTheme="majorHAnsi" w:cstheme="majorHAnsi"/>
          <w:sz w:val="20"/>
          <w:szCs w:val="20"/>
        </w:rPr>
        <w:t xml:space="preserve"> social protection and social safety nets, in order to achieve social inclusion. No firm projections are available of spending under this programme during the project period, but in one six-month period (</w:t>
      </w:r>
      <w:r w:rsidRPr="005516CD">
        <w:rPr>
          <w:rFonts w:asciiTheme="majorHAnsi" w:hAnsiTheme="majorHAnsi" w:cstheme="majorHAnsi"/>
          <w:color w:val="000000"/>
          <w:sz w:val="20"/>
          <w:szCs w:val="20"/>
        </w:rPr>
        <w:t>2013-2014) 311,440,246 Haitian gourdes (around US$6.92 million) were spent</w:t>
      </w:r>
      <w:r w:rsidRPr="005516CD">
        <w:rPr>
          <w:rStyle w:val="FootnoteReference"/>
          <w:rFonts w:asciiTheme="majorHAnsi" w:hAnsiTheme="majorHAnsi" w:cstheme="majorHAnsi"/>
          <w:sz w:val="20"/>
          <w:szCs w:val="20"/>
        </w:rPr>
        <w:footnoteReference w:id="33"/>
      </w:r>
      <w:r w:rsidRPr="005516CD">
        <w:rPr>
          <w:rFonts w:asciiTheme="majorHAnsi" w:hAnsiTheme="majorHAnsi" w:cstheme="majorHAnsi"/>
          <w:color w:val="000000"/>
          <w:sz w:val="20"/>
          <w:szCs w:val="20"/>
        </w:rPr>
        <w:t xml:space="preserve">. </w:t>
      </w:r>
    </w:p>
    <w:p w14:paraId="51681DE7" w14:textId="15FB52F1"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w:t>
      </w:r>
      <w:r w:rsidRPr="005516CD">
        <w:rPr>
          <w:rFonts w:asciiTheme="majorHAnsi" w:hAnsiTheme="majorHAnsi" w:cstheme="majorHAnsi"/>
          <w:b/>
          <w:sz w:val="20"/>
          <w:szCs w:val="20"/>
        </w:rPr>
        <w:t>Ministry of Environment (</w:t>
      </w:r>
      <w:proofErr w:type="spellStart"/>
      <w:r w:rsidR="009241AB">
        <w:rPr>
          <w:rFonts w:asciiTheme="majorHAnsi" w:hAnsiTheme="majorHAnsi" w:cstheme="majorHAnsi"/>
          <w:b/>
          <w:sz w:val="20"/>
          <w:szCs w:val="20"/>
        </w:rPr>
        <w:t>MoE</w:t>
      </w:r>
      <w:proofErr w:type="spellEnd"/>
      <w:r w:rsidRPr="005516CD">
        <w:rPr>
          <w:rFonts w:asciiTheme="majorHAnsi" w:hAnsiTheme="majorHAnsi" w:cstheme="majorHAnsi"/>
          <w:b/>
          <w:sz w:val="20"/>
          <w:szCs w:val="20"/>
        </w:rPr>
        <w:t>) national reforestation campaigns</w:t>
      </w:r>
      <w:r w:rsidRPr="005516CD">
        <w:rPr>
          <w:rFonts w:asciiTheme="majorHAnsi" w:hAnsiTheme="majorHAnsi" w:cstheme="majorHAnsi"/>
          <w:sz w:val="20"/>
          <w:szCs w:val="20"/>
        </w:rPr>
        <w:t xml:space="preserve"> employ aerial seeding methods and classic tree reproduction </w:t>
      </w:r>
      <w:r w:rsidRPr="005516CD">
        <w:rPr>
          <w:rFonts w:asciiTheme="majorHAnsi" w:hAnsiTheme="majorHAnsi" w:cstheme="majorHAnsi"/>
          <w:sz w:val="20"/>
          <w:szCs w:val="22"/>
        </w:rPr>
        <w:t>techniques</w:t>
      </w:r>
      <w:r w:rsidRPr="005516CD">
        <w:rPr>
          <w:rFonts w:asciiTheme="majorHAnsi" w:hAnsiTheme="majorHAnsi" w:cstheme="majorHAnsi"/>
          <w:sz w:val="20"/>
          <w:szCs w:val="20"/>
        </w:rPr>
        <w:t xml:space="preserve"> in nurseries. The priorities published </w:t>
      </w:r>
      <w:r w:rsidRPr="005516CD">
        <w:rPr>
          <w:rFonts w:asciiTheme="majorHAnsi" w:hAnsiTheme="majorHAnsi" w:cstheme="majorHAnsi"/>
          <w:color w:val="000000"/>
          <w:sz w:val="20"/>
          <w:szCs w:val="20"/>
        </w:rPr>
        <w:t>by</w:t>
      </w:r>
      <w:r w:rsidRPr="005516CD">
        <w:rPr>
          <w:rFonts w:asciiTheme="majorHAnsi" w:hAnsiTheme="majorHAnsi" w:cstheme="majorHAnsi"/>
          <w:sz w:val="20"/>
          <w:szCs w:val="20"/>
        </w:rPr>
        <w:t xml:space="preserve"> the </w:t>
      </w:r>
      <w:proofErr w:type="spellStart"/>
      <w:r w:rsidR="009241AB">
        <w:rPr>
          <w:rFonts w:asciiTheme="majorHAnsi" w:hAnsiTheme="majorHAnsi" w:cstheme="majorHAnsi"/>
          <w:sz w:val="20"/>
          <w:szCs w:val="20"/>
        </w:rPr>
        <w:t>MoE</w:t>
      </w:r>
      <w:proofErr w:type="spellEnd"/>
      <w:r w:rsidRPr="005516CD">
        <w:rPr>
          <w:rFonts w:asciiTheme="majorHAnsi" w:hAnsiTheme="majorHAnsi" w:cstheme="majorHAnsi"/>
          <w:sz w:val="20"/>
          <w:szCs w:val="20"/>
        </w:rPr>
        <w:t xml:space="preserve"> call for actions</w:t>
      </w:r>
      <w:r w:rsidRPr="005516CD">
        <w:rPr>
          <w:rStyle w:val="FootnoteReference"/>
          <w:rFonts w:asciiTheme="majorHAnsi" w:hAnsiTheme="majorHAnsi" w:cstheme="majorHAnsi"/>
          <w:sz w:val="20"/>
          <w:szCs w:val="20"/>
        </w:rPr>
        <w:footnoteReference w:id="34"/>
      </w:r>
      <w:r w:rsidRPr="005516CD">
        <w:rPr>
          <w:rFonts w:asciiTheme="majorHAnsi" w:hAnsiTheme="majorHAnsi" w:cstheme="majorHAnsi"/>
          <w:sz w:val="20"/>
          <w:szCs w:val="20"/>
        </w:rPr>
        <w:t xml:space="preserve"> include the humid uplands in the departments of the North-East, North and the region of Saint-Louis du Nord, and the National Park La </w:t>
      </w:r>
      <w:proofErr w:type="spellStart"/>
      <w:r w:rsidRPr="005516CD">
        <w:rPr>
          <w:rFonts w:asciiTheme="majorHAnsi" w:hAnsiTheme="majorHAnsi" w:cstheme="majorHAnsi"/>
          <w:sz w:val="20"/>
          <w:szCs w:val="20"/>
        </w:rPr>
        <w:t>Visite</w:t>
      </w:r>
      <w:proofErr w:type="spellEnd"/>
      <w:r w:rsidRPr="005516CD">
        <w:rPr>
          <w:rFonts w:asciiTheme="majorHAnsi" w:hAnsiTheme="majorHAnsi" w:cstheme="majorHAnsi"/>
          <w:sz w:val="20"/>
          <w:szCs w:val="20"/>
        </w:rPr>
        <w:t xml:space="preserve">/Massif de la </w:t>
      </w:r>
      <w:proofErr w:type="spellStart"/>
      <w:r w:rsidRPr="005516CD">
        <w:rPr>
          <w:rFonts w:asciiTheme="majorHAnsi" w:hAnsiTheme="majorHAnsi" w:cstheme="majorHAnsi"/>
          <w:sz w:val="20"/>
          <w:szCs w:val="20"/>
        </w:rPr>
        <w:t>Selle</w:t>
      </w:r>
      <w:proofErr w:type="spellEnd"/>
      <w:r w:rsidRPr="005516CD">
        <w:rPr>
          <w:rFonts w:asciiTheme="majorHAnsi" w:hAnsiTheme="majorHAnsi" w:cstheme="majorHAnsi"/>
          <w:sz w:val="20"/>
          <w:szCs w:val="20"/>
        </w:rPr>
        <w:t xml:space="preserve"> focussing on the National Park La </w:t>
      </w:r>
      <w:proofErr w:type="spellStart"/>
      <w:r w:rsidRPr="005516CD">
        <w:rPr>
          <w:rFonts w:asciiTheme="majorHAnsi" w:hAnsiTheme="majorHAnsi" w:cstheme="majorHAnsi"/>
          <w:sz w:val="20"/>
          <w:szCs w:val="20"/>
        </w:rPr>
        <w:t>Visite</w:t>
      </w:r>
      <w:proofErr w:type="spellEnd"/>
      <w:r w:rsidRPr="005516CD">
        <w:rPr>
          <w:rFonts w:asciiTheme="majorHAnsi" w:hAnsiTheme="majorHAnsi" w:cstheme="majorHAnsi"/>
          <w:sz w:val="20"/>
          <w:szCs w:val="20"/>
        </w:rPr>
        <w:t xml:space="preserve"> and the districts of </w:t>
      </w:r>
      <w:proofErr w:type="spellStart"/>
      <w:r w:rsidRPr="005516CD">
        <w:rPr>
          <w:rFonts w:asciiTheme="majorHAnsi" w:hAnsiTheme="majorHAnsi" w:cstheme="majorHAnsi"/>
          <w:sz w:val="20"/>
          <w:szCs w:val="20"/>
        </w:rPr>
        <w:t>Jacmel</w:t>
      </w:r>
      <w:proofErr w:type="spellEnd"/>
      <w:r w:rsidRPr="005516CD">
        <w:rPr>
          <w:rFonts w:asciiTheme="majorHAnsi" w:hAnsiTheme="majorHAnsi" w:cstheme="majorHAnsi"/>
          <w:sz w:val="20"/>
          <w:szCs w:val="20"/>
        </w:rPr>
        <w:t xml:space="preserve"> and </w:t>
      </w:r>
      <w:proofErr w:type="spellStart"/>
      <w:r w:rsidRPr="005516CD">
        <w:rPr>
          <w:rFonts w:asciiTheme="majorHAnsi" w:hAnsiTheme="majorHAnsi" w:cstheme="majorHAnsi"/>
          <w:sz w:val="20"/>
          <w:szCs w:val="20"/>
        </w:rPr>
        <w:t>Léogane</w:t>
      </w:r>
      <w:proofErr w:type="spellEnd"/>
      <w:r w:rsidRPr="005516CD">
        <w:rPr>
          <w:rFonts w:asciiTheme="majorHAnsi" w:hAnsiTheme="majorHAnsi" w:cstheme="majorHAnsi"/>
          <w:sz w:val="20"/>
          <w:szCs w:val="20"/>
        </w:rPr>
        <w:t>.</w:t>
      </w:r>
    </w:p>
    <w:p w14:paraId="22500E65" w14:textId="77777777" w:rsidR="006761E9" w:rsidRPr="005516CD" w:rsidRDefault="00A50EC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w:t>
      </w:r>
      <w:r w:rsidRPr="005516CD">
        <w:rPr>
          <w:rFonts w:asciiTheme="majorHAnsi" w:hAnsiTheme="majorHAnsi" w:cstheme="majorHAnsi"/>
          <w:b/>
          <w:sz w:val="20"/>
          <w:szCs w:val="20"/>
        </w:rPr>
        <w:t>US Agency for International Development</w:t>
      </w:r>
      <w:r w:rsidRPr="005516CD">
        <w:rPr>
          <w:rFonts w:asciiTheme="majorHAnsi" w:hAnsiTheme="majorHAnsi" w:cstheme="majorHAnsi"/>
          <w:sz w:val="20"/>
          <w:szCs w:val="20"/>
        </w:rPr>
        <w:t xml:space="preserve"> (</w:t>
      </w:r>
      <w:r w:rsidRPr="005516CD">
        <w:rPr>
          <w:rFonts w:asciiTheme="majorHAnsi" w:hAnsiTheme="majorHAnsi" w:cstheme="majorHAnsi"/>
          <w:b/>
          <w:sz w:val="20"/>
          <w:szCs w:val="20"/>
        </w:rPr>
        <w:t>USAID</w:t>
      </w:r>
      <w:r w:rsidRPr="005516CD">
        <w:rPr>
          <w:rFonts w:asciiTheme="majorHAnsi" w:hAnsiTheme="majorHAnsi" w:cstheme="majorHAnsi"/>
          <w:sz w:val="20"/>
          <w:szCs w:val="20"/>
        </w:rPr>
        <w:t xml:space="preserve">) has made significant investments in support of agricultural </w:t>
      </w:r>
      <w:r w:rsidRPr="005516CD">
        <w:rPr>
          <w:rFonts w:asciiTheme="majorHAnsi" w:hAnsiTheme="majorHAnsi" w:cstheme="majorHAnsi"/>
          <w:color w:val="000000"/>
          <w:sz w:val="20"/>
          <w:szCs w:val="20"/>
        </w:rPr>
        <w:t>productivity</w:t>
      </w:r>
      <w:r w:rsidRPr="005516CD">
        <w:rPr>
          <w:rFonts w:asciiTheme="majorHAnsi" w:hAnsiTheme="majorHAnsi" w:cstheme="majorHAnsi"/>
          <w:sz w:val="20"/>
          <w:szCs w:val="20"/>
        </w:rPr>
        <w:t xml:space="preserve"> and environmental sustainability to date, especially in the centre and north of the country</w:t>
      </w:r>
      <w:r w:rsidR="006761E9" w:rsidRPr="005516CD">
        <w:rPr>
          <w:rFonts w:asciiTheme="majorHAnsi" w:hAnsiTheme="majorHAnsi" w:cstheme="majorHAnsi"/>
          <w:sz w:val="20"/>
          <w:szCs w:val="20"/>
        </w:rPr>
        <w:t>. USAID has supported c</w:t>
      </w:r>
      <w:r w:rsidR="006761E9" w:rsidRPr="005516CD">
        <w:rPr>
          <w:rFonts w:asciiTheme="majorHAnsi" w:hAnsiTheme="majorHAnsi" w:cstheme="majorHAnsi"/>
          <w:color w:val="000000" w:themeColor="text1"/>
          <w:sz w:val="20"/>
          <w:szCs w:val="20"/>
        </w:rPr>
        <w:t>acao production through a number of USAID projects and programmes over the last 15 years, including the Hillside Agricultural Program (HAP) and Sustainable Economic and Environmental Development (</w:t>
      </w:r>
      <w:proofErr w:type="spellStart"/>
      <w:r w:rsidR="006761E9" w:rsidRPr="005516CD">
        <w:rPr>
          <w:rFonts w:asciiTheme="majorHAnsi" w:hAnsiTheme="majorHAnsi" w:cstheme="majorHAnsi"/>
          <w:i/>
          <w:color w:val="000000" w:themeColor="text1"/>
          <w:sz w:val="20"/>
          <w:szCs w:val="20"/>
        </w:rPr>
        <w:t>Développement</w:t>
      </w:r>
      <w:proofErr w:type="spellEnd"/>
      <w:r w:rsidR="006761E9" w:rsidRPr="005516CD">
        <w:rPr>
          <w:rFonts w:asciiTheme="majorHAnsi" w:hAnsiTheme="majorHAnsi" w:cstheme="majorHAnsi"/>
          <w:i/>
          <w:color w:val="000000" w:themeColor="text1"/>
          <w:sz w:val="20"/>
          <w:szCs w:val="20"/>
        </w:rPr>
        <w:t xml:space="preserve"> </w:t>
      </w:r>
      <w:proofErr w:type="spellStart"/>
      <w:r w:rsidR="006761E9" w:rsidRPr="005516CD">
        <w:rPr>
          <w:rFonts w:asciiTheme="majorHAnsi" w:hAnsiTheme="majorHAnsi" w:cstheme="majorHAnsi"/>
          <w:i/>
          <w:color w:val="000000" w:themeColor="text1"/>
          <w:sz w:val="20"/>
          <w:szCs w:val="20"/>
        </w:rPr>
        <w:t>Economique</w:t>
      </w:r>
      <w:proofErr w:type="spellEnd"/>
      <w:r w:rsidR="006761E9" w:rsidRPr="005516CD">
        <w:rPr>
          <w:rFonts w:asciiTheme="majorHAnsi" w:hAnsiTheme="majorHAnsi" w:cstheme="majorHAnsi"/>
          <w:i/>
          <w:color w:val="000000" w:themeColor="text1"/>
          <w:sz w:val="20"/>
          <w:szCs w:val="20"/>
        </w:rPr>
        <w:t xml:space="preserve"> et </w:t>
      </w:r>
      <w:proofErr w:type="spellStart"/>
      <w:r w:rsidR="006761E9" w:rsidRPr="005516CD">
        <w:rPr>
          <w:rFonts w:asciiTheme="majorHAnsi" w:hAnsiTheme="majorHAnsi" w:cstheme="majorHAnsi"/>
          <w:i/>
          <w:color w:val="000000" w:themeColor="text1"/>
          <w:sz w:val="20"/>
          <w:szCs w:val="20"/>
        </w:rPr>
        <w:t>Environnemental</w:t>
      </w:r>
      <w:proofErr w:type="spellEnd"/>
      <w:r w:rsidR="006761E9" w:rsidRPr="005516CD">
        <w:rPr>
          <w:rFonts w:asciiTheme="majorHAnsi" w:hAnsiTheme="majorHAnsi" w:cstheme="majorHAnsi"/>
          <w:i/>
          <w:color w:val="000000" w:themeColor="text1"/>
          <w:sz w:val="20"/>
          <w:szCs w:val="20"/>
        </w:rPr>
        <w:t xml:space="preserve"> Durable,</w:t>
      </w:r>
      <w:r w:rsidR="006761E9" w:rsidRPr="005516CD">
        <w:rPr>
          <w:rFonts w:asciiTheme="majorHAnsi" w:hAnsiTheme="majorHAnsi" w:cstheme="majorHAnsi"/>
          <w:color w:val="000000" w:themeColor="text1"/>
          <w:sz w:val="20"/>
          <w:szCs w:val="20"/>
        </w:rPr>
        <w:t xml:space="preserve"> DEED), which supported yam and cacao production in the area of Borgne; and the USAID project Support to the Valuation of the Agricultural Potential of the North, and Economic and Environmental Security (</w:t>
      </w:r>
      <w:proofErr w:type="spellStart"/>
      <w:r w:rsidR="006761E9" w:rsidRPr="005516CD">
        <w:rPr>
          <w:rFonts w:asciiTheme="majorHAnsi" w:hAnsiTheme="majorHAnsi" w:cstheme="majorHAnsi"/>
          <w:i/>
          <w:color w:val="000000" w:themeColor="text1"/>
          <w:sz w:val="20"/>
          <w:szCs w:val="20"/>
        </w:rPr>
        <w:t>Appui</w:t>
      </w:r>
      <w:proofErr w:type="spellEnd"/>
      <w:r w:rsidR="006761E9" w:rsidRPr="005516CD">
        <w:rPr>
          <w:rFonts w:asciiTheme="majorHAnsi" w:hAnsiTheme="majorHAnsi" w:cstheme="majorHAnsi"/>
          <w:i/>
          <w:color w:val="000000" w:themeColor="text1"/>
          <w:sz w:val="20"/>
          <w:szCs w:val="20"/>
        </w:rPr>
        <w:t xml:space="preserve"> à la Valorisation du </w:t>
      </w:r>
      <w:proofErr w:type="spellStart"/>
      <w:r w:rsidR="006761E9" w:rsidRPr="005516CD">
        <w:rPr>
          <w:rFonts w:asciiTheme="majorHAnsi" w:hAnsiTheme="majorHAnsi" w:cstheme="majorHAnsi"/>
          <w:i/>
          <w:color w:val="000000" w:themeColor="text1"/>
          <w:sz w:val="20"/>
          <w:szCs w:val="20"/>
        </w:rPr>
        <w:t>Potentiel</w:t>
      </w:r>
      <w:proofErr w:type="spellEnd"/>
      <w:r w:rsidR="006761E9" w:rsidRPr="005516CD">
        <w:rPr>
          <w:rFonts w:asciiTheme="majorHAnsi" w:hAnsiTheme="majorHAnsi" w:cstheme="majorHAnsi"/>
          <w:i/>
          <w:color w:val="000000" w:themeColor="text1"/>
          <w:sz w:val="20"/>
          <w:szCs w:val="20"/>
        </w:rPr>
        <w:t xml:space="preserve"> Agricole du Nord, à la </w:t>
      </w:r>
      <w:proofErr w:type="spellStart"/>
      <w:r w:rsidR="006761E9" w:rsidRPr="005516CD">
        <w:rPr>
          <w:rFonts w:asciiTheme="majorHAnsi" w:hAnsiTheme="majorHAnsi" w:cstheme="majorHAnsi"/>
          <w:i/>
          <w:color w:val="000000" w:themeColor="text1"/>
          <w:sz w:val="20"/>
          <w:szCs w:val="20"/>
        </w:rPr>
        <w:t>Sécurité</w:t>
      </w:r>
      <w:proofErr w:type="spellEnd"/>
      <w:r w:rsidR="006761E9" w:rsidRPr="005516CD">
        <w:rPr>
          <w:rFonts w:asciiTheme="majorHAnsi" w:hAnsiTheme="majorHAnsi" w:cstheme="majorHAnsi"/>
          <w:i/>
          <w:color w:val="000000" w:themeColor="text1"/>
          <w:sz w:val="20"/>
          <w:szCs w:val="20"/>
        </w:rPr>
        <w:t xml:space="preserve"> </w:t>
      </w:r>
      <w:proofErr w:type="spellStart"/>
      <w:r w:rsidR="006761E9" w:rsidRPr="005516CD">
        <w:rPr>
          <w:rFonts w:asciiTheme="majorHAnsi" w:hAnsiTheme="majorHAnsi" w:cstheme="majorHAnsi"/>
          <w:i/>
          <w:color w:val="000000" w:themeColor="text1"/>
          <w:sz w:val="20"/>
          <w:szCs w:val="20"/>
        </w:rPr>
        <w:t>Economique</w:t>
      </w:r>
      <w:proofErr w:type="spellEnd"/>
      <w:r w:rsidR="006761E9" w:rsidRPr="005516CD">
        <w:rPr>
          <w:rFonts w:asciiTheme="majorHAnsi" w:hAnsiTheme="majorHAnsi" w:cstheme="majorHAnsi"/>
          <w:i/>
          <w:color w:val="000000" w:themeColor="text1"/>
          <w:sz w:val="20"/>
          <w:szCs w:val="20"/>
        </w:rPr>
        <w:t xml:space="preserve"> et </w:t>
      </w:r>
      <w:proofErr w:type="spellStart"/>
      <w:r w:rsidR="006761E9" w:rsidRPr="005516CD">
        <w:rPr>
          <w:rFonts w:asciiTheme="majorHAnsi" w:hAnsiTheme="majorHAnsi" w:cstheme="majorHAnsi"/>
          <w:i/>
          <w:color w:val="000000" w:themeColor="text1"/>
          <w:sz w:val="20"/>
          <w:szCs w:val="20"/>
        </w:rPr>
        <w:t>Environnementale</w:t>
      </w:r>
      <w:proofErr w:type="spellEnd"/>
      <w:r w:rsidR="006761E9" w:rsidRPr="005516CD">
        <w:rPr>
          <w:rFonts w:asciiTheme="majorHAnsi" w:hAnsiTheme="majorHAnsi" w:cstheme="majorHAnsi"/>
          <w:i/>
          <w:color w:val="000000" w:themeColor="text1"/>
          <w:sz w:val="20"/>
          <w:szCs w:val="20"/>
        </w:rPr>
        <w:t>,</w:t>
      </w:r>
      <w:r w:rsidR="006761E9" w:rsidRPr="005516CD">
        <w:rPr>
          <w:rFonts w:asciiTheme="majorHAnsi" w:hAnsiTheme="majorHAnsi" w:cstheme="majorHAnsi"/>
          <w:color w:val="000000" w:themeColor="text1"/>
          <w:sz w:val="20"/>
          <w:szCs w:val="20"/>
        </w:rPr>
        <w:t xml:space="preserve"> AVANSE). </w:t>
      </w:r>
    </w:p>
    <w:p w14:paraId="74450C9C" w14:textId="7BFCFC44" w:rsidR="00A50EC5" w:rsidRPr="005516CD" w:rsidRDefault="00A50EC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Most significantly in relation to this project, USAID is currently funding the “</w:t>
      </w:r>
      <w:r w:rsidRPr="005516CD">
        <w:rPr>
          <w:rFonts w:asciiTheme="majorHAnsi" w:hAnsiTheme="majorHAnsi" w:cstheme="majorHAnsi"/>
          <w:b/>
          <w:sz w:val="20"/>
          <w:szCs w:val="20"/>
        </w:rPr>
        <w:t>Reforestation Project</w:t>
      </w:r>
      <w:r w:rsidRPr="005516CD">
        <w:rPr>
          <w:rFonts w:asciiTheme="majorHAnsi" w:hAnsiTheme="majorHAnsi" w:cstheme="majorHAnsi"/>
          <w:sz w:val="20"/>
          <w:szCs w:val="20"/>
        </w:rPr>
        <w:t>”, implemented by Chemonics over the period 2017-2022,</w:t>
      </w:r>
      <w:r w:rsidR="0098522F">
        <w:rPr>
          <w:rFonts w:asciiTheme="majorHAnsi" w:hAnsiTheme="majorHAnsi" w:cstheme="majorHAnsi"/>
          <w:sz w:val="20"/>
          <w:szCs w:val="20"/>
        </w:rPr>
        <w:t xml:space="preserve"> </w:t>
      </w:r>
      <w:r w:rsidR="00AE6FEA">
        <w:rPr>
          <w:rFonts w:asciiTheme="majorHAnsi" w:hAnsiTheme="majorHAnsi" w:cstheme="majorHAnsi"/>
          <w:sz w:val="20"/>
          <w:szCs w:val="20"/>
        </w:rPr>
        <w:t>which</w:t>
      </w:r>
      <w:r w:rsidR="0098522F" w:rsidRPr="0098522F">
        <w:rPr>
          <w:rFonts w:asciiTheme="majorHAnsi" w:hAnsiTheme="majorHAnsi" w:cstheme="majorHAnsi"/>
          <w:sz w:val="20"/>
          <w:szCs w:val="20"/>
        </w:rPr>
        <w:t xml:space="preserve"> will provide an important partnership opportunity permitting the optimisation and scaling-up of environmental benefits</w:t>
      </w:r>
      <w:r w:rsidR="00AE6FEA">
        <w:rPr>
          <w:rFonts w:asciiTheme="majorHAnsi" w:hAnsiTheme="majorHAnsi" w:cstheme="majorHAnsi"/>
          <w:sz w:val="20"/>
          <w:szCs w:val="20"/>
        </w:rPr>
        <w:t>.</w:t>
      </w:r>
      <w:r w:rsidRPr="005516CD">
        <w:rPr>
          <w:rFonts w:asciiTheme="majorHAnsi" w:hAnsiTheme="majorHAnsi" w:cstheme="majorHAnsi"/>
          <w:sz w:val="20"/>
          <w:szCs w:val="20"/>
        </w:rPr>
        <w:t xml:space="preserve"> </w:t>
      </w:r>
      <w:r w:rsidR="00AE6FEA">
        <w:rPr>
          <w:rFonts w:asciiTheme="majorHAnsi" w:hAnsiTheme="majorHAnsi" w:cstheme="majorHAnsi"/>
          <w:sz w:val="20"/>
          <w:szCs w:val="20"/>
        </w:rPr>
        <w:t>T</w:t>
      </w:r>
      <w:r w:rsidRPr="005516CD">
        <w:rPr>
          <w:rFonts w:asciiTheme="majorHAnsi" w:hAnsiTheme="majorHAnsi" w:cstheme="majorHAnsi"/>
          <w:sz w:val="20"/>
          <w:szCs w:val="20"/>
        </w:rPr>
        <w:t xml:space="preserve">he intervention area of </w:t>
      </w:r>
      <w:r w:rsidR="00255F83">
        <w:rPr>
          <w:rFonts w:asciiTheme="majorHAnsi" w:hAnsiTheme="majorHAnsi" w:cstheme="majorHAnsi"/>
          <w:sz w:val="20"/>
          <w:szCs w:val="20"/>
        </w:rPr>
        <w:t>the project</w:t>
      </w:r>
      <w:r w:rsidRPr="005516CD">
        <w:rPr>
          <w:rFonts w:asciiTheme="majorHAnsi" w:hAnsiTheme="majorHAnsi" w:cstheme="majorHAnsi"/>
          <w:sz w:val="20"/>
          <w:szCs w:val="20"/>
        </w:rPr>
        <w:t xml:space="preserve"> coincides to a large extent with that of this project (see </w:t>
      </w:r>
      <w:r w:rsidRPr="005516CD">
        <w:rPr>
          <w:rFonts w:asciiTheme="majorHAnsi" w:hAnsiTheme="majorHAnsi" w:cstheme="majorHAnsi"/>
          <w:sz w:val="20"/>
          <w:szCs w:val="20"/>
        </w:rPr>
        <w:fldChar w:fldCharType="begin"/>
      </w:r>
      <w:r w:rsidRPr="005516CD">
        <w:rPr>
          <w:rFonts w:asciiTheme="majorHAnsi" w:hAnsiTheme="majorHAnsi" w:cstheme="majorHAnsi"/>
          <w:sz w:val="20"/>
          <w:szCs w:val="20"/>
        </w:rPr>
        <w:instrText xml:space="preserve"> REF _Ref533168646 \r \h </w:instrText>
      </w:r>
      <w:r w:rsidR="005516CD">
        <w:rPr>
          <w:rFonts w:asciiTheme="majorHAnsi" w:hAnsiTheme="majorHAnsi" w:cstheme="majorHAnsi"/>
          <w:sz w:val="20"/>
          <w:szCs w:val="20"/>
        </w:rPr>
        <w:instrText xml:space="preserve"> \* MERGEFORMAT </w:instrText>
      </w:r>
      <w:r w:rsidRPr="005516CD">
        <w:rPr>
          <w:rFonts w:asciiTheme="majorHAnsi" w:hAnsiTheme="majorHAnsi" w:cstheme="majorHAnsi"/>
          <w:sz w:val="20"/>
          <w:szCs w:val="20"/>
        </w:rPr>
      </w:r>
      <w:r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Figure 6</w:t>
      </w:r>
      <w:r w:rsidRPr="005516CD">
        <w:rPr>
          <w:rFonts w:asciiTheme="majorHAnsi" w:hAnsiTheme="majorHAnsi" w:cstheme="majorHAnsi"/>
          <w:sz w:val="20"/>
          <w:szCs w:val="20"/>
        </w:rPr>
        <w:fldChar w:fldCharType="end"/>
      </w:r>
      <w:r w:rsidRPr="005516CD">
        <w:rPr>
          <w:rFonts w:asciiTheme="majorHAnsi" w:hAnsiTheme="majorHAnsi" w:cstheme="majorHAnsi"/>
          <w:sz w:val="20"/>
          <w:szCs w:val="20"/>
        </w:rPr>
        <w:t>). The objectives of the Reforestation Project are to:</w:t>
      </w:r>
    </w:p>
    <w:p w14:paraId="1801A74C" w14:textId="77777777" w:rsidR="00A50EC5" w:rsidRPr="005516CD" w:rsidRDefault="00A50EC5" w:rsidP="006B27F4">
      <w:pPr>
        <w:pStyle w:val="ListParagraph"/>
        <w:numPr>
          <w:ilvl w:val="0"/>
          <w:numId w:val="96"/>
        </w:numPr>
        <w:shd w:val="clear" w:color="auto" w:fill="FFFFFF"/>
        <w:spacing w:after="120"/>
        <w:ind w:left="714" w:hanging="357"/>
        <w:rPr>
          <w:rFonts w:asciiTheme="majorHAnsi" w:eastAsia="Times New Roman" w:hAnsiTheme="majorHAnsi" w:cstheme="majorHAnsi"/>
          <w:color w:val="111111"/>
          <w:sz w:val="20"/>
          <w:szCs w:val="20"/>
        </w:rPr>
      </w:pPr>
      <w:r w:rsidRPr="005516CD">
        <w:rPr>
          <w:rFonts w:asciiTheme="majorHAnsi" w:eastAsia="Times New Roman" w:hAnsiTheme="majorHAnsi" w:cstheme="majorHAnsi"/>
          <w:color w:val="111111"/>
          <w:sz w:val="20"/>
          <w:szCs w:val="20"/>
        </w:rPr>
        <w:t>Reduce the threat of deforestation, focusing on the role of the wood-fuels and construction market as deforestation drivers in Haiti</w:t>
      </w:r>
    </w:p>
    <w:p w14:paraId="127BD45F" w14:textId="77777777" w:rsidR="00A50EC5" w:rsidRPr="005516CD" w:rsidRDefault="00A50EC5" w:rsidP="006B27F4">
      <w:pPr>
        <w:pStyle w:val="ListParagraph"/>
        <w:numPr>
          <w:ilvl w:val="0"/>
          <w:numId w:val="96"/>
        </w:numPr>
        <w:shd w:val="clear" w:color="auto" w:fill="FFFFFF"/>
        <w:spacing w:after="120"/>
        <w:ind w:left="714" w:hanging="357"/>
        <w:rPr>
          <w:rFonts w:asciiTheme="majorHAnsi" w:eastAsia="Times New Roman" w:hAnsiTheme="majorHAnsi" w:cstheme="majorHAnsi"/>
          <w:color w:val="111111"/>
          <w:sz w:val="20"/>
          <w:szCs w:val="20"/>
        </w:rPr>
      </w:pPr>
      <w:r w:rsidRPr="005516CD">
        <w:rPr>
          <w:rFonts w:asciiTheme="majorHAnsi" w:eastAsia="Times New Roman" w:hAnsiTheme="majorHAnsi" w:cstheme="majorHAnsi"/>
          <w:color w:val="111111"/>
          <w:sz w:val="20"/>
          <w:szCs w:val="20"/>
        </w:rPr>
        <w:t xml:space="preserve">Improve resilience to economic and natural shocks by strengthening </w:t>
      </w:r>
      <w:proofErr w:type="spellStart"/>
      <w:r w:rsidRPr="005516CD">
        <w:rPr>
          <w:rFonts w:asciiTheme="majorHAnsi" w:eastAsia="Times New Roman" w:hAnsiTheme="majorHAnsi" w:cstheme="majorHAnsi"/>
          <w:color w:val="111111"/>
          <w:sz w:val="20"/>
          <w:szCs w:val="20"/>
        </w:rPr>
        <w:t>agro</w:t>
      </w:r>
      <w:proofErr w:type="spellEnd"/>
      <w:r w:rsidRPr="005516CD">
        <w:rPr>
          <w:rFonts w:asciiTheme="majorHAnsi" w:eastAsia="Times New Roman" w:hAnsiTheme="majorHAnsi" w:cstheme="majorHAnsi"/>
          <w:color w:val="111111"/>
          <w:sz w:val="20"/>
          <w:szCs w:val="20"/>
        </w:rPr>
        <w:t>-forestry and animal husbandry as ways to generate income</w:t>
      </w:r>
    </w:p>
    <w:p w14:paraId="338EF81C" w14:textId="77777777" w:rsidR="00A50EC5" w:rsidRPr="005516CD" w:rsidRDefault="00A50EC5" w:rsidP="006B27F4">
      <w:pPr>
        <w:pStyle w:val="ListParagraph"/>
        <w:numPr>
          <w:ilvl w:val="0"/>
          <w:numId w:val="96"/>
        </w:numPr>
        <w:shd w:val="clear" w:color="auto" w:fill="FFFFFF"/>
        <w:spacing w:after="120"/>
        <w:ind w:left="714" w:hanging="357"/>
        <w:rPr>
          <w:rFonts w:asciiTheme="majorHAnsi" w:eastAsia="Times New Roman" w:hAnsiTheme="majorHAnsi" w:cstheme="majorHAnsi"/>
          <w:color w:val="111111"/>
          <w:sz w:val="20"/>
          <w:szCs w:val="20"/>
        </w:rPr>
      </w:pPr>
      <w:r w:rsidRPr="005516CD">
        <w:rPr>
          <w:rFonts w:asciiTheme="majorHAnsi" w:eastAsia="Times New Roman" w:hAnsiTheme="majorHAnsi" w:cstheme="majorHAnsi"/>
          <w:color w:val="111111"/>
          <w:sz w:val="20"/>
          <w:szCs w:val="20"/>
        </w:rPr>
        <w:t>Increase tree cover in targeted areas and boost communities’ investments in tree management and soil and water conservation practices</w:t>
      </w:r>
    </w:p>
    <w:p w14:paraId="0ED11B79" w14:textId="77777777" w:rsidR="00A50EC5" w:rsidRPr="005516CD" w:rsidRDefault="00A50EC5" w:rsidP="006B27F4">
      <w:pPr>
        <w:pStyle w:val="ListParagraph"/>
        <w:numPr>
          <w:ilvl w:val="0"/>
          <w:numId w:val="96"/>
        </w:numPr>
        <w:shd w:val="clear" w:color="auto" w:fill="FFFFFF"/>
        <w:spacing w:after="120"/>
        <w:ind w:left="714" w:hanging="357"/>
        <w:rPr>
          <w:rFonts w:asciiTheme="majorHAnsi" w:eastAsia="Times New Roman" w:hAnsiTheme="majorHAnsi" w:cstheme="majorHAnsi"/>
          <w:color w:val="111111"/>
          <w:sz w:val="20"/>
          <w:szCs w:val="20"/>
        </w:rPr>
      </w:pPr>
      <w:r w:rsidRPr="005516CD">
        <w:rPr>
          <w:rFonts w:asciiTheme="majorHAnsi" w:eastAsia="Times New Roman" w:hAnsiTheme="majorHAnsi" w:cstheme="majorHAnsi"/>
          <w:color w:val="111111"/>
          <w:sz w:val="20"/>
          <w:szCs w:val="20"/>
        </w:rPr>
        <w:t>Improve environmental governance to develop sub-watershed management plans and foster local community ownership of those plans</w:t>
      </w:r>
    </w:p>
    <w:p w14:paraId="0717A782" w14:textId="77777777" w:rsidR="00A50EC5" w:rsidRPr="005516CD" w:rsidRDefault="00A50EC5"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eastAsia="Calibri" w:hAnsiTheme="majorHAnsi" w:cstheme="majorHAnsi"/>
          <w:b/>
          <w:color w:val="000000" w:themeColor="text1"/>
          <w:sz w:val="20"/>
          <w:szCs w:val="20"/>
        </w:rPr>
      </w:pPr>
      <w:bookmarkStart w:id="28" w:name="_Ref533168646"/>
      <w:r w:rsidRPr="005516CD">
        <w:rPr>
          <w:rFonts w:asciiTheme="majorHAnsi" w:eastAsia="Calibri" w:hAnsiTheme="majorHAnsi" w:cstheme="majorHAnsi"/>
          <w:b/>
          <w:color w:val="000000" w:themeColor="text1"/>
          <w:sz w:val="20"/>
          <w:szCs w:val="20"/>
        </w:rPr>
        <w:t xml:space="preserve">Area of </w:t>
      </w:r>
      <w:r w:rsidRPr="005516CD">
        <w:rPr>
          <w:rFonts w:asciiTheme="majorHAnsi" w:eastAsia="Calibri" w:hAnsiTheme="majorHAnsi" w:cstheme="majorHAnsi"/>
          <w:b/>
          <w:sz w:val="20"/>
          <w:szCs w:val="20"/>
        </w:rPr>
        <w:t>operation</w:t>
      </w:r>
      <w:r w:rsidRPr="005516CD">
        <w:rPr>
          <w:rFonts w:asciiTheme="majorHAnsi" w:eastAsia="Calibri" w:hAnsiTheme="majorHAnsi" w:cstheme="majorHAnsi"/>
          <w:b/>
          <w:color w:val="000000" w:themeColor="text1"/>
          <w:sz w:val="20"/>
          <w:szCs w:val="20"/>
        </w:rPr>
        <w:t xml:space="preserve"> of the USAID/Chemonics Reforestation Project</w:t>
      </w:r>
      <w:bookmarkEnd w:id="28"/>
    </w:p>
    <w:p w14:paraId="3181E2B2" w14:textId="77777777" w:rsidR="00A50EC5" w:rsidRPr="005516CD" w:rsidRDefault="00A50EC5" w:rsidP="00A50EC5">
      <w:pPr>
        <w:tabs>
          <w:tab w:val="left" w:pos="426"/>
        </w:tabs>
        <w:spacing w:after="120"/>
        <w:ind w:right="96"/>
        <w:jc w:val="center"/>
        <w:rPr>
          <w:rFonts w:asciiTheme="majorHAnsi" w:eastAsia="Calibri" w:hAnsiTheme="majorHAnsi" w:cstheme="majorHAnsi"/>
          <w:color w:val="000000" w:themeColor="text1"/>
          <w:sz w:val="20"/>
          <w:szCs w:val="20"/>
        </w:rPr>
      </w:pPr>
      <w:r w:rsidRPr="005516CD">
        <w:rPr>
          <w:rFonts w:asciiTheme="majorHAnsi" w:eastAsia="Calibri" w:hAnsiTheme="majorHAnsi" w:cstheme="majorHAnsi"/>
          <w:noProof/>
          <w:color w:val="000000" w:themeColor="text1"/>
          <w:sz w:val="20"/>
          <w:szCs w:val="20"/>
          <w:lang w:val="en-US" w:eastAsia="en-US"/>
        </w:rPr>
        <w:drawing>
          <wp:inline distT="0" distB="0" distL="0" distR="0" wp14:anchorId="3D0D9FF2" wp14:editId="4EBDEAF1">
            <wp:extent cx="5105400" cy="2849880"/>
            <wp:effectExtent l="0" t="0" r="0" b="7620"/>
            <wp:docPr id="4" name="Picture 3">
              <a:extLst xmlns:a="http://schemas.openxmlformats.org/drawingml/2006/main">
                <a:ext uri="{FF2B5EF4-FFF2-40B4-BE49-F238E27FC236}">
                  <a16:creationId xmlns:a16="http://schemas.microsoft.com/office/drawing/2014/main" id="{6683179A-D5AF-46E3-AE2B-05FB199A035C}"/>
                </a:ext>
              </a:extLst>
            </wp:docPr>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6683179A-D5AF-46E3-AE2B-05FB199A035C}"/>
                        </a:ext>
                      </a:extLst>
                    </pic:cNvPr>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105400" cy="2849880"/>
                    </a:xfrm>
                    <a:prstGeom prst="rect">
                      <a:avLst/>
                    </a:prstGeom>
                    <a:noFill/>
                  </pic:spPr>
                </pic:pic>
              </a:graphicData>
            </a:graphic>
          </wp:inline>
        </w:drawing>
      </w:r>
    </w:p>
    <w:p w14:paraId="34D00215" w14:textId="77777777" w:rsidR="00A50EC5" w:rsidRPr="005516CD" w:rsidRDefault="00A50EC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bCs/>
          <w:sz w:val="20"/>
          <w:szCs w:val="20"/>
        </w:rPr>
      </w:pPr>
      <w:r w:rsidRPr="005516CD">
        <w:rPr>
          <w:rFonts w:asciiTheme="majorHAnsi" w:hAnsiTheme="majorHAnsi" w:cstheme="majorHAnsi"/>
          <w:bCs/>
          <w:sz w:val="20"/>
          <w:szCs w:val="20"/>
        </w:rPr>
        <w:t xml:space="preserve">The </w:t>
      </w:r>
      <w:r w:rsidRPr="005516CD">
        <w:rPr>
          <w:rFonts w:asciiTheme="majorHAnsi" w:hAnsiTheme="majorHAnsi" w:cstheme="majorHAnsi"/>
          <w:b/>
          <w:bCs/>
          <w:sz w:val="20"/>
          <w:szCs w:val="20"/>
        </w:rPr>
        <w:t>Interamerican Development Bank (IADB)</w:t>
      </w:r>
      <w:r w:rsidRPr="005516CD">
        <w:rPr>
          <w:rFonts w:asciiTheme="majorHAnsi" w:hAnsiTheme="majorHAnsi" w:cstheme="majorHAnsi"/>
          <w:bCs/>
          <w:sz w:val="20"/>
          <w:szCs w:val="20"/>
        </w:rPr>
        <w:t xml:space="preserve"> also contributes significantly to the baseline. </w:t>
      </w:r>
      <w:r w:rsidR="006761E9" w:rsidRPr="005516CD">
        <w:rPr>
          <w:rFonts w:asciiTheme="majorHAnsi" w:hAnsiTheme="majorHAnsi" w:cstheme="majorHAnsi"/>
          <w:color w:val="000000" w:themeColor="text1"/>
          <w:sz w:val="20"/>
          <w:szCs w:val="20"/>
        </w:rPr>
        <w:t>The Technology Transfer to Small Farmers Project (</w:t>
      </w:r>
      <w:proofErr w:type="spellStart"/>
      <w:r w:rsidR="006761E9" w:rsidRPr="005516CD">
        <w:rPr>
          <w:rFonts w:asciiTheme="majorHAnsi" w:hAnsiTheme="majorHAnsi" w:cstheme="majorHAnsi"/>
          <w:i/>
          <w:color w:val="000000" w:themeColor="text1"/>
          <w:sz w:val="20"/>
          <w:szCs w:val="20"/>
        </w:rPr>
        <w:t>Projet</w:t>
      </w:r>
      <w:proofErr w:type="spellEnd"/>
      <w:r w:rsidR="006761E9" w:rsidRPr="005516CD">
        <w:rPr>
          <w:rFonts w:asciiTheme="majorHAnsi" w:hAnsiTheme="majorHAnsi" w:cstheme="majorHAnsi"/>
          <w:i/>
          <w:color w:val="000000" w:themeColor="text1"/>
          <w:sz w:val="20"/>
          <w:szCs w:val="20"/>
        </w:rPr>
        <w:t xml:space="preserve"> de </w:t>
      </w:r>
      <w:proofErr w:type="spellStart"/>
      <w:r w:rsidR="006761E9" w:rsidRPr="005516CD">
        <w:rPr>
          <w:rFonts w:asciiTheme="majorHAnsi" w:hAnsiTheme="majorHAnsi" w:cstheme="majorHAnsi"/>
          <w:i/>
          <w:color w:val="000000" w:themeColor="text1"/>
          <w:sz w:val="20"/>
          <w:szCs w:val="20"/>
        </w:rPr>
        <w:t>transfert</w:t>
      </w:r>
      <w:proofErr w:type="spellEnd"/>
      <w:r w:rsidR="006761E9" w:rsidRPr="005516CD">
        <w:rPr>
          <w:rFonts w:asciiTheme="majorHAnsi" w:hAnsiTheme="majorHAnsi" w:cstheme="majorHAnsi"/>
          <w:i/>
          <w:color w:val="000000" w:themeColor="text1"/>
          <w:sz w:val="20"/>
          <w:szCs w:val="20"/>
        </w:rPr>
        <w:t xml:space="preserve"> de technologies aux petits </w:t>
      </w:r>
      <w:proofErr w:type="spellStart"/>
      <w:r w:rsidR="006761E9" w:rsidRPr="005516CD">
        <w:rPr>
          <w:rFonts w:asciiTheme="majorHAnsi" w:hAnsiTheme="majorHAnsi" w:cstheme="majorHAnsi"/>
          <w:i/>
          <w:color w:val="000000" w:themeColor="text1"/>
          <w:sz w:val="20"/>
          <w:szCs w:val="20"/>
        </w:rPr>
        <w:t>agriculteurs</w:t>
      </w:r>
      <w:proofErr w:type="spellEnd"/>
      <w:r w:rsidR="006761E9" w:rsidRPr="005516CD">
        <w:rPr>
          <w:rFonts w:asciiTheme="majorHAnsi" w:hAnsiTheme="majorHAnsi" w:cstheme="majorHAnsi"/>
          <w:color w:val="000000" w:themeColor="text1"/>
          <w:sz w:val="20"/>
          <w:szCs w:val="20"/>
        </w:rPr>
        <w:t>, PTTA) financed by the IADB and the Global Agriculture and Food Security Programme (GAFSP) has supported the dissemination of management practices for cacao agroforestry systems, the regeneration of old plantations and the establishment of new ones.</w:t>
      </w:r>
    </w:p>
    <w:p w14:paraId="2AECB473" w14:textId="77777777" w:rsidR="006761E9" w:rsidRPr="005516CD" w:rsidRDefault="006761E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bCs/>
          <w:sz w:val="20"/>
          <w:szCs w:val="20"/>
        </w:rPr>
      </w:pPr>
      <w:r w:rsidRPr="005516CD">
        <w:rPr>
          <w:rFonts w:asciiTheme="majorHAnsi" w:hAnsiTheme="majorHAnsi" w:cstheme="majorHAnsi"/>
          <w:bCs/>
          <w:sz w:val="20"/>
          <w:szCs w:val="20"/>
        </w:rPr>
        <w:t>Current IADB initiatives in the project area are:</w:t>
      </w:r>
    </w:p>
    <w:p w14:paraId="55D36AEE" w14:textId="77777777" w:rsidR="00A200F8" w:rsidRPr="005516CD" w:rsidRDefault="00A200F8" w:rsidP="006B27F4">
      <w:pPr>
        <w:pStyle w:val="ListParagraph"/>
        <w:numPr>
          <w:ilvl w:val="0"/>
          <w:numId w:val="96"/>
        </w:numPr>
        <w:tabs>
          <w:tab w:val="left" w:pos="709"/>
        </w:tabs>
        <w:ind w:left="714" w:right="96" w:hanging="357"/>
        <w:jc w:val="both"/>
        <w:rPr>
          <w:rFonts w:asciiTheme="majorHAnsi" w:hAnsiTheme="majorHAnsi" w:cstheme="majorHAnsi"/>
          <w:bCs/>
          <w:sz w:val="20"/>
          <w:szCs w:val="20"/>
        </w:rPr>
      </w:pPr>
      <w:r w:rsidRPr="005516CD">
        <w:rPr>
          <w:rFonts w:asciiTheme="majorHAnsi" w:hAnsiTheme="majorHAnsi" w:cstheme="majorHAnsi"/>
          <w:bCs/>
          <w:sz w:val="20"/>
          <w:szCs w:val="20"/>
        </w:rPr>
        <w:t>Land Tenure Security Programme in Rural Areas</w:t>
      </w:r>
      <w:r w:rsidRPr="005516CD">
        <w:rPr>
          <w:rStyle w:val="FootnoteReference"/>
          <w:rFonts w:asciiTheme="majorHAnsi" w:hAnsiTheme="majorHAnsi" w:cstheme="majorHAnsi"/>
          <w:bCs/>
          <w:sz w:val="20"/>
          <w:szCs w:val="20"/>
        </w:rPr>
        <w:footnoteReference w:id="35"/>
      </w:r>
      <w:r w:rsidRPr="005516CD">
        <w:rPr>
          <w:rFonts w:asciiTheme="majorHAnsi" w:hAnsiTheme="majorHAnsi" w:cstheme="majorHAnsi"/>
          <w:bCs/>
          <w:sz w:val="20"/>
          <w:szCs w:val="20"/>
        </w:rPr>
        <w:t xml:space="preserve">, which aims to </w:t>
      </w:r>
      <w:proofErr w:type="spellStart"/>
      <w:r w:rsidRPr="005516CD">
        <w:rPr>
          <w:rFonts w:asciiTheme="majorHAnsi" w:hAnsiTheme="majorHAnsi" w:cstheme="majorHAnsi"/>
          <w:bCs/>
          <w:sz w:val="20"/>
          <w:szCs w:val="20"/>
        </w:rPr>
        <w:t>i</w:t>
      </w:r>
      <w:r w:rsidRPr="005516CD">
        <w:rPr>
          <w:rFonts w:asciiTheme="majorHAnsi" w:hAnsiTheme="majorHAnsi" w:cstheme="majorHAnsi"/>
          <w:bCs/>
          <w:sz w:val="20"/>
          <w:szCs w:val="20"/>
          <w:lang w:val="en-GB"/>
        </w:rPr>
        <w:t>ncrease</w:t>
      </w:r>
      <w:proofErr w:type="spellEnd"/>
      <w:r w:rsidRPr="005516CD">
        <w:rPr>
          <w:rFonts w:asciiTheme="majorHAnsi" w:hAnsiTheme="majorHAnsi" w:cstheme="majorHAnsi"/>
          <w:bCs/>
          <w:sz w:val="20"/>
          <w:szCs w:val="20"/>
          <w:lang w:val="en-GB"/>
        </w:rPr>
        <w:t xml:space="preserve"> land tenure security of rural households in pilot targeted areas and improve the quality of land administration services.</w:t>
      </w:r>
    </w:p>
    <w:p w14:paraId="2ABA0D6B" w14:textId="77777777" w:rsidR="006761E9" w:rsidRPr="005516CD" w:rsidRDefault="006025B0" w:rsidP="006B27F4">
      <w:pPr>
        <w:pStyle w:val="ListParagraph"/>
        <w:numPr>
          <w:ilvl w:val="0"/>
          <w:numId w:val="96"/>
        </w:numPr>
        <w:tabs>
          <w:tab w:val="left" w:pos="709"/>
        </w:tabs>
        <w:ind w:left="714" w:right="96" w:hanging="357"/>
        <w:jc w:val="both"/>
        <w:rPr>
          <w:rFonts w:asciiTheme="majorHAnsi" w:hAnsiTheme="majorHAnsi" w:cstheme="majorHAnsi"/>
          <w:bCs/>
          <w:sz w:val="20"/>
          <w:szCs w:val="20"/>
        </w:rPr>
      </w:pPr>
      <w:r w:rsidRPr="005516CD">
        <w:rPr>
          <w:rFonts w:asciiTheme="majorHAnsi" w:hAnsiTheme="majorHAnsi" w:cstheme="majorHAnsi"/>
          <w:bCs/>
          <w:sz w:val="20"/>
          <w:szCs w:val="20"/>
        </w:rPr>
        <w:t>The Natural Disaster Mitigation Programme II</w:t>
      </w:r>
      <w:r w:rsidRPr="005516CD">
        <w:rPr>
          <w:rStyle w:val="FootnoteReference"/>
          <w:rFonts w:asciiTheme="majorHAnsi" w:hAnsiTheme="majorHAnsi" w:cstheme="majorHAnsi"/>
          <w:bCs/>
          <w:sz w:val="20"/>
          <w:szCs w:val="20"/>
        </w:rPr>
        <w:footnoteReference w:id="36"/>
      </w:r>
      <w:r w:rsidRPr="005516CD">
        <w:rPr>
          <w:rFonts w:asciiTheme="majorHAnsi" w:hAnsiTheme="majorHAnsi" w:cstheme="majorHAnsi"/>
          <w:bCs/>
          <w:sz w:val="20"/>
          <w:szCs w:val="20"/>
        </w:rPr>
        <w:t xml:space="preserve">, which aims </w:t>
      </w:r>
      <w:r w:rsidRPr="005516CD">
        <w:rPr>
          <w:rFonts w:asciiTheme="majorHAnsi" w:hAnsiTheme="majorHAnsi" w:cstheme="majorHAnsi"/>
          <w:bCs/>
          <w:sz w:val="20"/>
          <w:szCs w:val="20"/>
          <w:lang w:val="en-GB"/>
        </w:rPr>
        <w:t>to reduce rural economic losses through the improvement of climate risk management in selected watersheds. </w:t>
      </w:r>
      <w:r w:rsidR="00A200F8" w:rsidRPr="005516CD">
        <w:rPr>
          <w:rFonts w:asciiTheme="majorHAnsi" w:hAnsiTheme="majorHAnsi" w:cstheme="majorHAnsi"/>
          <w:bCs/>
          <w:sz w:val="20"/>
          <w:szCs w:val="20"/>
        </w:rPr>
        <w:t xml:space="preserve"> </w:t>
      </w:r>
    </w:p>
    <w:p w14:paraId="3EA19D5C" w14:textId="77777777" w:rsidR="00A200F8" w:rsidRPr="005516CD" w:rsidRDefault="006025B0" w:rsidP="006B27F4">
      <w:pPr>
        <w:pStyle w:val="ListParagraph"/>
        <w:numPr>
          <w:ilvl w:val="0"/>
          <w:numId w:val="96"/>
        </w:numPr>
        <w:tabs>
          <w:tab w:val="left" w:pos="709"/>
        </w:tabs>
        <w:spacing w:after="120"/>
        <w:ind w:left="714" w:right="96" w:hanging="357"/>
        <w:jc w:val="both"/>
        <w:rPr>
          <w:rFonts w:asciiTheme="majorHAnsi" w:hAnsiTheme="majorHAnsi" w:cstheme="majorHAnsi"/>
          <w:bCs/>
          <w:sz w:val="20"/>
          <w:szCs w:val="20"/>
        </w:rPr>
      </w:pPr>
      <w:r w:rsidRPr="005516CD">
        <w:rPr>
          <w:rFonts w:asciiTheme="majorHAnsi" w:hAnsiTheme="majorHAnsi" w:cstheme="majorHAnsi"/>
          <w:bCs/>
          <w:sz w:val="20"/>
          <w:szCs w:val="20"/>
          <w:lang w:val="en-GB"/>
        </w:rPr>
        <w:t>The Agricultural and Agroforestry Technical Innovation Programme (PITAG), the general objectives of which are to increase agricultural income and food security for smallholder farmers in selected areas of Haiti. The specific objectives are to increase agricultural productivity and improve the use of natural capital through the adoption of sustainable technologies.</w:t>
      </w:r>
    </w:p>
    <w:p w14:paraId="591EA3F1" w14:textId="77777777" w:rsidR="006761E9" w:rsidRPr="005516CD" w:rsidRDefault="006761E9"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eastAsia="Calibri" w:hAnsiTheme="majorHAnsi" w:cstheme="majorHAnsi"/>
          <w:b/>
          <w:color w:val="000000" w:themeColor="text1"/>
          <w:sz w:val="20"/>
          <w:szCs w:val="20"/>
        </w:rPr>
      </w:pPr>
      <w:r w:rsidRPr="005516CD">
        <w:rPr>
          <w:rFonts w:asciiTheme="majorHAnsi" w:eastAsia="Calibri" w:hAnsiTheme="majorHAnsi" w:cstheme="majorHAnsi"/>
          <w:b/>
          <w:sz w:val="20"/>
          <w:szCs w:val="20"/>
        </w:rPr>
        <w:t>Areas</w:t>
      </w:r>
      <w:r w:rsidRPr="005516CD">
        <w:rPr>
          <w:rFonts w:asciiTheme="majorHAnsi" w:eastAsia="Calibri" w:hAnsiTheme="majorHAnsi" w:cstheme="majorHAnsi"/>
          <w:b/>
          <w:color w:val="000000" w:themeColor="text1"/>
          <w:sz w:val="20"/>
          <w:szCs w:val="20"/>
        </w:rPr>
        <w:t xml:space="preserve"> of operation of IDB projects in the North and North-east Departments</w:t>
      </w:r>
    </w:p>
    <w:p w14:paraId="0784465F" w14:textId="77777777" w:rsidR="006761E9" w:rsidRPr="005516CD" w:rsidRDefault="00A200F8" w:rsidP="006761E9">
      <w:pPr>
        <w:tabs>
          <w:tab w:val="left" w:pos="426"/>
        </w:tabs>
        <w:spacing w:after="120"/>
        <w:ind w:right="96"/>
        <w:jc w:val="center"/>
        <w:rPr>
          <w:rFonts w:asciiTheme="majorHAnsi" w:eastAsia="Calibri" w:hAnsiTheme="majorHAnsi" w:cstheme="majorHAnsi"/>
          <w:sz w:val="20"/>
          <w:szCs w:val="20"/>
        </w:rPr>
      </w:pPr>
      <w:r w:rsidRPr="005516CD">
        <w:rPr>
          <w:rFonts w:asciiTheme="majorHAnsi" w:eastAsia="Calibri" w:hAnsiTheme="majorHAnsi" w:cstheme="majorHAnsi"/>
          <w:b/>
          <w:noProof/>
          <w:color w:val="000000" w:themeColor="text1"/>
          <w:sz w:val="20"/>
          <w:szCs w:val="20"/>
          <w:bdr w:val="nil"/>
          <w:lang w:val="en-US" w:eastAsia="en-US"/>
        </w:rPr>
        <mc:AlternateContent>
          <mc:Choice Requires="wps">
            <w:drawing>
              <wp:anchor distT="0" distB="0" distL="114300" distR="114300" simplePos="0" relativeHeight="251815936" behindDoc="0" locked="0" layoutInCell="1" allowOverlap="1" wp14:anchorId="66EB0C32" wp14:editId="623FC28A">
                <wp:simplePos x="0" y="0"/>
                <wp:positionH relativeFrom="column">
                  <wp:posOffset>2758440</wp:posOffset>
                </wp:positionH>
                <wp:positionV relativeFrom="paragraph">
                  <wp:posOffset>1747520</wp:posOffset>
                </wp:positionV>
                <wp:extent cx="1348740" cy="632460"/>
                <wp:effectExtent l="0" t="38100" r="60960" b="34290"/>
                <wp:wrapNone/>
                <wp:docPr id="1073741989" name="Straight Arrow Connector 1073741989"/>
                <wp:cNvGraphicFramePr/>
                <a:graphic xmlns:a="http://schemas.openxmlformats.org/drawingml/2006/main">
                  <a:graphicData uri="http://schemas.microsoft.com/office/word/2010/wordprocessingShape">
                    <wps:wsp>
                      <wps:cNvCnPr/>
                      <wps:spPr>
                        <a:xfrm flipV="1">
                          <a:off x="0" y="0"/>
                          <a:ext cx="1348740" cy="632460"/>
                        </a:xfrm>
                        <a:prstGeom prst="straightConnector1">
                          <a:avLst/>
                        </a:prstGeom>
                        <a:noFill/>
                        <a:ln w="12700" cap="flat">
                          <a:solidFill>
                            <a:schemeClr val="tx1"/>
                          </a:solidFill>
                          <a:prstDash val="solid"/>
                          <a:miter lim="800000"/>
                          <a:tailEnd type="triangle"/>
                        </a:ln>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69FC50C0" id="Straight Arrow Connector 1073741989" o:spid="_x0000_s1026" type="#_x0000_t32" style="position:absolute;margin-left:217.2pt;margin-top:137.6pt;width:106.2pt;height:49.8pt;flip:y;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" strokecolor="black [3213]" strokeweight="1pt">
                <v:stroke endarrow="block" joinstyle="miter"/>
              </v:shape>
            </w:pict>
          </mc:Fallback>
        </mc:AlternateContent>
      </w:r>
      <w:r w:rsidRPr="005516CD">
        <w:rPr>
          <w:rFonts w:asciiTheme="majorHAnsi" w:eastAsia="Calibri" w:hAnsiTheme="majorHAnsi" w:cstheme="majorHAnsi"/>
          <w:b/>
          <w:noProof/>
          <w:color w:val="000000" w:themeColor="text1"/>
          <w:sz w:val="20"/>
          <w:szCs w:val="20"/>
          <w:lang w:val="en-US" w:eastAsia="en-US"/>
        </w:rPr>
        <mc:AlternateContent>
          <mc:Choice Requires="wps">
            <w:drawing>
              <wp:anchor distT="45720" distB="45720" distL="114300" distR="114300" simplePos="0" relativeHeight="251814912" behindDoc="0" locked="0" layoutInCell="1" allowOverlap="1" wp14:anchorId="431702F2" wp14:editId="64D8DD72">
                <wp:simplePos x="0" y="0"/>
                <wp:positionH relativeFrom="column">
                  <wp:posOffset>1470660</wp:posOffset>
                </wp:positionH>
                <wp:positionV relativeFrom="paragraph">
                  <wp:posOffset>2166620</wp:posOffset>
                </wp:positionV>
                <wp:extent cx="1286510" cy="565150"/>
                <wp:effectExtent l="0" t="0" r="8890" b="6350"/>
                <wp:wrapNone/>
                <wp:docPr id="10737419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6510" cy="565150"/>
                        </a:xfrm>
                        <a:prstGeom prst="rect">
                          <a:avLst/>
                        </a:prstGeom>
                        <a:solidFill>
                          <a:schemeClr val="bg1"/>
                        </a:solidFill>
                        <a:ln w="9525">
                          <a:noFill/>
                          <a:miter lim="800000"/>
                          <a:headEnd/>
                          <a:tailEnd/>
                        </a:ln>
                      </wps:spPr>
                      <wps:txbx>
                        <w:txbxContent>
                          <w:p w14:paraId="20703DC1" w14:textId="77777777" w:rsidR="00013DC5" w:rsidRPr="00722CCA" w:rsidRDefault="00013DC5" w:rsidP="006761E9">
                            <w:pPr>
                              <w:jc w:val="center"/>
                              <w:rPr>
                                <w:rFonts w:asciiTheme="majorHAnsi" w:hAnsiTheme="majorHAnsi" w:cstheme="majorHAnsi"/>
                                <w:sz w:val="20"/>
                              </w:rPr>
                            </w:pPr>
                            <w:r>
                              <w:rPr>
                                <w:rFonts w:asciiTheme="majorHAnsi" w:hAnsiTheme="majorHAnsi" w:cstheme="majorHAnsi"/>
                                <w:sz w:val="20"/>
                              </w:rPr>
                              <w:t xml:space="preserve">Land Tenure Security </w:t>
                            </w:r>
                            <w:r w:rsidRPr="00722CCA">
                              <w:rPr>
                                <w:rFonts w:asciiTheme="majorHAnsi" w:hAnsiTheme="majorHAnsi" w:cstheme="majorHAnsi"/>
                                <w:sz w:val="20"/>
                              </w:rPr>
                              <w:t>Programme</w:t>
                            </w:r>
                            <w:r>
                              <w:rPr>
                                <w:rFonts w:asciiTheme="majorHAnsi" w:hAnsiTheme="majorHAnsi" w:cstheme="majorHAnsi"/>
                                <w:sz w:val="20"/>
                              </w:rPr>
                              <w:t xml:space="preserve"> in Rural Areas (dashed line)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31702F2" id="_x0000_s1030" type="#_x0000_t202" style="position:absolute;left:0;text-align:left;margin-left:115.8pt;margin-top:170.6pt;width:101.3pt;height:44.5pt;z-index:2518149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" fillcolor="white [3212]" stroked="f">
                <v:textbox style="mso-fit-shape-to-text:t">
                  <w:txbxContent>
                    <w:p w14:paraId="20703DC1" w14:textId="77777777" w:rsidR="00013DC5" w:rsidRPr="00722CCA" w:rsidRDefault="00013DC5" w:rsidP="006761E9">
                      <w:pPr>
                        <w:jc w:val="center"/>
                        <w:rPr>
                          <w:rFonts w:asciiTheme="majorHAnsi" w:hAnsiTheme="majorHAnsi" w:cstheme="majorHAnsi"/>
                          <w:sz w:val="20"/>
                        </w:rPr>
                      </w:pPr>
                      <w:r>
                        <w:rPr>
                          <w:rFonts w:asciiTheme="majorHAnsi" w:hAnsiTheme="majorHAnsi" w:cstheme="majorHAnsi"/>
                          <w:sz w:val="20"/>
                        </w:rPr>
                        <w:t xml:space="preserve">Land Tenure Security </w:t>
                      </w:r>
                      <w:r w:rsidRPr="00722CCA">
                        <w:rPr>
                          <w:rFonts w:asciiTheme="majorHAnsi" w:hAnsiTheme="majorHAnsi" w:cstheme="majorHAnsi"/>
                          <w:sz w:val="20"/>
                        </w:rPr>
                        <w:t>Programme</w:t>
                      </w:r>
                      <w:r>
                        <w:rPr>
                          <w:rFonts w:asciiTheme="majorHAnsi" w:hAnsiTheme="majorHAnsi" w:cstheme="majorHAnsi"/>
                          <w:sz w:val="20"/>
                        </w:rPr>
                        <w:t xml:space="preserve"> in Rural Areas (dashed line)</w:t>
                      </w:r>
                    </w:p>
                  </w:txbxContent>
                </v:textbox>
              </v:shape>
            </w:pict>
          </mc:Fallback>
        </mc:AlternateContent>
      </w:r>
      <w:r w:rsidR="006761E9" w:rsidRPr="005516CD">
        <w:rPr>
          <w:rFonts w:asciiTheme="majorHAnsi" w:eastAsia="Calibri" w:hAnsiTheme="majorHAnsi" w:cstheme="majorHAnsi"/>
          <w:b/>
          <w:noProof/>
          <w:color w:val="000000" w:themeColor="text1"/>
          <w:sz w:val="20"/>
          <w:szCs w:val="20"/>
          <w:lang w:val="en-US" w:eastAsia="en-US"/>
        </w:rPr>
        <mc:AlternateContent>
          <mc:Choice Requires="wps">
            <w:drawing>
              <wp:anchor distT="45720" distB="45720" distL="114300" distR="114300" simplePos="0" relativeHeight="251817984" behindDoc="0" locked="0" layoutInCell="1" allowOverlap="1" wp14:anchorId="6EB44EF4" wp14:editId="1645E01A">
                <wp:simplePos x="0" y="0"/>
                <wp:positionH relativeFrom="column">
                  <wp:posOffset>4587240</wp:posOffset>
                </wp:positionH>
                <wp:positionV relativeFrom="paragraph">
                  <wp:posOffset>1587500</wp:posOffset>
                </wp:positionV>
                <wp:extent cx="1051560" cy="720725"/>
                <wp:effectExtent l="0" t="0" r="0" b="3175"/>
                <wp:wrapNone/>
                <wp:docPr id="10737418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1560" cy="720725"/>
                        </a:xfrm>
                        <a:prstGeom prst="rect">
                          <a:avLst/>
                        </a:prstGeom>
                        <a:solidFill>
                          <a:schemeClr val="bg1"/>
                        </a:solidFill>
                        <a:ln w="9525">
                          <a:noFill/>
                          <a:miter lim="800000"/>
                          <a:headEnd/>
                          <a:tailEnd/>
                        </a:ln>
                      </wps:spPr>
                      <wps:txbx>
                        <w:txbxContent>
                          <w:p w14:paraId="7F9D73AB" w14:textId="77777777" w:rsidR="00013DC5" w:rsidRPr="00722CCA" w:rsidRDefault="00013DC5" w:rsidP="006761E9">
                            <w:pPr>
                              <w:jc w:val="center"/>
                              <w:rPr>
                                <w:rFonts w:asciiTheme="majorHAnsi" w:hAnsiTheme="majorHAnsi" w:cstheme="majorHAnsi"/>
                                <w:sz w:val="20"/>
                              </w:rPr>
                            </w:pPr>
                            <w:r>
                              <w:rPr>
                                <w:rFonts w:asciiTheme="majorHAnsi" w:hAnsiTheme="majorHAnsi" w:cstheme="majorHAnsi"/>
                                <w:sz w:val="20"/>
                              </w:rPr>
                              <w:t>Natural Disaster Mitigation</w:t>
                            </w:r>
                            <w:r w:rsidRPr="00722CCA">
                              <w:rPr>
                                <w:rFonts w:asciiTheme="majorHAnsi" w:hAnsiTheme="majorHAnsi" w:cstheme="majorHAnsi"/>
                                <w:sz w:val="20"/>
                              </w:rPr>
                              <w:t xml:space="preserve"> Programme</w:t>
                            </w:r>
                            <w:r>
                              <w:rPr>
                                <w:rFonts w:asciiTheme="majorHAnsi" w:hAnsiTheme="majorHAnsi" w:cstheme="majorHAnsi"/>
                                <w:sz w:val="20"/>
                              </w:rPr>
                              <w:t xml:space="preserve"> II (hatched)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EB44EF4" id="_x0000_s1031" type="#_x0000_t202" style="position:absolute;left:0;text-align:left;margin-left:361.2pt;margin-top:125pt;width:82.8pt;height:56.75pt;z-index:2518179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" fillcolor="white [3212]" stroked="f">
                <v:textbox style="mso-fit-shape-to-text:t">
                  <w:txbxContent>
                    <w:p w14:paraId="7F9D73AB" w14:textId="77777777" w:rsidR="00013DC5" w:rsidRPr="00722CCA" w:rsidRDefault="00013DC5" w:rsidP="006761E9">
                      <w:pPr>
                        <w:jc w:val="center"/>
                        <w:rPr>
                          <w:rFonts w:asciiTheme="majorHAnsi" w:hAnsiTheme="majorHAnsi" w:cstheme="majorHAnsi"/>
                          <w:sz w:val="20"/>
                        </w:rPr>
                      </w:pPr>
                      <w:r>
                        <w:rPr>
                          <w:rFonts w:asciiTheme="majorHAnsi" w:hAnsiTheme="majorHAnsi" w:cstheme="majorHAnsi"/>
                          <w:sz w:val="20"/>
                        </w:rPr>
                        <w:t>Natural Disaster Mitigation</w:t>
                      </w:r>
                      <w:r w:rsidRPr="00722CCA">
                        <w:rPr>
                          <w:rFonts w:asciiTheme="majorHAnsi" w:hAnsiTheme="majorHAnsi" w:cstheme="majorHAnsi"/>
                          <w:sz w:val="20"/>
                        </w:rPr>
                        <w:t xml:space="preserve"> Programme</w:t>
                      </w:r>
                      <w:r>
                        <w:rPr>
                          <w:rFonts w:asciiTheme="majorHAnsi" w:hAnsiTheme="majorHAnsi" w:cstheme="majorHAnsi"/>
                          <w:sz w:val="20"/>
                        </w:rPr>
                        <w:t xml:space="preserve"> II (hatched)</w:t>
                      </w:r>
                    </w:p>
                  </w:txbxContent>
                </v:textbox>
              </v:shape>
            </w:pict>
          </mc:Fallback>
        </mc:AlternateContent>
      </w:r>
      <w:r w:rsidR="006761E9" w:rsidRPr="005516CD">
        <w:rPr>
          <w:rFonts w:asciiTheme="majorHAnsi" w:eastAsia="Calibri" w:hAnsiTheme="majorHAnsi" w:cstheme="majorHAnsi"/>
          <w:b/>
          <w:noProof/>
          <w:color w:val="000000" w:themeColor="text1"/>
          <w:sz w:val="20"/>
          <w:szCs w:val="20"/>
          <w:bdr w:val="nil"/>
          <w:lang w:val="en-US" w:eastAsia="en-US"/>
        </w:rPr>
        <mc:AlternateContent>
          <mc:Choice Requires="wps">
            <w:drawing>
              <wp:anchor distT="0" distB="0" distL="114300" distR="114300" simplePos="0" relativeHeight="251813888" behindDoc="0" locked="0" layoutInCell="1" allowOverlap="1" wp14:anchorId="11B309DC" wp14:editId="1C8DEA2E">
                <wp:simplePos x="0" y="0"/>
                <wp:positionH relativeFrom="column">
                  <wp:posOffset>3680460</wp:posOffset>
                </wp:positionH>
                <wp:positionV relativeFrom="paragraph">
                  <wp:posOffset>962660</wp:posOffset>
                </wp:positionV>
                <wp:extent cx="419100" cy="579120"/>
                <wp:effectExtent l="0" t="0" r="76200" b="49530"/>
                <wp:wrapNone/>
                <wp:docPr id="1073741985" name="Straight Arrow Connector 1073741985"/>
                <wp:cNvGraphicFramePr/>
                <a:graphic xmlns:a="http://schemas.openxmlformats.org/drawingml/2006/main">
                  <a:graphicData uri="http://schemas.microsoft.com/office/word/2010/wordprocessingShape">
                    <wps:wsp>
                      <wps:cNvCnPr/>
                      <wps:spPr>
                        <a:xfrm>
                          <a:off x="0" y="0"/>
                          <a:ext cx="419100" cy="579120"/>
                        </a:xfrm>
                        <a:prstGeom prst="straightConnector1">
                          <a:avLst/>
                        </a:prstGeom>
                        <a:noFill/>
                        <a:ln w="12700" cap="flat">
                          <a:solidFill>
                            <a:schemeClr val="tx1"/>
                          </a:solidFill>
                          <a:prstDash val="solid"/>
                          <a:miter lim="800000"/>
                          <a:tailEnd type="triangle"/>
                        </a:ln>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1649A3ED" id="Straight Arrow Connector 1073741985" o:spid="_x0000_s1026" type="#_x0000_t32" style="position:absolute;margin-left:289.8pt;margin-top:75.8pt;width:33pt;height:45.6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" strokecolor="black [3213]" strokeweight="1pt">
                <v:stroke endarrow="block" joinstyle="miter"/>
              </v:shape>
            </w:pict>
          </mc:Fallback>
        </mc:AlternateContent>
      </w:r>
      <w:r w:rsidR="006761E9" w:rsidRPr="005516CD">
        <w:rPr>
          <w:rFonts w:asciiTheme="majorHAnsi" w:eastAsia="Calibri" w:hAnsiTheme="majorHAnsi" w:cstheme="majorHAnsi"/>
          <w:b/>
          <w:noProof/>
          <w:color w:val="000000" w:themeColor="text1"/>
          <w:sz w:val="20"/>
          <w:szCs w:val="20"/>
          <w:bdr w:val="nil"/>
          <w:lang w:val="en-US" w:eastAsia="en-US"/>
        </w:rPr>
        <mc:AlternateContent>
          <mc:Choice Requires="wps">
            <w:drawing>
              <wp:anchor distT="0" distB="0" distL="114300" distR="114300" simplePos="0" relativeHeight="251812864" behindDoc="0" locked="0" layoutInCell="1" allowOverlap="1" wp14:anchorId="0B5DB577" wp14:editId="25074609">
                <wp:simplePos x="0" y="0"/>
                <wp:positionH relativeFrom="column">
                  <wp:posOffset>2857500</wp:posOffset>
                </wp:positionH>
                <wp:positionV relativeFrom="paragraph">
                  <wp:posOffset>955040</wp:posOffset>
                </wp:positionV>
                <wp:extent cx="762000" cy="585470"/>
                <wp:effectExtent l="38100" t="0" r="19050" b="62230"/>
                <wp:wrapNone/>
                <wp:docPr id="1073741984" name="Straight Arrow Connector 1073741984"/>
                <wp:cNvGraphicFramePr/>
                <a:graphic xmlns:a="http://schemas.openxmlformats.org/drawingml/2006/main">
                  <a:graphicData uri="http://schemas.microsoft.com/office/word/2010/wordprocessingShape">
                    <wps:wsp>
                      <wps:cNvCnPr/>
                      <wps:spPr>
                        <a:xfrm flipH="1">
                          <a:off x="0" y="0"/>
                          <a:ext cx="762000" cy="585470"/>
                        </a:xfrm>
                        <a:prstGeom prst="straightConnector1">
                          <a:avLst/>
                        </a:prstGeom>
                        <a:noFill/>
                        <a:ln w="12700" cap="flat">
                          <a:solidFill>
                            <a:schemeClr val="tx1"/>
                          </a:solidFill>
                          <a:prstDash val="solid"/>
                          <a:miter lim="800000"/>
                          <a:tailEnd type="triangle"/>
                        </a:ln>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77081E61" id="Straight Arrow Connector 1073741984" o:spid="_x0000_s1026" type="#_x0000_t32" style="position:absolute;margin-left:225pt;margin-top:75.2pt;width:60pt;height:46.1pt;flip:x;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" strokecolor="black [3213]" strokeweight="1pt">
                <v:stroke endarrow="block" joinstyle="miter"/>
              </v:shape>
            </w:pict>
          </mc:Fallback>
        </mc:AlternateContent>
      </w:r>
      <w:r w:rsidR="006761E9" w:rsidRPr="005516CD">
        <w:rPr>
          <w:rFonts w:asciiTheme="majorHAnsi" w:eastAsia="Calibri" w:hAnsiTheme="majorHAnsi" w:cstheme="majorHAnsi"/>
          <w:b/>
          <w:noProof/>
          <w:color w:val="000000" w:themeColor="text1"/>
          <w:sz w:val="20"/>
          <w:szCs w:val="20"/>
          <w:bdr w:val="nil"/>
          <w:lang w:val="en-US" w:eastAsia="en-US"/>
        </w:rPr>
        <mc:AlternateContent>
          <mc:Choice Requires="wps">
            <w:drawing>
              <wp:anchor distT="0" distB="0" distL="114300" distR="114300" simplePos="0" relativeHeight="251820032" behindDoc="0" locked="0" layoutInCell="1" allowOverlap="1" wp14:anchorId="23169CC4" wp14:editId="3588C858">
                <wp:simplePos x="0" y="0"/>
                <wp:positionH relativeFrom="column">
                  <wp:posOffset>3924300</wp:posOffset>
                </wp:positionH>
                <wp:positionV relativeFrom="paragraph">
                  <wp:posOffset>1945640</wp:posOffset>
                </wp:positionV>
                <wp:extent cx="585470" cy="426720"/>
                <wp:effectExtent l="38100" t="0" r="24130" b="49530"/>
                <wp:wrapNone/>
                <wp:docPr id="1073741850" name="Straight Arrow Connector 1073741850"/>
                <wp:cNvGraphicFramePr/>
                <a:graphic xmlns:a="http://schemas.openxmlformats.org/drawingml/2006/main">
                  <a:graphicData uri="http://schemas.microsoft.com/office/word/2010/wordprocessingShape">
                    <wps:wsp>
                      <wps:cNvCnPr/>
                      <wps:spPr>
                        <a:xfrm flipH="1">
                          <a:off x="0" y="0"/>
                          <a:ext cx="585470" cy="426720"/>
                        </a:xfrm>
                        <a:prstGeom prst="straightConnector1">
                          <a:avLst/>
                        </a:prstGeom>
                        <a:noFill/>
                        <a:ln w="12700" cap="flat">
                          <a:solidFill>
                            <a:schemeClr val="tx1"/>
                          </a:solidFill>
                          <a:prstDash val="solid"/>
                          <a:miter lim="800000"/>
                          <a:tailEnd type="triangle"/>
                        </a:ln>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6ED1BADE" id="Straight Arrow Connector 1073741850" o:spid="_x0000_s1026" type="#_x0000_t32" style="position:absolute;margin-left:309pt;margin-top:153.2pt;width:46.1pt;height:33.6pt;flip:x;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" strokecolor="black [3213]" strokeweight="1pt">
                <v:stroke endarrow="block" joinstyle="miter"/>
              </v:shape>
            </w:pict>
          </mc:Fallback>
        </mc:AlternateContent>
      </w:r>
      <w:r w:rsidR="006761E9" w:rsidRPr="005516CD">
        <w:rPr>
          <w:rFonts w:asciiTheme="majorHAnsi" w:eastAsia="Calibri" w:hAnsiTheme="majorHAnsi" w:cstheme="majorHAnsi"/>
          <w:b/>
          <w:noProof/>
          <w:color w:val="000000" w:themeColor="text1"/>
          <w:sz w:val="20"/>
          <w:szCs w:val="20"/>
          <w:bdr w:val="nil"/>
          <w:lang w:val="en-US" w:eastAsia="en-US"/>
        </w:rPr>
        <mc:AlternateContent>
          <mc:Choice Requires="wps">
            <w:drawing>
              <wp:anchor distT="0" distB="0" distL="114300" distR="114300" simplePos="0" relativeHeight="251819008" behindDoc="0" locked="0" layoutInCell="1" allowOverlap="1" wp14:anchorId="5B7ABA33" wp14:editId="0E461564">
                <wp:simplePos x="0" y="0"/>
                <wp:positionH relativeFrom="column">
                  <wp:posOffset>3726180</wp:posOffset>
                </wp:positionH>
                <wp:positionV relativeFrom="paragraph">
                  <wp:posOffset>1557020</wp:posOffset>
                </wp:positionV>
                <wp:extent cx="769620" cy="281940"/>
                <wp:effectExtent l="38100" t="38100" r="30480" b="22860"/>
                <wp:wrapNone/>
                <wp:docPr id="1073741849" name="Straight Arrow Connector 1073741849"/>
                <wp:cNvGraphicFramePr/>
                <a:graphic xmlns:a="http://schemas.openxmlformats.org/drawingml/2006/main">
                  <a:graphicData uri="http://schemas.microsoft.com/office/word/2010/wordprocessingShape">
                    <wps:wsp>
                      <wps:cNvCnPr/>
                      <wps:spPr>
                        <a:xfrm flipH="1" flipV="1">
                          <a:off x="0" y="0"/>
                          <a:ext cx="769620" cy="281940"/>
                        </a:xfrm>
                        <a:prstGeom prst="straightConnector1">
                          <a:avLst/>
                        </a:prstGeom>
                        <a:noFill/>
                        <a:ln w="12700" cap="flat">
                          <a:solidFill>
                            <a:schemeClr val="tx1"/>
                          </a:solidFill>
                          <a:prstDash val="solid"/>
                          <a:miter lim="800000"/>
                          <a:tailEnd type="triangle"/>
                        </a:ln>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5E421A04" id="Straight Arrow Connector 1073741849" o:spid="_x0000_s1026" type="#_x0000_t32" style="position:absolute;margin-left:293.4pt;margin-top:122.6pt;width:60.6pt;height:22.2pt;flip:x y;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" strokecolor="black [3213]" strokeweight="1pt">
                <v:stroke endarrow="block" joinstyle="miter"/>
              </v:shape>
            </w:pict>
          </mc:Fallback>
        </mc:AlternateContent>
      </w:r>
      <w:r w:rsidR="006761E9" w:rsidRPr="005516CD">
        <w:rPr>
          <w:rFonts w:asciiTheme="majorHAnsi" w:eastAsia="Calibri" w:hAnsiTheme="majorHAnsi" w:cstheme="majorHAnsi"/>
          <w:b/>
          <w:noProof/>
          <w:color w:val="000000" w:themeColor="text1"/>
          <w:sz w:val="20"/>
          <w:szCs w:val="20"/>
          <w:bdr w:val="nil"/>
          <w:lang w:val="en-US" w:eastAsia="en-US"/>
        </w:rPr>
        <mc:AlternateContent>
          <mc:Choice Requires="wps">
            <w:drawing>
              <wp:anchor distT="0" distB="0" distL="114300" distR="114300" simplePos="0" relativeHeight="251816960" behindDoc="0" locked="0" layoutInCell="1" allowOverlap="1" wp14:anchorId="31AF4F28" wp14:editId="2D7C835B">
                <wp:simplePos x="0" y="0"/>
                <wp:positionH relativeFrom="column">
                  <wp:posOffset>2757170</wp:posOffset>
                </wp:positionH>
                <wp:positionV relativeFrom="paragraph">
                  <wp:posOffset>2242820</wp:posOffset>
                </wp:positionV>
                <wp:extent cx="824230" cy="220980"/>
                <wp:effectExtent l="0" t="57150" r="0" b="26670"/>
                <wp:wrapNone/>
                <wp:docPr id="1073742014" name="Straight Arrow Connector 1073742014"/>
                <wp:cNvGraphicFramePr/>
                <a:graphic xmlns:a="http://schemas.openxmlformats.org/drawingml/2006/main">
                  <a:graphicData uri="http://schemas.microsoft.com/office/word/2010/wordprocessingShape">
                    <wps:wsp>
                      <wps:cNvCnPr/>
                      <wps:spPr>
                        <a:xfrm flipV="1">
                          <a:off x="0" y="0"/>
                          <a:ext cx="824230" cy="220980"/>
                        </a:xfrm>
                        <a:prstGeom prst="straightConnector1">
                          <a:avLst/>
                        </a:prstGeom>
                        <a:noFill/>
                        <a:ln w="12700" cap="flat">
                          <a:solidFill>
                            <a:schemeClr val="tx1"/>
                          </a:solidFill>
                          <a:prstDash val="solid"/>
                          <a:miter lim="800000"/>
                          <a:tailEnd type="triangle"/>
                        </a:ln>
                        <a:effectLst/>
                        <a:sp3d/>
                      </wps:spPr>
                      <wps:style>
                        <a:lnRef idx="0">
                          <a:scrgbClr r="0" g="0" b="0"/>
                        </a:lnRef>
                        <a:fillRef idx="0">
                          <a:scrgbClr r="0" g="0" b="0"/>
                        </a:fillRef>
                        <a:effectRef idx="0">
                          <a:scrgbClr r="0" g="0" b="0"/>
                        </a:effectRef>
                        <a:fontRef idx="none"/>
                      </wps:style>
                      <wps:bodyPr/>
                    </wps:wsp>
                  </a:graphicData>
                </a:graphic>
                <wp14:sizeRelH relativeFrom="margin">
                  <wp14:pctWidth>0</wp14:pctWidth>
                </wp14:sizeRelH>
                <wp14:sizeRelV relativeFrom="margin">
                  <wp14:pctHeight>0</wp14:pctHeight>
                </wp14:sizeRelV>
              </wp:anchor>
            </w:drawing>
          </mc:Choice>
          <mc:Fallback>
            <w:pict>
              <v:shape w14:anchorId="3C0179DC" id="Straight Arrow Connector 1073742014" o:spid="_x0000_s1026" type="#_x0000_t32" style="position:absolute;margin-left:217.1pt;margin-top:176.6pt;width:64.9pt;height:17.4pt;flip:y;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" strokecolor="black [3213]" strokeweight="1pt">
                <v:stroke endarrow="block" joinstyle="miter"/>
              </v:shape>
            </w:pict>
          </mc:Fallback>
        </mc:AlternateContent>
      </w:r>
      <w:r w:rsidR="006761E9" w:rsidRPr="005516CD">
        <w:rPr>
          <w:rFonts w:asciiTheme="majorHAnsi" w:eastAsia="Calibri" w:hAnsiTheme="majorHAnsi" w:cstheme="majorHAnsi"/>
          <w:b/>
          <w:noProof/>
          <w:color w:val="000000" w:themeColor="text1"/>
          <w:sz w:val="20"/>
          <w:szCs w:val="20"/>
          <w:lang w:val="en-US" w:eastAsia="en-US"/>
        </w:rPr>
        <mc:AlternateContent>
          <mc:Choice Requires="wps">
            <w:drawing>
              <wp:anchor distT="45720" distB="45720" distL="114300" distR="114300" simplePos="0" relativeHeight="251811840" behindDoc="0" locked="0" layoutInCell="1" allowOverlap="1" wp14:anchorId="1CC7FB06" wp14:editId="3EF5DB2A">
                <wp:simplePos x="0" y="0"/>
                <wp:positionH relativeFrom="column">
                  <wp:posOffset>2918460</wp:posOffset>
                </wp:positionH>
                <wp:positionV relativeFrom="paragraph">
                  <wp:posOffset>261620</wp:posOffset>
                </wp:positionV>
                <wp:extent cx="1591310" cy="720725"/>
                <wp:effectExtent l="0" t="0" r="0" b="635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1310" cy="720725"/>
                        </a:xfrm>
                        <a:prstGeom prst="rect">
                          <a:avLst/>
                        </a:prstGeom>
                        <a:noFill/>
                        <a:ln w="9525">
                          <a:noFill/>
                          <a:miter lim="800000"/>
                          <a:headEnd/>
                          <a:tailEnd/>
                        </a:ln>
                      </wps:spPr>
                      <wps:txbx>
                        <w:txbxContent>
                          <w:p w14:paraId="7319B971" w14:textId="77777777" w:rsidR="00013DC5" w:rsidRPr="00722CCA" w:rsidRDefault="00013DC5" w:rsidP="006761E9">
                            <w:pPr>
                              <w:jc w:val="center"/>
                              <w:rPr>
                                <w:rFonts w:asciiTheme="majorHAnsi" w:hAnsiTheme="majorHAnsi" w:cstheme="majorHAnsi"/>
                                <w:sz w:val="20"/>
                              </w:rPr>
                            </w:pPr>
                            <w:r w:rsidRPr="00722CCA">
                              <w:rPr>
                                <w:rFonts w:asciiTheme="majorHAnsi" w:hAnsiTheme="majorHAnsi" w:cstheme="majorHAnsi"/>
                                <w:sz w:val="20"/>
                              </w:rPr>
                              <w:t>Technical Innovation for Agriculture and Agroforestry Programme</w:t>
                            </w:r>
                            <w:r>
                              <w:rPr>
                                <w:rFonts w:asciiTheme="majorHAnsi" w:hAnsiTheme="majorHAnsi" w:cstheme="majorHAnsi"/>
                                <w:sz w:val="20"/>
                              </w:rPr>
                              <w:t xml:space="preserve"> (shaded)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CC7FB06" id="_x0000_s1032" type="#_x0000_t202" style="position:absolute;left:0;text-align:left;margin-left:229.8pt;margin-top:20.6pt;width:125.3pt;height:56.75pt;z-index:25181184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" filled="f" stroked="f">
                <v:textbox style="mso-fit-shape-to-text:t">
                  <w:txbxContent>
                    <w:p w14:paraId="7319B971" w14:textId="77777777" w:rsidR="00013DC5" w:rsidRPr="00722CCA" w:rsidRDefault="00013DC5" w:rsidP="006761E9">
                      <w:pPr>
                        <w:jc w:val="center"/>
                        <w:rPr>
                          <w:rFonts w:asciiTheme="majorHAnsi" w:hAnsiTheme="majorHAnsi" w:cstheme="majorHAnsi"/>
                          <w:sz w:val="20"/>
                        </w:rPr>
                      </w:pPr>
                      <w:r w:rsidRPr="00722CCA">
                        <w:rPr>
                          <w:rFonts w:asciiTheme="majorHAnsi" w:hAnsiTheme="majorHAnsi" w:cstheme="majorHAnsi"/>
                          <w:sz w:val="20"/>
                        </w:rPr>
                        <w:t>Technical Innovation for Agriculture and Agroforestry Programme</w:t>
                      </w:r>
                      <w:r>
                        <w:rPr>
                          <w:rFonts w:asciiTheme="majorHAnsi" w:hAnsiTheme="majorHAnsi" w:cstheme="majorHAnsi"/>
                          <w:sz w:val="20"/>
                        </w:rPr>
                        <w:t xml:space="preserve"> (shaded)</w:t>
                      </w:r>
                    </w:p>
                  </w:txbxContent>
                </v:textbox>
              </v:shape>
            </w:pict>
          </mc:Fallback>
        </mc:AlternateContent>
      </w:r>
      <w:r w:rsidR="006761E9" w:rsidRPr="005516CD">
        <w:rPr>
          <w:noProof/>
          <w:lang w:val="en-US" w:eastAsia="en-US"/>
        </w:rPr>
        <w:drawing>
          <wp:inline distT="0" distB="0" distL="0" distR="0" wp14:anchorId="78E5A6C2" wp14:editId="1D3B4BC7">
            <wp:extent cx="4974094" cy="3383280"/>
            <wp:effectExtent l="19050" t="19050" r="17145" b="266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45168" t="11523" r="15962" b="52965"/>
                    <a:stretch/>
                  </pic:blipFill>
                  <pic:spPr bwMode="auto">
                    <a:xfrm>
                      <a:off x="0" y="0"/>
                      <a:ext cx="5075979" cy="3452580"/>
                    </a:xfrm>
                    <a:prstGeom prst="rect">
                      <a:avLst/>
                    </a:prstGeom>
                    <a:noFill/>
                    <a:ln w="9525" cap="flat" cmpd="sng" algn="ctr">
                      <a:solidFill>
                        <a:sysClr val="windowText" lastClr="000000"/>
                      </a:solidFill>
                      <a:prstDash val="solid"/>
                      <a:round/>
                      <a:headEnd type="none" w="med" len="med"/>
                      <a:tailEnd type="none" w="med" len="med"/>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inline>
        </w:drawing>
      </w:r>
    </w:p>
    <w:p w14:paraId="788C5A9D" w14:textId="36A3EE66" w:rsidR="0075519F" w:rsidRPr="005516CD" w:rsidRDefault="0075519F"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bCs/>
          <w:sz w:val="20"/>
          <w:szCs w:val="20"/>
        </w:rPr>
      </w:pPr>
      <w:r w:rsidRPr="005516CD">
        <w:rPr>
          <w:rFonts w:asciiTheme="majorHAnsi" w:hAnsiTheme="majorHAnsi" w:cstheme="majorHAnsi"/>
          <w:bCs/>
          <w:sz w:val="20"/>
          <w:szCs w:val="20"/>
        </w:rPr>
        <w:t xml:space="preserve">PITAG will constitute the main source of </w:t>
      </w:r>
      <w:proofErr w:type="spellStart"/>
      <w:r w:rsidRPr="005516CD">
        <w:rPr>
          <w:rFonts w:asciiTheme="majorHAnsi" w:hAnsiTheme="majorHAnsi" w:cstheme="majorHAnsi"/>
          <w:bCs/>
          <w:sz w:val="20"/>
          <w:szCs w:val="20"/>
        </w:rPr>
        <w:t>cofinancing</w:t>
      </w:r>
      <w:proofErr w:type="spellEnd"/>
      <w:r w:rsidRPr="005516CD">
        <w:rPr>
          <w:rFonts w:asciiTheme="majorHAnsi" w:hAnsiTheme="majorHAnsi" w:cstheme="majorHAnsi"/>
          <w:bCs/>
          <w:sz w:val="20"/>
          <w:szCs w:val="20"/>
        </w:rPr>
        <w:t xml:space="preserve"> for the project (see Additional Annex </w:t>
      </w:r>
      <w:r w:rsidR="00375F19">
        <w:rPr>
          <w:rFonts w:asciiTheme="majorHAnsi" w:hAnsiTheme="majorHAnsi" w:cstheme="majorHAnsi"/>
          <w:bCs/>
          <w:sz w:val="20"/>
          <w:szCs w:val="20"/>
        </w:rPr>
        <w:t>C</w:t>
      </w:r>
      <w:r w:rsidRPr="005516CD">
        <w:rPr>
          <w:rFonts w:asciiTheme="majorHAnsi" w:hAnsiTheme="majorHAnsi" w:cstheme="majorHAnsi"/>
          <w:bCs/>
          <w:sz w:val="20"/>
          <w:szCs w:val="20"/>
        </w:rPr>
        <w:t>).</w:t>
      </w:r>
    </w:p>
    <w:p w14:paraId="3B7D2A67" w14:textId="77777777"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bCs/>
          <w:sz w:val="20"/>
          <w:szCs w:val="20"/>
        </w:rPr>
      </w:pPr>
      <w:r w:rsidRPr="005516CD">
        <w:rPr>
          <w:rFonts w:asciiTheme="majorHAnsi" w:hAnsiTheme="majorHAnsi" w:cstheme="majorHAnsi"/>
          <w:sz w:val="20"/>
          <w:szCs w:val="20"/>
        </w:rPr>
        <w:t xml:space="preserve">Norwegian </w:t>
      </w:r>
      <w:r w:rsidRPr="005516CD">
        <w:rPr>
          <w:rFonts w:asciiTheme="majorHAnsi" w:hAnsiTheme="majorHAnsi" w:cstheme="majorHAnsi"/>
          <w:sz w:val="20"/>
          <w:szCs w:val="22"/>
        </w:rPr>
        <w:t>cooperation</w:t>
      </w:r>
      <w:r w:rsidRPr="005516CD">
        <w:rPr>
          <w:rFonts w:asciiTheme="majorHAnsi" w:hAnsiTheme="majorHAnsi" w:cstheme="majorHAnsi"/>
          <w:sz w:val="20"/>
          <w:szCs w:val="20"/>
        </w:rPr>
        <w:t>, in support to UNDP, UN</w:t>
      </w:r>
      <w:r w:rsidR="00516E7F" w:rsidRPr="005516CD">
        <w:rPr>
          <w:rFonts w:asciiTheme="majorHAnsi" w:hAnsiTheme="majorHAnsi" w:cstheme="majorHAnsi"/>
          <w:sz w:val="20"/>
          <w:szCs w:val="20"/>
        </w:rPr>
        <w:t xml:space="preserve"> Environment </w:t>
      </w:r>
      <w:r w:rsidRPr="005516CD">
        <w:rPr>
          <w:rFonts w:asciiTheme="majorHAnsi" w:hAnsiTheme="majorHAnsi" w:cstheme="majorHAnsi"/>
          <w:sz w:val="20"/>
          <w:szCs w:val="20"/>
        </w:rPr>
        <w:t xml:space="preserve">and </w:t>
      </w:r>
      <w:r w:rsidR="00F723A8" w:rsidRPr="005516CD">
        <w:rPr>
          <w:rFonts w:asciiTheme="majorHAnsi" w:hAnsiTheme="majorHAnsi" w:cstheme="majorHAnsi"/>
          <w:sz w:val="20"/>
          <w:szCs w:val="20"/>
        </w:rPr>
        <w:t xml:space="preserve">the </w:t>
      </w:r>
      <w:r w:rsidRPr="005516CD">
        <w:rPr>
          <w:rFonts w:asciiTheme="majorHAnsi" w:hAnsiTheme="majorHAnsi" w:cstheme="majorHAnsi"/>
          <w:sz w:val="20"/>
          <w:szCs w:val="20"/>
        </w:rPr>
        <w:t>W</w:t>
      </w:r>
      <w:r w:rsidR="00F723A8" w:rsidRPr="005516CD">
        <w:rPr>
          <w:rFonts w:asciiTheme="majorHAnsi" w:hAnsiTheme="majorHAnsi" w:cstheme="majorHAnsi"/>
          <w:sz w:val="20"/>
          <w:szCs w:val="20"/>
        </w:rPr>
        <w:t>orld Food Programme (W</w:t>
      </w:r>
      <w:r w:rsidRPr="005516CD">
        <w:rPr>
          <w:rFonts w:asciiTheme="majorHAnsi" w:hAnsiTheme="majorHAnsi" w:cstheme="majorHAnsi"/>
          <w:sz w:val="20"/>
          <w:szCs w:val="20"/>
        </w:rPr>
        <w:t>FP</w:t>
      </w:r>
      <w:r w:rsidR="00F723A8" w:rsidRPr="005516CD">
        <w:rPr>
          <w:rFonts w:asciiTheme="majorHAnsi" w:hAnsiTheme="majorHAnsi" w:cstheme="majorHAnsi"/>
          <w:sz w:val="20"/>
          <w:szCs w:val="20"/>
        </w:rPr>
        <w:t>)</w:t>
      </w:r>
      <w:r w:rsidRPr="005516CD">
        <w:rPr>
          <w:rFonts w:asciiTheme="majorHAnsi" w:hAnsiTheme="majorHAnsi" w:cstheme="majorHAnsi"/>
          <w:sz w:val="20"/>
          <w:szCs w:val="20"/>
        </w:rPr>
        <w:t>, funds the “</w:t>
      </w:r>
      <w:proofErr w:type="spellStart"/>
      <w:r w:rsidRPr="005516CD">
        <w:rPr>
          <w:rFonts w:asciiTheme="majorHAnsi" w:hAnsiTheme="majorHAnsi" w:cstheme="majorHAnsi"/>
          <w:b/>
          <w:sz w:val="20"/>
          <w:szCs w:val="20"/>
        </w:rPr>
        <w:t>Frontière</w:t>
      </w:r>
      <w:proofErr w:type="spellEnd"/>
      <w:r w:rsidRPr="005516CD">
        <w:rPr>
          <w:rFonts w:asciiTheme="majorHAnsi" w:hAnsiTheme="majorHAnsi" w:cstheme="majorHAnsi"/>
          <w:b/>
          <w:sz w:val="20"/>
          <w:szCs w:val="20"/>
        </w:rPr>
        <w:t xml:space="preserve"> </w:t>
      </w:r>
      <w:proofErr w:type="spellStart"/>
      <w:r w:rsidRPr="005516CD">
        <w:rPr>
          <w:rFonts w:asciiTheme="majorHAnsi" w:hAnsiTheme="majorHAnsi" w:cstheme="majorHAnsi"/>
          <w:b/>
          <w:sz w:val="20"/>
          <w:szCs w:val="20"/>
        </w:rPr>
        <w:t>Verte</w:t>
      </w:r>
      <w:proofErr w:type="spellEnd"/>
      <w:r w:rsidRPr="005516CD">
        <w:rPr>
          <w:rFonts w:asciiTheme="majorHAnsi" w:hAnsiTheme="majorHAnsi" w:cstheme="majorHAnsi"/>
          <w:b/>
          <w:sz w:val="20"/>
          <w:szCs w:val="20"/>
        </w:rPr>
        <w:t xml:space="preserve"> Programme Framework</w:t>
      </w:r>
      <w:r w:rsidRPr="005516CD">
        <w:rPr>
          <w:rFonts w:asciiTheme="majorHAnsi" w:hAnsiTheme="majorHAnsi" w:cstheme="majorHAnsi"/>
          <w:sz w:val="20"/>
          <w:szCs w:val="20"/>
        </w:rPr>
        <w:t>”, including the “</w:t>
      </w:r>
      <w:r w:rsidRPr="005516CD">
        <w:rPr>
          <w:rFonts w:asciiTheme="majorHAnsi" w:hAnsiTheme="majorHAnsi" w:cstheme="majorHAnsi"/>
          <w:b/>
          <w:sz w:val="20"/>
          <w:szCs w:val="20"/>
        </w:rPr>
        <w:t xml:space="preserve">Revegetation and Transboundary Natural Resources Management –Phase I and II Massacre and </w:t>
      </w:r>
      <w:proofErr w:type="spellStart"/>
      <w:r w:rsidRPr="005516CD">
        <w:rPr>
          <w:rFonts w:asciiTheme="majorHAnsi" w:hAnsiTheme="majorHAnsi" w:cstheme="majorHAnsi"/>
          <w:b/>
          <w:sz w:val="20"/>
          <w:szCs w:val="20"/>
        </w:rPr>
        <w:t>Pédernales</w:t>
      </w:r>
      <w:proofErr w:type="spellEnd"/>
      <w:r w:rsidRPr="005516CD">
        <w:rPr>
          <w:rFonts w:asciiTheme="majorHAnsi" w:hAnsiTheme="majorHAnsi" w:cstheme="majorHAnsi"/>
          <w:b/>
          <w:sz w:val="20"/>
          <w:szCs w:val="20"/>
        </w:rPr>
        <w:t xml:space="preserve"> Rivers Watersheds Project</w:t>
      </w:r>
      <w:r w:rsidRPr="005516CD">
        <w:rPr>
          <w:rFonts w:asciiTheme="majorHAnsi" w:hAnsiTheme="majorHAnsi" w:cstheme="majorHAnsi"/>
          <w:sz w:val="20"/>
          <w:szCs w:val="20"/>
        </w:rPr>
        <w:t xml:space="preserve">”, which includes the North-East and South-East of the country. </w:t>
      </w:r>
      <w:r w:rsidRPr="005516CD">
        <w:rPr>
          <w:rFonts w:asciiTheme="majorHAnsi" w:hAnsiTheme="majorHAnsi" w:cstheme="majorHAnsi"/>
          <w:bCs/>
          <w:sz w:val="20"/>
          <w:szCs w:val="20"/>
        </w:rPr>
        <w:t xml:space="preserve">Impacts expected include reduction of soil erosion and sedimentation of water bodies and dams; improved quality of life of communities and poverty reduction; recovery of forest natural regeneration capacity; reversal of desertification and drought processes; and reduction of vulnerability to extreme </w:t>
      </w:r>
      <w:r w:rsidRPr="005516CD">
        <w:rPr>
          <w:rFonts w:asciiTheme="majorHAnsi" w:hAnsiTheme="majorHAnsi" w:cstheme="majorHAnsi"/>
          <w:sz w:val="20"/>
          <w:szCs w:val="20"/>
        </w:rPr>
        <w:t>flooding</w:t>
      </w:r>
      <w:r w:rsidRPr="005516CD">
        <w:rPr>
          <w:rFonts w:asciiTheme="majorHAnsi" w:hAnsiTheme="majorHAnsi" w:cstheme="majorHAnsi"/>
          <w:bCs/>
          <w:sz w:val="20"/>
          <w:szCs w:val="20"/>
        </w:rPr>
        <w:t xml:space="preserve">. </w:t>
      </w:r>
    </w:p>
    <w:p w14:paraId="4BD08483" w14:textId="77777777"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color w:val="000000"/>
          <w:sz w:val="20"/>
          <w:szCs w:val="20"/>
        </w:rPr>
        <w:t xml:space="preserve">The European </w:t>
      </w:r>
      <w:r w:rsidRPr="005516CD">
        <w:rPr>
          <w:rFonts w:asciiTheme="majorHAnsi" w:hAnsiTheme="majorHAnsi" w:cstheme="majorHAnsi"/>
          <w:sz w:val="20"/>
          <w:szCs w:val="22"/>
        </w:rPr>
        <w:t>Union</w:t>
      </w:r>
      <w:r w:rsidRPr="005516CD">
        <w:rPr>
          <w:rFonts w:asciiTheme="majorHAnsi" w:hAnsiTheme="majorHAnsi" w:cstheme="majorHAnsi"/>
          <w:sz w:val="20"/>
          <w:szCs w:val="20"/>
        </w:rPr>
        <w:t xml:space="preserve"> is funding the </w:t>
      </w:r>
      <w:r w:rsidRPr="005516CD">
        <w:rPr>
          <w:rFonts w:asciiTheme="majorHAnsi" w:hAnsiTheme="majorHAnsi" w:cstheme="majorHAnsi"/>
          <w:b/>
          <w:sz w:val="20"/>
          <w:szCs w:val="20"/>
        </w:rPr>
        <w:t>Establishment of the Caribbean Biological Corridor (CBC) as a framework for biodiversity conservation, environmental rehabilitation and development of livelihoods options for Haiti, the Dominican Republic and Cuba</w:t>
      </w:r>
      <w:r w:rsidRPr="005516CD">
        <w:rPr>
          <w:rFonts w:asciiTheme="majorHAnsi" w:hAnsiTheme="majorHAnsi" w:cstheme="majorHAnsi"/>
          <w:sz w:val="20"/>
          <w:szCs w:val="20"/>
        </w:rPr>
        <w:t xml:space="preserve">, which aims to establish the CBC in the three countries, through environmental rehabilitation and poverty alleviation, with </w:t>
      </w:r>
      <w:r w:rsidRPr="005516CD">
        <w:rPr>
          <w:rFonts w:asciiTheme="majorHAnsi" w:hAnsiTheme="majorHAnsi" w:cstheme="majorHAnsi"/>
          <w:bCs/>
          <w:sz w:val="20"/>
          <w:szCs w:val="20"/>
        </w:rPr>
        <w:t>t</w:t>
      </w:r>
      <w:r w:rsidRPr="005516CD">
        <w:rPr>
          <w:rFonts w:asciiTheme="majorHAnsi" w:hAnsiTheme="majorHAnsi" w:cstheme="majorHAnsi"/>
          <w:sz w:val="20"/>
          <w:szCs w:val="20"/>
        </w:rPr>
        <w:t>he overarching goal of developing a cooperation platform to boost integration of conservation actions among states. The E</w:t>
      </w:r>
      <w:r w:rsidR="00F723A8" w:rsidRPr="005516CD">
        <w:rPr>
          <w:rFonts w:asciiTheme="majorHAnsi" w:hAnsiTheme="majorHAnsi" w:cstheme="majorHAnsi"/>
          <w:sz w:val="20"/>
          <w:szCs w:val="20"/>
        </w:rPr>
        <w:t xml:space="preserve">uropean </w:t>
      </w:r>
      <w:r w:rsidRPr="005516CD">
        <w:rPr>
          <w:rFonts w:asciiTheme="majorHAnsi" w:hAnsiTheme="majorHAnsi" w:cstheme="majorHAnsi"/>
          <w:sz w:val="20"/>
          <w:szCs w:val="20"/>
        </w:rPr>
        <w:t>U</w:t>
      </w:r>
      <w:r w:rsidR="00F723A8" w:rsidRPr="005516CD">
        <w:rPr>
          <w:rFonts w:asciiTheme="majorHAnsi" w:hAnsiTheme="majorHAnsi" w:cstheme="majorHAnsi"/>
          <w:sz w:val="20"/>
          <w:szCs w:val="20"/>
        </w:rPr>
        <w:t>nion</w:t>
      </w:r>
      <w:r w:rsidRPr="005516CD">
        <w:rPr>
          <w:rFonts w:asciiTheme="majorHAnsi" w:hAnsiTheme="majorHAnsi" w:cstheme="majorHAnsi"/>
          <w:sz w:val="20"/>
          <w:szCs w:val="20"/>
        </w:rPr>
        <w:t xml:space="preserve"> is also proposing to finance the </w:t>
      </w:r>
      <w:r w:rsidRPr="005516CD">
        <w:rPr>
          <w:rFonts w:asciiTheme="majorHAnsi" w:hAnsiTheme="majorHAnsi" w:cstheme="majorHAnsi"/>
          <w:b/>
          <w:sz w:val="20"/>
          <w:szCs w:val="20"/>
        </w:rPr>
        <w:t>Binational Observatory on Haitian-Dominican Relations”</w:t>
      </w:r>
      <w:r w:rsidRPr="005516CD">
        <w:rPr>
          <w:rFonts w:asciiTheme="majorHAnsi" w:hAnsiTheme="majorHAnsi" w:cstheme="majorHAnsi"/>
          <w:sz w:val="20"/>
          <w:szCs w:val="20"/>
        </w:rPr>
        <w:t xml:space="preserve">, one of the target themes of which will be environment. </w:t>
      </w:r>
    </w:p>
    <w:p w14:paraId="1978804A" w14:textId="77777777"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In the south-east of the </w:t>
      </w:r>
      <w:r w:rsidRPr="005516CD">
        <w:rPr>
          <w:rFonts w:asciiTheme="majorHAnsi" w:hAnsiTheme="majorHAnsi" w:cstheme="majorHAnsi"/>
          <w:sz w:val="20"/>
          <w:szCs w:val="22"/>
        </w:rPr>
        <w:t>country</w:t>
      </w:r>
      <w:r w:rsidRPr="005516CD">
        <w:rPr>
          <w:rFonts w:asciiTheme="majorHAnsi" w:hAnsiTheme="majorHAnsi" w:cstheme="majorHAnsi"/>
          <w:sz w:val="20"/>
          <w:szCs w:val="20"/>
        </w:rPr>
        <w:t xml:space="preserve">, the </w:t>
      </w:r>
      <w:r w:rsidRPr="005516CD">
        <w:rPr>
          <w:rFonts w:asciiTheme="majorHAnsi" w:hAnsiTheme="majorHAnsi" w:cstheme="majorHAnsi"/>
          <w:b/>
          <w:sz w:val="20"/>
          <w:szCs w:val="20"/>
        </w:rPr>
        <w:t xml:space="preserve">Directorate of Development Cooperation (DDC) of the Swiss Federal Ministry of Foreign Affairs </w:t>
      </w:r>
      <w:r w:rsidRPr="005516CD">
        <w:rPr>
          <w:rFonts w:asciiTheme="majorHAnsi" w:hAnsiTheme="majorHAnsi" w:cstheme="majorHAnsi"/>
          <w:sz w:val="20"/>
          <w:szCs w:val="20"/>
        </w:rPr>
        <w:t xml:space="preserve">supports the NGO </w:t>
      </w:r>
      <w:proofErr w:type="spellStart"/>
      <w:r w:rsidRPr="005516CD">
        <w:rPr>
          <w:rFonts w:asciiTheme="majorHAnsi" w:hAnsiTheme="majorHAnsi" w:cstheme="majorHAnsi"/>
          <w:sz w:val="20"/>
          <w:szCs w:val="20"/>
        </w:rPr>
        <w:t>Helvetas</w:t>
      </w:r>
      <w:proofErr w:type="spellEnd"/>
      <w:r w:rsidRPr="005516CD">
        <w:rPr>
          <w:rFonts w:asciiTheme="majorHAnsi" w:hAnsiTheme="majorHAnsi" w:cstheme="majorHAnsi"/>
          <w:sz w:val="20"/>
          <w:szCs w:val="20"/>
        </w:rPr>
        <w:t xml:space="preserve"> in Unit II of </w:t>
      </w:r>
      <w:proofErr w:type="spellStart"/>
      <w:r w:rsidRPr="005516CD">
        <w:rPr>
          <w:rFonts w:asciiTheme="majorHAnsi" w:hAnsiTheme="majorHAnsi" w:cstheme="majorHAnsi"/>
          <w:sz w:val="20"/>
          <w:szCs w:val="20"/>
        </w:rPr>
        <w:t>Forêt</w:t>
      </w:r>
      <w:proofErr w:type="spellEnd"/>
      <w:r w:rsidRPr="005516CD">
        <w:rPr>
          <w:rFonts w:asciiTheme="majorHAnsi" w:hAnsiTheme="majorHAnsi" w:cstheme="majorHAnsi"/>
          <w:sz w:val="20"/>
          <w:szCs w:val="20"/>
        </w:rPr>
        <w:t xml:space="preserve"> des Pins, where the </w:t>
      </w:r>
      <w:proofErr w:type="gramStart"/>
      <w:r w:rsidRPr="005516CD">
        <w:rPr>
          <w:rFonts w:asciiTheme="majorHAnsi" w:hAnsiTheme="majorHAnsi" w:cstheme="majorHAnsi"/>
          <w:sz w:val="20"/>
          <w:szCs w:val="20"/>
        </w:rPr>
        <w:t>High Altitude</w:t>
      </w:r>
      <w:proofErr w:type="gramEnd"/>
      <w:r w:rsidRPr="005516CD">
        <w:rPr>
          <w:rFonts w:asciiTheme="majorHAnsi" w:hAnsiTheme="majorHAnsi" w:cstheme="majorHAnsi"/>
          <w:sz w:val="20"/>
          <w:szCs w:val="20"/>
        </w:rPr>
        <w:t xml:space="preserve"> Biodiversity Valuation Programme is being implemented. Swiss cooperation has contributed to PAs through support to the development and implementation of managerial and control mechanisms and tools, for example by assisting ANAP to design and experiment a platform for co-management of </w:t>
      </w:r>
      <w:proofErr w:type="spellStart"/>
      <w:r w:rsidRPr="005516CD">
        <w:rPr>
          <w:rFonts w:asciiTheme="majorHAnsi" w:hAnsiTheme="majorHAnsi" w:cstheme="majorHAnsi"/>
          <w:sz w:val="20"/>
          <w:szCs w:val="20"/>
        </w:rPr>
        <w:t>Forêt</w:t>
      </w:r>
      <w:proofErr w:type="spellEnd"/>
      <w:r w:rsidRPr="005516CD">
        <w:rPr>
          <w:rFonts w:asciiTheme="majorHAnsi" w:hAnsiTheme="majorHAnsi" w:cstheme="majorHAnsi"/>
          <w:sz w:val="20"/>
          <w:szCs w:val="20"/>
        </w:rPr>
        <w:t xml:space="preserve"> des Pins N</w:t>
      </w:r>
      <w:r w:rsidR="00F723A8" w:rsidRPr="005516CD">
        <w:rPr>
          <w:rFonts w:asciiTheme="majorHAnsi" w:hAnsiTheme="majorHAnsi" w:cstheme="majorHAnsi"/>
          <w:sz w:val="20"/>
          <w:szCs w:val="20"/>
        </w:rPr>
        <w:t>ational Park</w:t>
      </w:r>
      <w:r w:rsidRPr="005516CD">
        <w:rPr>
          <w:rFonts w:asciiTheme="majorHAnsi" w:hAnsiTheme="majorHAnsi" w:cstheme="majorHAnsi"/>
          <w:sz w:val="20"/>
          <w:szCs w:val="20"/>
        </w:rPr>
        <w:t xml:space="preserve"> with a local stakeholder platform. </w:t>
      </w:r>
    </w:p>
    <w:p w14:paraId="3EDE6389" w14:textId="77777777"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proofErr w:type="spellStart"/>
      <w:r w:rsidRPr="005516CD">
        <w:rPr>
          <w:rFonts w:asciiTheme="majorHAnsi" w:hAnsiTheme="majorHAnsi" w:cstheme="majorHAnsi"/>
          <w:b/>
          <w:color w:val="000000"/>
          <w:sz w:val="20"/>
          <w:szCs w:val="20"/>
        </w:rPr>
        <w:t>Fondation</w:t>
      </w:r>
      <w:proofErr w:type="spellEnd"/>
      <w:r w:rsidRPr="005516CD">
        <w:rPr>
          <w:rFonts w:asciiTheme="majorHAnsi" w:hAnsiTheme="majorHAnsi" w:cstheme="majorHAnsi"/>
          <w:b/>
          <w:color w:val="000000"/>
          <w:sz w:val="20"/>
          <w:szCs w:val="20"/>
        </w:rPr>
        <w:t xml:space="preserve"> Seguin</w:t>
      </w:r>
      <w:r w:rsidRPr="005516CD">
        <w:rPr>
          <w:rFonts w:asciiTheme="majorHAnsi" w:hAnsiTheme="majorHAnsi" w:cstheme="majorHAnsi"/>
          <w:color w:val="000000"/>
          <w:sz w:val="20"/>
          <w:szCs w:val="20"/>
        </w:rPr>
        <w:t xml:space="preserve"> is working with support from </w:t>
      </w:r>
      <w:r w:rsidR="00F723A8" w:rsidRPr="005516CD">
        <w:rPr>
          <w:rFonts w:asciiTheme="majorHAnsi" w:hAnsiTheme="majorHAnsi" w:cstheme="majorHAnsi"/>
          <w:color w:val="000000"/>
          <w:sz w:val="20"/>
          <w:szCs w:val="20"/>
        </w:rPr>
        <w:t xml:space="preserve">the German International Development Agency </w:t>
      </w:r>
      <w:r w:rsidRPr="005516CD">
        <w:rPr>
          <w:rFonts w:asciiTheme="majorHAnsi" w:hAnsiTheme="majorHAnsi" w:cstheme="majorHAnsi"/>
          <w:color w:val="000000"/>
          <w:sz w:val="20"/>
          <w:szCs w:val="20"/>
        </w:rPr>
        <w:t xml:space="preserve">GIZ in the protection of La </w:t>
      </w:r>
      <w:proofErr w:type="spellStart"/>
      <w:r w:rsidRPr="005516CD">
        <w:rPr>
          <w:rFonts w:asciiTheme="majorHAnsi" w:hAnsiTheme="majorHAnsi" w:cstheme="majorHAnsi"/>
          <w:color w:val="000000"/>
          <w:sz w:val="20"/>
          <w:szCs w:val="20"/>
        </w:rPr>
        <w:t>Visite</w:t>
      </w:r>
      <w:proofErr w:type="spellEnd"/>
      <w:r w:rsidRPr="005516CD">
        <w:rPr>
          <w:rFonts w:asciiTheme="majorHAnsi" w:hAnsiTheme="majorHAnsi" w:cstheme="majorHAnsi"/>
          <w:color w:val="000000"/>
          <w:sz w:val="20"/>
          <w:szCs w:val="20"/>
        </w:rPr>
        <w:t xml:space="preserve"> N</w:t>
      </w:r>
      <w:r w:rsidR="00F723A8" w:rsidRPr="005516CD">
        <w:rPr>
          <w:rFonts w:asciiTheme="majorHAnsi" w:hAnsiTheme="majorHAnsi" w:cstheme="majorHAnsi"/>
          <w:color w:val="000000"/>
          <w:sz w:val="20"/>
          <w:szCs w:val="20"/>
        </w:rPr>
        <w:t xml:space="preserve">ational </w:t>
      </w:r>
      <w:r w:rsidRPr="005516CD">
        <w:rPr>
          <w:rFonts w:asciiTheme="majorHAnsi" w:hAnsiTheme="majorHAnsi" w:cstheme="majorHAnsi"/>
          <w:color w:val="000000"/>
          <w:sz w:val="20"/>
          <w:szCs w:val="20"/>
        </w:rPr>
        <w:t>P</w:t>
      </w:r>
      <w:r w:rsidR="00F723A8" w:rsidRPr="005516CD">
        <w:rPr>
          <w:rFonts w:asciiTheme="majorHAnsi" w:hAnsiTheme="majorHAnsi" w:cstheme="majorHAnsi"/>
          <w:color w:val="000000"/>
          <w:sz w:val="20"/>
          <w:szCs w:val="20"/>
        </w:rPr>
        <w:t>ark</w:t>
      </w:r>
      <w:r w:rsidRPr="005516CD">
        <w:rPr>
          <w:rFonts w:asciiTheme="majorHAnsi" w:hAnsiTheme="majorHAnsi" w:cstheme="majorHAnsi"/>
          <w:color w:val="000000"/>
          <w:sz w:val="20"/>
          <w:szCs w:val="20"/>
        </w:rPr>
        <w:t xml:space="preserve">, in the project’s south-east target locality, including the provision of planting materials to farmers located in the </w:t>
      </w:r>
      <w:r w:rsidRPr="005516CD">
        <w:rPr>
          <w:rFonts w:asciiTheme="majorHAnsi" w:hAnsiTheme="majorHAnsi" w:cstheme="majorHAnsi"/>
          <w:i/>
          <w:color w:val="000000"/>
          <w:sz w:val="20"/>
          <w:szCs w:val="20"/>
        </w:rPr>
        <w:t xml:space="preserve">altiplano </w:t>
      </w:r>
      <w:r w:rsidRPr="005516CD">
        <w:rPr>
          <w:rFonts w:asciiTheme="majorHAnsi" w:hAnsiTheme="majorHAnsi" w:cstheme="majorHAnsi"/>
          <w:color w:val="000000"/>
          <w:sz w:val="20"/>
          <w:szCs w:val="20"/>
        </w:rPr>
        <w:t xml:space="preserve">vegetable growing area, and financial </w:t>
      </w:r>
      <w:r w:rsidRPr="005516CD">
        <w:rPr>
          <w:rFonts w:asciiTheme="majorHAnsi" w:hAnsiTheme="majorHAnsi" w:cstheme="majorHAnsi"/>
          <w:sz w:val="20"/>
          <w:szCs w:val="20"/>
        </w:rPr>
        <w:t>incentives</w:t>
      </w:r>
      <w:r w:rsidRPr="005516CD">
        <w:rPr>
          <w:rFonts w:asciiTheme="majorHAnsi" w:hAnsiTheme="majorHAnsi" w:cstheme="majorHAnsi"/>
          <w:color w:val="000000"/>
          <w:sz w:val="20"/>
          <w:szCs w:val="20"/>
        </w:rPr>
        <w:t xml:space="preserve"> to rehabilitate forest remnants. </w:t>
      </w:r>
    </w:p>
    <w:p w14:paraId="749D51A3" w14:textId="77777777"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color w:val="000000"/>
          <w:sz w:val="20"/>
          <w:szCs w:val="20"/>
        </w:rPr>
        <w:t>The Spanish Government (</w:t>
      </w:r>
      <w:r w:rsidRPr="005516CD">
        <w:rPr>
          <w:rFonts w:asciiTheme="majorHAnsi" w:hAnsiTheme="majorHAnsi" w:cstheme="majorHAnsi"/>
          <w:b/>
          <w:color w:val="000000"/>
          <w:sz w:val="20"/>
          <w:szCs w:val="20"/>
        </w:rPr>
        <w:t>AECID</w:t>
      </w:r>
      <w:r w:rsidRPr="005516CD">
        <w:rPr>
          <w:rFonts w:asciiTheme="majorHAnsi" w:hAnsiTheme="majorHAnsi" w:cstheme="majorHAnsi"/>
          <w:color w:val="000000"/>
          <w:sz w:val="20"/>
          <w:szCs w:val="20"/>
        </w:rPr>
        <w:t xml:space="preserve">) and </w:t>
      </w:r>
      <w:proofErr w:type="spellStart"/>
      <w:r w:rsidRPr="005516CD">
        <w:rPr>
          <w:rFonts w:asciiTheme="majorHAnsi" w:hAnsiTheme="majorHAnsi" w:cstheme="majorHAnsi"/>
          <w:b/>
          <w:color w:val="000000"/>
          <w:sz w:val="20"/>
          <w:szCs w:val="20"/>
        </w:rPr>
        <w:t>Solidaridad</w:t>
      </w:r>
      <w:proofErr w:type="spellEnd"/>
      <w:r w:rsidRPr="005516CD">
        <w:rPr>
          <w:rFonts w:asciiTheme="majorHAnsi" w:hAnsiTheme="majorHAnsi" w:cstheme="majorHAnsi"/>
          <w:b/>
          <w:color w:val="000000"/>
          <w:sz w:val="20"/>
          <w:szCs w:val="20"/>
        </w:rPr>
        <w:t xml:space="preserve"> </w:t>
      </w:r>
      <w:proofErr w:type="spellStart"/>
      <w:r w:rsidRPr="005516CD">
        <w:rPr>
          <w:rFonts w:asciiTheme="majorHAnsi" w:hAnsiTheme="majorHAnsi" w:cstheme="majorHAnsi"/>
          <w:b/>
          <w:color w:val="000000"/>
          <w:sz w:val="20"/>
          <w:szCs w:val="20"/>
        </w:rPr>
        <w:t>Internacional</w:t>
      </w:r>
      <w:proofErr w:type="spellEnd"/>
      <w:r w:rsidRPr="005516CD">
        <w:rPr>
          <w:rFonts w:asciiTheme="majorHAnsi" w:hAnsiTheme="majorHAnsi" w:cstheme="majorHAnsi"/>
          <w:b/>
          <w:color w:val="000000"/>
          <w:sz w:val="20"/>
          <w:szCs w:val="20"/>
        </w:rPr>
        <w:t xml:space="preserve"> </w:t>
      </w:r>
      <w:r w:rsidRPr="005516CD">
        <w:rPr>
          <w:rFonts w:asciiTheme="majorHAnsi" w:hAnsiTheme="majorHAnsi" w:cstheme="majorHAnsi"/>
          <w:color w:val="000000"/>
          <w:sz w:val="20"/>
          <w:szCs w:val="20"/>
        </w:rPr>
        <w:t xml:space="preserve">are both active in the project’s </w:t>
      </w:r>
      <w:r w:rsidRPr="005516CD">
        <w:rPr>
          <w:rFonts w:asciiTheme="majorHAnsi" w:hAnsiTheme="majorHAnsi" w:cstheme="majorHAnsi"/>
          <w:sz w:val="20"/>
          <w:szCs w:val="20"/>
        </w:rPr>
        <w:t>south</w:t>
      </w:r>
      <w:r w:rsidRPr="005516CD">
        <w:rPr>
          <w:rFonts w:asciiTheme="majorHAnsi" w:hAnsiTheme="majorHAnsi" w:cstheme="majorHAnsi"/>
          <w:color w:val="000000"/>
          <w:sz w:val="20"/>
          <w:szCs w:val="20"/>
        </w:rPr>
        <w:t>-</w:t>
      </w:r>
      <w:r w:rsidRPr="005516CD">
        <w:rPr>
          <w:rFonts w:asciiTheme="majorHAnsi" w:hAnsiTheme="majorHAnsi" w:cstheme="majorHAnsi"/>
          <w:sz w:val="20"/>
          <w:szCs w:val="20"/>
        </w:rPr>
        <w:t>east</w:t>
      </w:r>
      <w:r w:rsidRPr="005516CD">
        <w:rPr>
          <w:rFonts w:asciiTheme="majorHAnsi" w:hAnsiTheme="majorHAnsi" w:cstheme="majorHAnsi"/>
          <w:color w:val="000000"/>
          <w:sz w:val="20"/>
          <w:szCs w:val="20"/>
        </w:rPr>
        <w:t xml:space="preserve"> target locality. SI has </w:t>
      </w:r>
      <w:r w:rsidRPr="005516CD">
        <w:rPr>
          <w:rFonts w:asciiTheme="majorHAnsi" w:hAnsiTheme="majorHAnsi" w:cstheme="majorHAnsi"/>
          <w:sz w:val="20"/>
          <w:szCs w:val="22"/>
        </w:rPr>
        <w:t>supported</w:t>
      </w:r>
      <w:r w:rsidRPr="005516CD">
        <w:rPr>
          <w:rFonts w:asciiTheme="majorHAnsi" w:hAnsiTheme="majorHAnsi" w:cstheme="majorHAnsi"/>
          <w:color w:val="000000"/>
          <w:sz w:val="20"/>
          <w:szCs w:val="20"/>
        </w:rPr>
        <w:t xml:space="preserve"> the development of the land use plan for </w:t>
      </w:r>
      <w:proofErr w:type="spellStart"/>
      <w:r w:rsidRPr="005516CD">
        <w:rPr>
          <w:rFonts w:asciiTheme="majorHAnsi" w:hAnsiTheme="majorHAnsi" w:cstheme="majorHAnsi"/>
          <w:color w:val="000000"/>
          <w:sz w:val="20"/>
          <w:szCs w:val="20"/>
        </w:rPr>
        <w:t>Anse</w:t>
      </w:r>
      <w:proofErr w:type="spellEnd"/>
      <w:r w:rsidRPr="005516CD">
        <w:rPr>
          <w:rFonts w:asciiTheme="majorHAnsi" w:hAnsiTheme="majorHAnsi" w:cstheme="majorHAnsi"/>
          <w:color w:val="000000"/>
          <w:sz w:val="20"/>
          <w:szCs w:val="20"/>
        </w:rPr>
        <w:t xml:space="preserve"> a </w:t>
      </w:r>
      <w:proofErr w:type="spellStart"/>
      <w:r w:rsidRPr="005516CD">
        <w:rPr>
          <w:rFonts w:asciiTheme="majorHAnsi" w:hAnsiTheme="majorHAnsi" w:cstheme="majorHAnsi"/>
          <w:color w:val="000000"/>
          <w:sz w:val="20"/>
          <w:szCs w:val="20"/>
        </w:rPr>
        <w:t>Pitre</w:t>
      </w:r>
      <w:proofErr w:type="spellEnd"/>
      <w:r w:rsidRPr="005516CD">
        <w:rPr>
          <w:rFonts w:asciiTheme="majorHAnsi" w:hAnsiTheme="majorHAnsi" w:cstheme="majorHAnsi"/>
          <w:color w:val="000000"/>
          <w:sz w:val="20"/>
          <w:szCs w:val="20"/>
        </w:rPr>
        <w:t xml:space="preserve">; and AECID has supported the delimitation of La </w:t>
      </w:r>
      <w:proofErr w:type="spellStart"/>
      <w:r w:rsidRPr="005516CD">
        <w:rPr>
          <w:rFonts w:asciiTheme="majorHAnsi" w:hAnsiTheme="majorHAnsi" w:cstheme="majorHAnsi"/>
          <w:color w:val="000000"/>
          <w:sz w:val="20"/>
          <w:szCs w:val="20"/>
        </w:rPr>
        <w:t>Visite</w:t>
      </w:r>
      <w:proofErr w:type="spellEnd"/>
      <w:r w:rsidRPr="005516CD">
        <w:rPr>
          <w:rFonts w:asciiTheme="majorHAnsi" w:hAnsiTheme="majorHAnsi" w:cstheme="majorHAnsi"/>
          <w:color w:val="000000"/>
          <w:sz w:val="20"/>
          <w:szCs w:val="20"/>
        </w:rPr>
        <w:t xml:space="preserve"> N</w:t>
      </w:r>
      <w:r w:rsidR="00F723A8" w:rsidRPr="005516CD">
        <w:rPr>
          <w:rFonts w:asciiTheme="majorHAnsi" w:hAnsiTheme="majorHAnsi" w:cstheme="majorHAnsi"/>
          <w:color w:val="000000"/>
          <w:sz w:val="20"/>
          <w:szCs w:val="20"/>
        </w:rPr>
        <w:t xml:space="preserve">ational </w:t>
      </w:r>
      <w:r w:rsidRPr="005516CD">
        <w:rPr>
          <w:rFonts w:asciiTheme="majorHAnsi" w:hAnsiTheme="majorHAnsi" w:cstheme="majorHAnsi"/>
          <w:color w:val="000000"/>
          <w:sz w:val="20"/>
          <w:szCs w:val="20"/>
        </w:rPr>
        <w:t>P</w:t>
      </w:r>
      <w:r w:rsidR="00F723A8" w:rsidRPr="005516CD">
        <w:rPr>
          <w:rFonts w:asciiTheme="majorHAnsi" w:hAnsiTheme="majorHAnsi" w:cstheme="majorHAnsi"/>
          <w:color w:val="000000"/>
          <w:sz w:val="20"/>
          <w:szCs w:val="20"/>
        </w:rPr>
        <w:t>ark</w:t>
      </w:r>
      <w:r w:rsidRPr="005516CD">
        <w:rPr>
          <w:rFonts w:asciiTheme="majorHAnsi" w:hAnsiTheme="majorHAnsi" w:cstheme="majorHAnsi"/>
          <w:color w:val="000000"/>
          <w:sz w:val="20"/>
          <w:szCs w:val="20"/>
        </w:rPr>
        <w:t xml:space="preserve">. </w:t>
      </w:r>
    </w:p>
    <w:p w14:paraId="5251D65F" w14:textId="77777777"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World Bank is financing, with support of Global Agriculture and Food Security Programme (GRASP), the US$50 million project </w:t>
      </w:r>
      <w:r w:rsidRPr="005516CD">
        <w:rPr>
          <w:rFonts w:asciiTheme="majorHAnsi" w:hAnsiTheme="majorHAnsi" w:cstheme="majorHAnsi"/>
          <w:b/>
          <w:sz w:val="20"/>
          <w:szCs w:val="20"/>
        </w:rPr>
        <w:t>Relaunching Agriculture and Strengthening Agriculture Public Services-Phase II (RESEPAG)</w:t>
      </w:r>
      <w:r w:rsidRPr="005516CD">
        <w:rPr>
          <w:rFonts w:asciiTheme="majorHAnsi" w:hAnsiTheme="majorHAnsi" w:cstheme="majorHAnsi"/>
          <w:sz w:val="20"/>
          <w:szCs w:val="20"/>
        </w:rPr>
        <w:t>, strengthening MARNDR in providing agricultural support services and providing support for local agricultural extension and innovation services. It also promotes market-based access to inputs, under the new MARNDR approach of using demand-priming voucher systems to stimulate demand for planting material from nurseries, for fertilizer and other inputs, thereby strengthening incentives for the private provision of inputs.</w:t>
      </w:r>
    </w:p>
    <w:p w14:paraId="2899D39A" w14:textId="77777777" w:rsidR="00015FDB" w:rsidRPr="005516CD" w:rsidRDefault="00F723A8"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color w:val="000000"/>
          <w:sz w:val="20"/>
          <w:szCs w:val="20"/>
        </w:rPr>
        <w:t xml:space="preserve">The </w:t>
      </w:r>
      <w:proofErr w:type="spellStart"/>
      <w:r w:rsidRPr="005516CD">
        <w:rPr>
          <w:rFonts w:asciiTheme="majorHAnsi" w:hAnsiTheme="majorHAnsi" w:cstheme="majorHAnsi"/>
          <w:color w:val="000000"/>
          <w:sz w:val="20"/>
          <w:szCs w:val="20"/>
        </w:rPr>
        <w:t>Inter</w:t>
      </w:r>
      <w:r w:rsidR="004F334C" w:rsidRPr="005516CD">
        <w:rPr>
          <w:rFonts w:asciiTheme="majorHAnsi" w:hAnsiTheme="majorHAnsi" w:cstheme="majorHAnsi"/>
          <w:color w:val="000000"/>
          <w:sz w:val="20"/>
          <w:szCs w:val="20"/>
        </w:rPr>
        <w:t>sector</w:t>
      </w:r>
      <w:proofErr w:type="spellEnd"/>
      <w:r w:rsidR="004F334C" w:rsidRPr="005516CD">
        <w:rPr>
          <w:rFonts w:asciiTheme="majorHAnsi" w:hAnsiTheme="majorHAnsi" w:cstheme="majorHAnsi"/>
          <w:color w:val="000000"/>
          <w:sz w:val="20"/>
          <w:szCs w:val="20"/>
        </w:rPr>
        <w:t xml:space="preserve"> Committee for Land Use Planning </w:t>
      </w:r>
      <w:r w:rsidRPr="005516CD">
        <w:rPr>
          <w:rFonts w:asciiTheme="majorHAnsi" w:hAnsiTheme="majorHAnsi" w:cstheme="majorHAnsi"/>
          <w:color w:val="000000"/>
          <w:sz w:val="20"/>
          <w:szCs w:val="20"/>
        </w:rPr>
        <w:t>(</w:t>
      </w:r>
      <w:r w:rsidR="00015FDB" w:rsidRPr="005516CD">
        <w:rPr>
          <w:rFonts w:asciiTheme="majorHAnsi" w:hAnsiTheme="majorHAnsi" w:cstheme="majorHAnsi"/>
          <w:color w:val="000000"/>
          <w:sz w:val="20"/>
          <w:szCs w:val="20"/>
        </w:rPr>
        <w:t>CIAT</w:t>
      </w:r>
      <w:r w:rsidRPr="005516CD">
        <w:rPr>
          <w:rFonts w:asciiTheme="majorHAnsi" w:hAnsiTheme="majorHAnsi" w:cstheme="majorHAnsi"/>
          <w:color w:val="000000"/>
          <w:sz w:val="20"/>
          <w:szCs w:val="20"/>
        </w:rPr>
        <w:t>)</w:t>
      </w:r>
      <w:r w:rsidR="00015FDB" w:rsidRPr="005516CD">
        <w:rPr>
          <w:rFonts w:asciiTheme="majorHAnsi" w:hAnsiTheme="majorHAnsi" w:cstheme="majorHAnsi"/>
          <w:color w:val="000000"/>
          <w:sz w:val="20"/>
          <w:szCs w:val="20"/>
        </w:rPr>
        <w:t xml:space="preserve"> is in the process of finalizing the country’s first regional territorial land use plan, for the north-east coast region; a limited </w:t>
      </w:r>
      <w:r w:rsidR="00015FDB" w:rsidRPr="005516CD">
        <w:rPr>
          <w:rFonts w:asciiTheme="majorHAnsi" w:hAnsiTheme="majorHAnsi" w:cstheme="majorHAnsi"/>
          <w:sz w:val="20"/>
          <w:szCs w:val="22"/>
        </w:rPr>
        <w:t>level</w:t>
      </w:r>
      <w:r w:rsidR="00015FDB" w:rsidRPr="005516CD">
        <w:rPr>
          <w:rFonts w:asciiTheme="majorHAnsi" w:hAnsiTheme="majorHAnsi" w:cstheme="majorHAnsi"/>
          <w:color w:val="000000"/>
          <w:sz w:val="20"/>
          <w:szCs w:val="20"/>
        </w:rPr>
        <w:t xml:space="preserve"> of </w:t>
      </w:r>
      <w:r w:rsidR="00015FDB" w:rsidRPr="005516CD">
        <w:rPr>
          <w:rFonts w:asciiTheme="majorHAnsi" w:eastAsia="Calibri" w:hAnsiTheme="majorHAnsi" w:cstheme="majorHAnsi"/>
          <w:sz w:val="20"/>
          <w:szCs w:val="20"/>
        </w:rPr>
        <w:t>experience</w:t>
      </w:r>
      <w:r w:rsidR="00015FDB" w:rsidRPr="005516CD">
        <w:rPr>
          <w:rFonts w:asciiTheme="majorHAnsi" w:hAnsiTheme="majorHAnsi" w:cstheme="majorHAnsi"/>
          <w:color w:val="000000"/>
          <w:sz w:val="20"/>
          <w:szCs w:val="20"/>
        </w:rPr>
        <w:t xml:space="preserve"> has also been generated with the development of watershed-level plans, for example through the USAID-supported WINNER project. However, </w:t>
      </w:r>
      <w:r w:rsidR="00015FDB" w:rsidRPr="005516CD">
        <w:rPr>
          <w:rFonts w:asciiTheme="majorHAnsi" w:hAnsiTheme="majorHAnsi" w:cstheme="majorHAnsi"/>
          <w:bCs/>
          <w:color w:val="000000"/>
          <w:sz w:val="20"/>
          <w:szCs w:val="20"/>
        </w:rPr>
        <w:t>the regional plan is “broad-brush” in nature</w:t>
      </w:r>
      <w:r w:rsidR="00015FDB" w:rsidRPr="005516CD">
        <w:rPr>
          <w:rFonts w:asciiTheme="majorHAnsi" w:hAnsiTheme="majorHAnsi" w:cstheme="majorHAnsi"/>
          <w:color w:val="000000"/>
          <w:sz w:val="20"/>
          <w:szCs w:val="20"/>
        </w:rPr>
        <w:t xml:space="preserve">, and </w:t>
      </w:r>
      <w:r w:rsidR="00015FDB" w:rsidRPr="005516CD">
        <w:rPr>
          <w:rFonts w:asciiTheme="majorHAnsi" w:hAnsiTheme="majorHAnsi" w:cstheme="majorHAnsi"/>
          <w:bCs/>
          <w:color w:val="000000"/>
          <w:sz w:val="20"/>
          <w:szCs w:val="20"/>
        </w:rPr>
        <w:t xml:space="preserve">mechanisms, capacities and experience are still lacking for putting it into practice at local level, and for integrating it with more specific local level plans. </w:t>
      </w:r>
    </w:p>
    <w:p w14:paraId="305793A9" w14:textId="77777777" w:rsidR="00015FDB" w:rsidRPr="005516CD" w:rsidRDefault="00015FD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color w:val="000000"/>
          <w:sz w:val="20"/>
          <w:szCs w:val="20"/>
        </w:rPr>
        <w:t xml:space="preserve">The </w:t>
      </w:r>
      <w:r w:rsidRPr="005516CD">
        <w:rPr>
          <w:rFonts w:asciiTheme="majorHAnsi" w:hAnsiTheme="majorHAnsi" w:cstheme="majorHAnsi"/>
          <w:b/>
          <w:color w:val="000000"/>
          <w:sz w:val="20"/>
          <w:szCs w:val="20"/>
        </w:rPr>
        <w:t xml:space="preserve">“SNAP </w:t>
      </w:r>
      <w:r w:rsidRPr="005516CD">
        <w:rPr>
          <w:rFonts w:asciiTheme="majorHAnsi" w:hAnsiTheme="majorHAnsi" w:cstheme="majorHAnsi"/>
          <w:b/>
          <w:sz w:val="20"/>
          <w:szCs w:val="22"/>
        </w:rPr>
        <w:t>project</w:t>
      </w:r>
      <w:r w:rsidRPr="005516CD">
        <w:rPr>
          <w:rFonts w:asciiTheme="majorHAnsi" w:hAnsiTheme="majorHAnsi" w:cstheme="majorHAnsi"/>
          <w:b/>
          <w:color w:val="000000"/>
          <w:sz w:val="20"/>
          <w:szCs w:val="20"/>
        </w:rPr>
        <w:t>” (Establishing a Financially Sustainable National Protected Areas System, GEF ID 3616</w:t>
      </w:r>
      <w:r w:rsidR="001A44C0" w:rsidRPr="005516CD">
        <w:rPr>
          <w:rFonts w:asciiTheme="majorHAnsi" w:hAnsiTheme="majorHAnsi" w:cstheme="majorHAnsi"/>
          <w:b/>
          <w:color w:val="000000"/>
          <w:sz w:val="20"/>
          <w:szCs w:val="20"/>
        </w:rPr>
        <w:t>, implemented by UNDP</w:t>
      </w:r>
      <w:r w:rsidRPr="005516CD">
        <w:rPr>
          <w:rFonts w:asciiTheme="majorHAnsi" w:hAnsiTheme="majorHAnsi" w:cstheme="majorHAnsi"/>
          <w:b/>
          <w:color w:val="000000"/>
          <w:sz w:val="20"/>
          <w:szCs w:val="20"/>
        </w:rPr>
        <w:t>)</w:t>
      </w:r>
      <w:r w:rsidRPr="005516CD">
        <w:rPr>
          <w:rFonts w:asciiTheme="majorHAnsi" w:hAnsiTheme="majorHAnsi" w:cstheme="majorHAnsi"/>
          <w:color w:val="000000"/>
          <w:sz w:val="20"/>
          <w:szCs w:val="20"/>
        </w:rPr>
        <w:t xml:space="preserve"> is helping to create a favourable overall environment for effective PA management, by developing a strengthened PA governance system, backed by policies, regulations and competent institutions. Still lacking, however, is the incorporation of a more integrated, landscape/seascape-wide approach to delivering environmental benefits of global, national and local significance and addressing the implications of climate change.</w:t>
      </w:r>
    </w:p>
    <w:p w14:paraId="2AC896A2" w14:textId="77777777" w:rsidR="0075519F" w:rsidRPr="005516CD" w:rsidRDefault="0075519F"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b/>
          <w:sz w:val="20"/>
          <w:szCs w:val="20"/>
        </w:rPr>
        <w:t xml:space="preserve">Resilient Productive </w:t>
      </w:r>
      <w:r w:rsidR="0080611F" w:rsidRPr="005516CD">
        <w:rPr>
          <w:rFonts w:asciiTheme="majorHAnsi" w:hAnsiTheme="majorHAnsi" w:cstheme="majorHAnsi"/>
          <w:b/>
          <w:sz w:val="20"/>
          <w:szCs w:val="20"/>
        </w:rPr>
        <w:t>Landscapes in Haiti</w:t>
      </w:r>
      <w:r w:rsidRPr="005516CD">
        <w:rPr>
          <w:rFonts w:asciiTheme="majorHAnsi" w:hAnsiTheme="majorHAnsi" w:cstheme="majorHAnsi"/>
          <w:b/>
          <w:sz w:val="20"/>
          <w:szCs w:val="20"/>
        </w:rPr>
        <w:t xml:space="preserve"> (</w:t>
      </w:r>
      <w:proofErr w:type="spellStart"/>
      <w:r w:rsidRPr="005516CD">
        <w:rPr>
          <w:rFonts w:asciiTheme="majorHAnsi" w:hAnsiTheme="majorHAnsi" w:cstheme="majorHAnsi"/>
          <w:b/>
          <w:sz w:val="20"/>
          <w:szCs w:val="20"/>
        </w:rPr>
        <w:t>Territoire</w:t>
      </w:r>
      <w:proofErr w:type="spellEnd"/>
      <w:r w:rsidRPr="005516CD">
        <w:rPr>
          <w:rFonts w:asciiTheme="majorHAnsi" w:hAnsiTheme="majorHAnsi" w:cstheme="majorHAnsi"/>
          <w:b/>
          <w:sz w:val="20"/>
          <w:szCs w:val="20"/>
        </w:rPr>
        <w:t xml:space="preserve"> </w:t>
      </w:r>
      <w:proofErr w:type="spellStart"/>
      <w:r w:rsidRPr="005516CD">
        <w:rPr>
          <w:rFonts w:asciiTheme="majorHAnsi" w:hAnsiTheme="majorHAnsi" w:cstheme="majorHAnsi"/>
          <w:b/>
          <w:sz w:val="20"/>
          <w:szCs w:val="20"/>
        </w:rPr>
        <w:t>productif</w:t>
      </w:r>
      <w:proofErr w:type="spellEnd"/>
      <w:r w:rsidRPr="005516CD">
        <w:rPr>
          <w:rFonts w:asciiTheme="majorHAnsi" w:hAnsiTheme="majorHAnsi" w:cstheme="majorHAnsi"/>
          <w:b/>
          <w:sz w:val="20"/>
          <w:szCs w:val="20"/>
        </w:rPr>
        <w:t xml:space="preserve"> </w:t>
      </w:r>
      <w:proofErr w:type="spellStart"/>
      <w:r w:rsidRPr="005516CD">
        <w:rPr>
          <w:rFonts w:asciiTheme="majorHAnsi" w:hAnsiTheme="majorHAnsi" w:cstheme="majorHAnsi"/>
          <w:b/>
          <w:sz w:val="20"/>
          <w:szCs w:val="20"/>
        </w:rPr>
        <w:t>résilients</w:t>
      </w:r>
      <w:proofErr w:type="spellEnd"/>
      <w:r w:rsidRPr="005516CD">
        <w:rPr>
          <w:rFonts w:asciiTheme="majorHAnsi" w:hAnsiTheme="majorHAnsi" w:cstheme="majorHAnsi"/>
          <w:b/>
          <w:sz w:val="20"/>
          <w:szCs w:val="20"/>
        </w:rPr>
        <w:t>/TPR)</w:t>
      </w:r>
      <w:r w:rsidR="001A44C0" w:rsidRPr="005516CD">
        <w:rPr>
          <w:rFonts w:asciiTheme="majorHAnsi" w:hAnsiTheme="majorHAnsi" w:cstheme="majorHAnsi"/>
          <w:b/>
          <w:i/>
          <w:sz w:val="20"/>
          <w:szCs w:val="20"/>
        </w:rPr>
        <w:t xml:space="preserve"> </w:t>
      </w:r>
      <w:r w:rsidR="001A44C0" w:rsidRPr="005516CD">
        <w:rPr>
          <w:rFonts w:asciiTheme="majorHAnsi" w:hAnsiTheme="majorHAnsi" w:cstheme="majorHAnsi"/>
          <w:b/>
          <w:sz w:val="20"/>
          <w:szCs w:val="20"/>
        </w:rPr>
        <w:t>(GEF project 9750, implemented by World Bank)</w:t>
      </w:r>
      <w:r w:rsidR="001A44C0" w:rsidRPr="005516CD">
        <w:rPr>
          <w:rFonts w:asciiTheme="majorHAnsi" w:hAnsiTheme="majorHAnsi" w:cstheme="majorHAnsi"/>
          <w:sz w:val="20"/>
          <w:szCs w:val="20"/>
        </w:rPr>
        <w:t xml:space="preserve"> aims to </w:t>
      </w:r>
      <w:r w:rsidRPr="005516CD">
        <w:rPr>
          <w:rFonts w:asciiTheme="majorHAnsi" w:hAnsiTheme="majorHAnsi" w:cstheme="majorHAnsi"/>
          <w:sz w:val="20"/>
          <w:szCs w:val="20"/>
        </w:rPr>
        <w:t>increase resilience of agriculture and ecosystems in certain watersheds, and allows the Government to respond rapidly and effectively to emergency situations. It is comprised of four components: 1) Strengthening of institutional and organisational capacities for interventions at territorial level; 2) investment to promote the resilience of agriculture and ecosystems; 3) coordination and monitoring and evaluation of projects and 4) the mechanism for emergency interventions.</w:t>
      </w:r>
    </w:p>
    <w:p w14:paraId="6C478F54" w14:textId="77777777" w:rsidR="0075519F" w:rsidRPr="005516CD" w:rsidRDefault="0075519F"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w:t>
      </w:r>
      <w:r w:rsidR="001A44C0" w:rsidRPr="005516CD">
        <w:rPr>
          <w:rFonts w:asciiTheme="majorHAnsi" w:hAnsiTheme="majorHAnsi" w:cstheme="majorHAnsi"/>
          <w:sz w:val="20"/>
          <w:szCs w:val="20"/>
        </w:rPr>
        <w:t>P</w:t>
      </w:r>
      <w:r w:rsidRPr="005516CD">
        <w:rPr>
          <w:rFonts w:asciiTheme="majorHAnsi" w:hAnsiTheme="majorHAnsi" w:cstheme="majorHAnsi"/>
          <w:sz w:val="20"/>
          <w:szCs w:val="20"/>
        </w:rPr>
        <w:t xml:space="preserve">R aims to contribute to the utilisation of environmentally sustainable agricultural technologies, through support to ecologically sustainable and socially acceptable practices, as well as the restoration of native mangrove and upland forests. </w:t>
      </w:r>
    </w:p>
    <w:p w14:paraId="1052787D" w14:textId="65A9B3FA" w:rsidR="0075519F" w:rsidRPr="005516CD" w:rsidRDefault="0075519F"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TPR works with relevant institutions to promote their technical and administrative strengthening, in order to improve the services provided by MARNDR (in relation to agriculture) and </w:t>
      </w:r>
      <w:proofErr w:type="spellStart"/>
      <w:r w:rsidR="009241AB">
        <w:rPr>
          <w:rFonts w:asciiTheme="majorHAnsi" w:hAnsiTheme="majorHAnsi" w:cstheme="majorHAnsi"/>
          <w:sz w:val="20"/>
          <w:szCs w:val="20"/>
        </w:rPr>
        <w:t>MoE</w:t>
      </w:r>
      <w:proofErr w:type="spellEnd"/>
      <w:r w:rsidRPr="005516CD">
        <w:rPr>
          <w:rFonts w:asciiTheme="majorHAnsi" w:hAnsiTheme="majorHAnsi" w:cstheme="majorHAnsi"/>
          <w:sz w:val="20"/>
          <w:szCs w:val="20"/>
        </w:rPr>
        <w:t xml:space="preserve"> (in relation to environment). Impacts related to component 2 include the intensification, improvement, development and diversification of agriculture activities, due to </w:t>
      </w:r>
      <w:proofErr w:type="spellStart"/>
      <w:r w:rsidRPr="005516CD">
        <w:rPr>
          <w:rFonts w:asciiTheme="majorHAnsi" w:hAnsiTheme="majorHAnsi" w:cstheme="majorHAnsi"/>
          <w:sz w:val="20"/>
          <w:szCs w:val="20"/>
        </w:rPr>
        <w:t>i</w:t>
      </w:r>
      <w:proofErr w:type="spellEnd"/>
      <w:r w:rsidRPr="005516CD">
        <w:rPr>
          <w:rFonts w:asciiTheme="majorHAnsi" w:hAnsiTheme="majorHAnsi" w:cstheme="majorHAnsi"/>
          <w:sz w:val="20"/>
          <w:szCs w:val="20"/>
        </w:rPr>
        <w:t xml:space="preserve">) the improvement of techniques and systems of production due notably to improvements in the linkages between research and extension (production techniques adapted to soil characteristics, maintenance and recovery of soil fertility, management of water erosion, improvement of water management, etc.); ii) the reduction of post-harvest losses; iii) the improvement of income and trading conditions; iv) improved valuation of production through processing and agricultural-based businesses; v) broadening of the range of products; vi) protection of natural ecosystems; vii) information and training in relation to good agricultural practices; viii) water management and ix) increases in the resilience of farmers to natural catastrophes. </w:t>
      </w:r>
    </w:p>
    <w:p w14:paraId="46E50756" w14:textId="77777777" w:rsidR="007B6C15" w:rsidRPr="005516CD" w:rsidRDefault="0020162F"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There have been significant initiatives related to the development of the cacao sector and the strengthening of cacao cooperatives in the north of the country. A local NGO, the Service for Action Learning for Economic and Social Development (</w:t>
      </w:r>
      <w:r w:rsidRPr="005516CD">
        <w:rPr>
          <w:rFonts w:asciiTheme="majorHAnsi" w:hAnsiTheme="majorHAnsi" w:cstheme="majorHAnsi"/>
          <w:i/>
          <w:color w:val="000000" w:themeColor="text1"/>
          <w:sz w:val="20"/>
          <w:szCs w:val="20"/>
        </w:rPr>
        <w:t xml:space="preserve">Service de Formation Action pour le </w:t>
      </w:r>
      <w:proofErr w:type="spellStart"/>
      <w:r w:rsidRPr="005516CD">
        <w:rPr>
          <w:rFonts w:asciiTheme="majorHAnsi" w:hAnsiTheme="majorHAnsi" w:cstheme="majorHAnsi"/>
          <w:i/>
          <w:color w:val="000000" w:themeColor="text1"/>
          <w:sz w:val="20"/>
          <w:szCs w:val="20"/>
        </w:rPr>
        <w:t>Développement</w:t>
      </w:r>
      <w:proofErr w:type="spellEnd"/>
      <w:r w:rsidRPr="005516CD">
        <w:rPr>
          <w:rFonts w:asciiTheme="majorHAnsi" w:hAnsiTheme="majorHAnsi" w:cstheme="majorHAnsi"/>
          <w:i/>
          <w:color w:val="000000" w:themeColor="text1"/>
          <w:sz w:val="20"/>
          <w:szCs w:val="20"/>
        </w:rPr>
        <w:t xml:space="preserve"> </w:t>
      </w:r>
      <w:proofErr w:type="spellStart"/>
      <w:r w:rsidRPr="005516CD">
        <w:rPr>
          <w:rFonts w:asciiTheme="majorHAnsi" w:hAnsiTheme="majorHAnsi" w:cstheme="majorHAnsi"/>
          <w:i/>
          <w:color w:val="000000" w:themeColor="text1"/>
          <w:sz w:val="20"/>
          <w:szCs w:val="20"/>
        </w:rPr>
        <w:t>Economique</w:t>
      </w:r>
      <w:proofErr w:type="spellEnd"/>
      <w:r w:rsidRPr="005516CD">
        <w:rPr>
          <w:rFonts w:asciiTheme="majorHAnsi" w:hAnsiTheme="majorHAnsi" w:cstheme="majorHAnsi"/>
          <w:i/>
          <w:color w:val="000000" w:themeColor="text1"/>
          <w:sz w:val="20"/>
          <w:szCs w:val="20"/>
        </w:rPr>
        <w:t xml:space="preserve"> et Social</w:t>
      </w:r>
      <w:r w:rsidRPr="005516CD">
        <w:rPr>
          <w:rFonts w:asciiTheme="majorHAnsi" w:hAnsiTheme="majorHAnsi" w:cstheme="majorHAnsi"/>
          <w:color w:val="000000" w:themeColor="text1"/>
          <w:sz w:val="20"/>
          <w:szCs w:val="20"/>
        </w:rPr>
        <w:t xml:space="preserve">, SEFADES) has supported the strengthening of six cooperatives </w:t>
      </w:r>
      <w:proofErr w:type="spellStart"/>
      <w:r w:rsidRPr="005516CD">
        <w:rPr>
          <w:rFonts w:asciiTheme="majorHAnsi" w:hAnsiTheme="majorHAnsi" w:cstheme="majorHAnsi"/>
          <w:color w:val="000000" w:themeColor="text1"/>
          <w:sz w:val="20"/>
          <w:szCs w:val="20"/>
        </w:rPr>
        <w:t>beloning</w:t>
      </w:r>
      <w:proofErr w:type="spellEnd"/>
      <w:r w:rsidRPr="005516CD">
        <w:rPr>
          <w:rFonts w:asciiTheme="majorHAnsi" w:hAnsiTheme="majorHAnsi" w:cstheme="majorHAnsi"/>
          <w:color w:val="000000" w:themeColor="text1"/>
          <w:sz w:val="20"/>
          <w:szCs w:val="20"/>
        </w:rPr>
        <w:t xml:space="preserve"> to the Federation of Cacao Cooperatives of the North (</w:t>
      </w:r>
      <w:r w:rsidRPr="005516CD">
        <w:rPr>
          <w:rFonts w:asciiTheme="majorHAnsi" w:hAnsiTheme="majorHAnsi" w:cstheme="majorHAnsi"/>
          <w:i/>
          <w:color w:val="000000" w:themeColor="text1"/>
          <w:sz w:val="20"/>
          <w:szCs w:val="20"/>
        </w:rPr>
        <w:t xml:space="preserve">Fédération des </w:t>
      </w:r>
      <w:proofErr w:type="spellStart"/>
      <w:r w:rsidRPr="005516CD">
        <w:rPr>
          <w:rFonts w:asciiTheme="majorHAnsi" w:hAnsiTheme="majorHAnsi" w:cstheme="majorHAnsi"/>
          <w:i/>
          <w:color w:val="000000" w:themeColor="text1"/>
          <w:sz w:val="20"/>
          <w:szCs w:val="20"/>
        </w:rPr>
        <w:t>Coopératives</w:t>
      </w:r>
      <w:proofErr w:type="spellEnd"/>
      <w:r w:rsidRPr="005516CD">
        <w:rPr>
          <w:rFonts w:asciiTheme="majorHAnsi" w:hAnsiTheme="majorHAnsi" w:cstheme="majorHAnsi"/>
          <w:i/>
          <w:color w:val="000000" w:themeColor="text1"/>
          <w:sz w:val="20"/>
          <w:szCs w:val="20"/>
        </w:rPr>
        <w:t xml:space="preserve"> </w:t>
      </w:r>
      <w:proofErr w:type="spellStart"/>
      <w:r w:rsidRPr="005516CD">
        <w:rPr>
          <w:rFonts w:asciiTheme="majorHAnsi" w:hAnsiTheme="majorHAnsi" w:cstheme="majorHAnsi"/>
          <w:i/>
          <w:color w:val="000000" w:themeColor="text1"/>
          <w:sz w:val="20"/>
          <w:szCs w:val="20"/>
        </w:rPr>
        <w:t>Cacaoyères</w:t>
      </w:r>
      <w:proofErr w:type="spellEnd"/>
      <w:r w:rsidRPr="005516CD">
        <w:rPr>
          <w:rFonts w:asciiTheme="majorHAnsi" w:hAnsiTheme="majorHAnsi" w:cstheme="majorHAnsi"/>
          <w:i/>
          <w:color w:val="000000" w:themeColor="text1"/>
          <w:sz w:val="20"/>
          <w:szCs w:val="20"/>
        </w:rPr>
        <w:t xml:space="preserve"> du Nord</w:t>
      </w:r>
      <w:r w:rsidRPr="005516CD">
        <w:rPr>
          <w:rFonts w:asciiTheme="majorHAnsi" w:hAnsiTheme="majorHAnsi" w:cstheme="majorHAnsi"/>
          <w:color w:val="000000" w:themeColor="text1"/>
          <w:sz w:val="20"/>
          <w:szCs w:val="20"/>
        </w:rPr>
        <w:t xml:space="preserve">, FECCANO, which has around 2,500 members and covers the communes of Grande Rivière du Nord, </w:t>
      </w:r>
      <w:proofErr w:type="spellStart"/>
      <w:r w:rsidRPr="005516CD">
        <w:rPr>
          <w:rFonts w:asciiTheme="majorHAnsi" w:hAnsiTheme="majorHAnsi" w:cstheme="majorHAnsi"/>
          <w:color w:val="000000" w:themeColor="text1"/>
          <w:sz w:val="20"/>
          <w:szCs w:val="20"/>
        </w:rPr>
        <w:t>Milot</w:t>
      </w:r>
      <w:proofErr w:type="spellEnd"/>
      <w:r w:rsidRPr="005516CD">
        <w:rPr>
          <w:rFonts w:asciiTheme="majorHAnsi" w:hAnsiTheme="majorHAnsi" w:cstheme="majorHAnsi"/>
          <w:color w:val="000000" w:themeColor="text1"/>
          <w:sz w:val="20"/>
          <w:szCs w:val="20"/>
        </w:rPr>
        <w:t xml:space="preserve">, </w:t>
      </w:r>
      <w:proofErr w:type="spellStart"/>
      <w:r w:rsidRPr="005516CD">
        <w:rPr>
          <w:rFonts w:asciiTheme="majorHAnsi" w:hAnsiTheme="majorHAnsi" w:cstheme="majorHAnsi"/>
          <w:color w:val="000000" w:themeColor="text1"/>
          <w:sz w:val="20"/>
          <w:szCs w:val="20"/>
        </w:rPr>
        <w:t>Acul</w:t>
      </w:r>
      <w:proofErr w:type="spellEnd"/>
      <w:r w:rsidRPr="005516CD">
        <w:rPr>
          <w:rFonts w:asciiTheme="majorHAnsi" w:hAnsiTheme="majorHAnsi" w:cstheme="majorHAnsi"/>
          <w:color w:val="000000" w:themeColor="text1"/>
          <w:sz w:val="20"/>
          <w:szCs w:val="20"/>
        </w:rPr>
        <w:t xml:space="preserve"> du Nord, Borgne and Port-Margot. Significant work has been done with marketing: FECCANO itself sells its producers’ c</w:t>
      </w:r>
      <w:r w:rsidR="00A504BA" w:rsidRPr="005516CD">
        <w:rPr>
          <w:rFonts w:asciiTheme="majorHAnsi" w:hAnsiTheme="majorHAnsi" w:cstheme="majorHAnsi"/>
          <w:color w:val="000000" w:themeColor="text1"/>
          <w:sz w:val="20"/>
          <w:szCs w:val="20"/>
        </w:rPr>
        <w:t>o</w:t>
      </w:r>
      <w:r w:rsidRPr="005516CD">
        <w:rPr>
          <w:rFonts w:asciiTheme="majorHAnsi" w:hAnsiTheme="majorHAnsi" w:cstheme="majorHAnsi"/>
          <w:color w:val="000000" w:themeColor="text1"/>
          <w:sz w:val="20"/>
          <w:szCs w:val="20"/>
        </w:rPr>
        <w:t>c</w:t>
      </w:r>
      <w:r w:rsidR="00A504BA" w:rsidRPr="005516CD">
        <w:rPr>
          <w:rFonts w:asciiTheme="majorHAnsi" w:hAnsiTheme="majorHAnsi" w:cstheme="majorHAnsi"/>
          <w:color w:val="000000" w:themeColor="text1"/>
          <w:sz w:val="20"/>
          <w:szCs w:val="20"/>
        </w:rPr>
        <w:t>o</w:t>
      </w:r>
      <w:r w:rsidRPr="005516CD">
        <w:rPr>
          <w:rFonts w:asciiTheme="majorHAnsi" w:hAnsiTheme="majorHAnsi" w:cstheme="majorHAnsi"/>
          <w:color w:val="000000" w:themeColor="text1"/>
          <w:sz w:val="20"/>
          <w:szCs w:val="20"/>
        </w:rPr>
        <w:t>a on international markets, rather than relying on private sector companies. There has also been progress with the process of c</w:t>
      </w:r>
      <w:r w:rsidR="00A504BA" w:rsidRPr="005516CD">
        <w:rPr>
          <w:rFonts w:asciiTheme="majorHAnsi" w:hAnsiTheme="majorHAnsi" w:cstheme="majorHAnsi"/>
          <w:color w:val="000000" w:themeColor="text1"/>
          <w:sz w:val="20"/>
          <w:szCs w:val="20"/>
        </w:rPr>
        <w:t>o</w:t>
      </w:r>
      <w:r w:rsidRPr="005516CD">
        <w:rPr>
          <w:rFonts w:asciiTheme="majorHAnsi" w:hAnsiTheme="majorHAnsi" w:cstheme="majorHAnsi"/>
          <w:color w:val="000000" w:themeColor="text1"/>
          <w:sz w:val="20"/>
          <w:szCs w:val="20"/>
        </w:rPr>
        <w:t>c</w:t>
      </w:r>
      <w:r w:rsidR="00A504BA" w:rsidRPr="005516CD">
        <w:rPr>
          <w:rFonts w:asciiTheme="majorHAnsi" w:hAnsiTheme="majorHAnsi" w:cstheme="majorHAnsi"/>
          <w:color w:val="000000" w:themeColor="text1"/>
          <w:sz w:val="20"/>
          <w:szCs w:val="20"/>
        </w:rPr>
        <w:t>o</w:t>
      </w:r>
      <w:r w:rsidRPr="005516CD">
        <w:rPr>
          <w:rFonts w:asciiTheme="majorHAnsi" w:hAnsiTheme="majorHAnsi" w:cstheme="majorHAnsi"/>
          <w:color w:val="000000" w:themeColor="text1"/>
          <w:sz w:val="20"/>
          <w:szCs w:val="20"/>
        </w:rPr>
        <w:t>a fermentation</w:t>
      </w:r>
      <w:r w:rsidR="0075519F" w:rsidRPr="005516CD">
        <w:rPr>
          <w:rFonts w:asciiTheme="majorHAnsi" w:hAnsiTheme="majorHAnsi" w:cstheme="majorHAnsi"/>
          <w:color w:val="000000" w:themeColor="text1"/>
          <w:sz w:val="20"/>
          <w:szCs w:val="20"/>
        </w:rPr>
        <w:t xml:space="preserve"> by </w:t>
      </w:r>
      <w:r w:rsidR="00385DD0" w:rsidRPr="005516CD">
        <w:rPr>
          <w:rFonts w:asciiTheme="majorHAnsi" w:hAnsiTheme="majorHAnsi" w:cstheme="majorHAnsi"/>
          <w:color w:val="000000" w:themeColor="text1"/>
          <w:sz w:val="20"/>
          <w:szCs w:val="20"/>
        </w:rPr>
        <w:t xml:space="preserve">FECCANO, </w:t>
      </w:r>
      <w:r w:rsidR="007B6C15" w:rsidRPr="005516CD">
        <w:rPr>
          <w:rFonts w:asciiTheme="majorHAnsi" w:hAnsiTheme="majorHAnsi" w:cstheme="majorHAnsi"/>
          <w:color w:val="000000" w:themeColor="text1"/>
          <w:sz w:val="20"/>
          <w:szCs w:val="20"/>
        </w:rPr>
        <w:t xml:space="preserve">with support from the NGO </w:t>
      </w:r>
      <w:r w:rsidR="00385DD0" w:rsidRPr="005516CD">
        <w:rPr>
          <w:rFonts w:asciiTheme="majorHAnsi" w:hAnsiTheme="majorHAnsi" w:cstheme="majorHAnsi"/>
          <w:color w:val="000000" w:themeColor="text1"/>
          <w:sz w:val="20"/>
          <w:szCs w:val="20"/>
        </w:rPr>
        <w:t>Agronom</w:t>
      </w:r>
      <w:r w:rsidR="007B6C15" w:rsidRPr="005516CD">
        <w:rPr>
          <w:rFonts w:asciiTheme="majorHAnsi" w:hAnsiTheme="majorHAnsi" w:cstheme="majorHAnsi"/>
          <w:color w:val="000000" w:themeColor="text1"/>
          <w:sz w:val="20"/>
          <w:szCs w:val="20"/>
        </w:rPr>
        <w:t xml:space="preserve">ists and </w:t>
      </w:r>
      <w:r w:rsidR="00385DD0" w:rsidRPr="005516CD">
        <w:rPr>
          <w:rFonts w:asciiTheme="majorHAnsi" w:hAnsiTheme="majorHAnsi" w:cstheme="majorHAnsi"/>
          <w:color w:val="000000" w:themeColor="text1"/>
          <w:sz w:val="20"/>
          <w:szCs w:val="20"/>
        </w:rPr>
        <w:t>V</w:t>
      </w:r>
      <w:r w:rsidR="007B6C15" w:rsidRPr="005516CD">
        <w:rPr>
          <w:rFonts w:asciiTheme="majorHAnsi" w:hAnsiTheme="majorHAnsi" w:cstheme="majorHAnsi"/>
          <w:color w:val="000000" w:themeColor="text1"/>
          <w:sz w:val="20"/>
          <w:szCs w:val="20"/>
        </w:rPr>
        <w:t>e</w:t>
      </w:r>
      <w:r w:rsidR="00385DD0" w:rsidRPr="005516CD">
        <w:rPr>
          <w:rFonts w:asciiTheme="majorHAnsi" w:hAnsiTheme="majorHAnsi" w:cstheme="majorHAnsi"/>
          <w:color w:val="000000" w:themeColor="text1"/>
          <w:sz w:val="20"/>
          <w:szCs w:val="20"/>
        </w:rPr>
        <w:t>t</w:t>
      </w:r>
      <w:r w:rsidR="007B6C15" w:rsidRPr="005516CD">
        <w:rPr>
          <w:rFonts w:asciiTheme="majorHAnsi" w:hAnsiTheme="majorHAnsi" w:cstheme="majorHAnsi"/>
          <w:color w:val="000000" w:themeColor="text1"/>
          <w:sz w:val="20"/>
          <w:szCs w:val="20"/>
        </w:rPr>
        <w:t>e</w:t>
      </w:r>
      <w:r w:rsidR="00385DD0" w:rsidRPr="005516CD">
        <w:rPr>
          <w:rFonts w:asciiTheme="majorHAnsi" w:hAnsiTheme="majorHAnsi" w:cstheme="majorHAnsi"/>
          <w:color w:val="000000" w:themeColor="text1"/>
          <w:sz w:val="20"/>
          <w:szCs w:val="20"/>
        </w:rPr>
        <w:t>rina</w:t>
      </w:r>
      <w:r w:rsidR="007B6C15" w:rsidRPr="005516CD">
        <w:rPr>
          <w:rFonts w:asciiTheme="majorHAnsi" w:hAnsiTheme="majorHAnsi" w:cstheme="majorHAnsi"/>
          <w:color w:val="000000" w:themeColor="text1"/>
          <w:sz w:val="20"/>
          <w:szCs w:val="20"/>
        </w:rPr>
        <w:t>rians with</w:t>
      </w:r>
      <w:r w:rsidR="0075519F" w:rsidRPr="005516CD">
        <w:rPr>
          <w:rFonts w:asciiTheme="majorHAnsi" w:hAnsiTheme="majorHAnsi" w:cstheme="majorHAnsi"/>
          <w:color w:val="000000" w:themeColor="text1"/>
          <w:sz w:val="20"/>
          <w:szCs w:val="20"/>
        </w:rPr>
        <w:t>out</w:t>
      </w:r>
      <w:r w:rsidR="007B6C15" w:rsidRPr="005516CD">
        <w:rPr>
          <w:rFonts w:asciiTheme="majorHAnsi" w:hAnsiTheme="majorHAnsi" w:cstheme="majorHAnsi"/>
          <w:color w:val="000000" w:themeColor="text1"/>
          <w:sz w:val="20"/>
          <w:szCs w:val="20"/>
        </w:rPr>
        <w:t xml:space="preserve"> Borders </w:t>
      </w:r>
      <w:r w:rsidR="00385DD0" w:rsidRPr="005516CD">
        <w:rPr>
          <w:rFonts w:asciiTheme="majorHAnsi" w:hAnsiTheme="majorHAnsi" w:cstheme="majorHAnsi"/>
          <w:color w:val="000000" w:themeColor="text1"/>
          <w:sz w:val="20"/>
          <w:szCs w:val="20"/>
        </w:rPr>
        <w:t>(AVSF).</w:t>
      </w:r>
      <w:r w:rsidR="007B6C15" w:rsidRPr="005516CD">
        <w:rPr>
          <w:rFonts w:asciiTheme="majorHAnsi" w:hAnsiTheme="majorHAnsi" w:cstheme="majorHAnsi"/>
          <w:color w:val="000000" w:themeColor="text1"/>
          <w:sz w:val="20"/>
          <w:szCs w:val="20"/>
        </w:rPr>
        <w:t xml:space="preserve"> </w:t>
      </w:r>
    </w:p>
    <w:p w14:paraId="5B57435C" w14:textId="77777777" w:rsidR="006E1B63" w:rsidRPr="005516CD" w:rsidRDefault="007B6C15" w:rsidP="006B27F4">
      <w:pPr>
        <w:numPr>
          <w:ilvl w:val="0"/>
          <w:numId w:val="87"/>
        </w:numPr>
        <w:tabs>
          <w:tab w:val="clear" w:pos="720"/>
          <w:tab w:val="num" w:pos="-284"/>
          <w:tab w:val="left" w:pos="426"/>
        </w:tabs>
        <w:spacing w:after="120"/>
        <w:ind w:left="0" w:right="96" w:firstLine="0"/>
        <w:jc w:val="both"/>
        <w:rPr>
          <w:rStyle w:val="Hyperlink2"/>
          <w:rFonts w:asciiTheme="majorHAnsi" w:hAnsiTheme="majorHAnsi" w:cstheme="majorHAnsi"/>
          <w:b/>
          <w:i/>
          <w:lang w:val="en-US"/>
        </w:rPr>
      </w:pPr>
      <w:r w:rsidRPr="005516CD">
        <w:rPr>
          <w:rFonts w:asciiTheme="majorHAnsi" w:hAnsiTheme="majorHAnsi" w:cstheme="majorHAnsi"/>
          <w:color w:val="000000" w:themeColor="text1"/>
          <w:sz w:val="20"/>
          <w:szCs w:val="20"/>
        </w:rPr>
        <w:t>These actions have not however yet been sufficient to resolve the challenges affecting the sector, and therefore the livelihood and food security needs of producer families. There is little information on cacao production systems in the region; the plantations are ageing; c</w:t>
      </w:r>
      <w:r w:rsidR="00A504BA" w:rsidRPr="005516CD">
        <w:rPr>
          <w:rFonts w:asciiTheme="majorHAnsi" w:hAnsiTheme="majorHAnsi" w:cstheme="majorHAnsi"/>
          <w:color w:val="000000" w:themeColor="text1"/>
          <w:sz w:val="20"/>
          <w:szCs w:val="20"/>
        </w:rPr>
        <w:t>o</w:t>
      </w:r>
      <w:r w:rsidRPr="005516CD">
        <w:rPr>
          <w:rFonts w:asciiTheme="majorHAnsi" w:hAnsiTheme="majorHAnsi" w:cstheme="majorHAnsi"/>
          <w:color w:val="000000" w:themeColor="text1"/>
          <w:sz w:val="20"/>
          <w:szCs w:val="20"/>
        </w:rPr>
        <w:t>c</w:t>
      </w:r>
      <w:r w:rsidR="00A504BA" w:rsidRPr="005516CD">
        <w:rPr>
          <w:rFonts w:asciiTheme="majorHAnsi" w:hAnsiTheme="majorHAnsi" w:cstheme="majorHAnsi"/>
          <w:color w:val="000000" w:themeColor="text1"/>
          <w:sz w:val="20"/>
          <w:szCs w:val="20"/>
        </w:rPr>
        <w:t>o</w:t>
      </w:r>
      <w:r w:rsidRPr="005516CD">
        <w:rPr>
          <w:rFonts w:asciiTheme="majorHAnsi" w:hAnsiTheme="majorHAnsi" w:cstheme="majorHAnsi"/>
          <w:color w:val="000000" w:themeColor="text1"/>
          <w:sz w:val="20"/>
          <w:szCs w:val="20"/>
        </w:rPr>
        <w:t xml:space="preserve">a is </w:t>
      </w:r>
      <w:r w:rsidR="0075519F" w:rsidRPr="005516CD">
        <w:rPr>
          <w:rFonts w:asciiTheme="majorHAnsi" w:hAnsiTheme="majorHAnsi" w:cstheme="majorHAnsi"/>
          <w:color w:val="000000" w:themeColor="text1"/>
          <w:sz w:val="20"/>
          <w:szCs w:val="20"/>
        </w:rPr>
        <w:t xml:space="preserve">on the whole </w:t>
      </w:r>
      <w:r w:rsidRPr="005516CD">
        <w:rPr>
          <w:rFonts w:asciiTheme="majorHAnsi" w:hAnsiTheme="majorHAnsi" w:cstheme="majorHAnsi"/>
          <w:color w:val="000000" w:themeColor="text1"/>
          <w:sz w:val="20"/>
          <w:szCs w:val="20"/>
        </w:rPr>
        <w:t xml:space="preserve">not fermented, as required by export markets; and the cooperatives are not sufficiently structured or able to organise </w:t>
      </w:r>
      <w:r w:rsidR="00A504BA" w:rsidRPr="005516CD">
        <w:rPr>
          <w:rFonts w:asciiTheme="majorHAnsi" w:hAnsiTheme="majorHAnsi" w:cstheme="majorHAnsi"/>
          <w:color w:val="000000" w:themeColor="text1"/>
          <w:sz w:val="20"/>
          <w:szCs w:val="20"/>
        </w:rPr>
        <w:t>cocoa</w:t>
      </w:r>
      <w:r w:rsidRPr="005516CD">
        <w:rPr>
          <w:rFonts w:asciiTheme="majorHAnsi" w:hAnsiTheme="majorHAnsi" w:cstheme="majorHAnsi"/>
          <w:color w:val="000000" w:themeColor="text1"/>
          <w:sz w:val="20"/>
          <w:szCs w:val="20"/>
        </w:rPr>
        <w:t xml:space="preserve"> marketing effectively.</w:t>
      </w:r>
    </w:p>
    <w:p w14:paraId="3DC00773" w14:textId="77777777" w:rsidR="001771FE" w:rsidRPr="005516CD" w:rsidRDefault="00045B04" w:rsidP="007B146B">
      <w:pPr>
        <w:pStyle w:val="Heading2"/>
        <w:spacing w:after="120"/>
        <w:ind w:left="0"/>
        <w:rPr>
          <w:rStyle w:val="None"/>
          <w:rFonts w:ascii="Calibri" w:eastAsia="Calibri" w:hAnsi="Calibri" w:cs="Calibri"/>
          <w:u w:val="single"/>
        </w:rPr>
      </w:pPr>
      <w:bookmarkStart w:id="29" w:name="_Toc8933077"/>
      <w:r w:rsidRPr="005516CD">
        <w:rPr>
          <w:rStyle w:val="None"/>
          <w:rFonts w:ascii="Calibri" w:eastAsia="Calibri" w:hAnsi="Calibri" w:cs="Calibri"/>
          <w:u w:val="single"/>
          <w:lang w:val="en-US"/>
        </w:rPr>
        <w:t>Barriers</w:t>
      </w:r>
      <w:bookmarkEnd w:id="29"/>
    </w:p>
    <w:p w14:paraId="0AEA9741" w14:textId="77777777" w:rsidR="00086BE8" w:rsidRPr="005516CD" w:rsidRDefault="00086BE8"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color w:val="000000"/>
          <w:sz w:val="20"/>
          <w:szCs w:val="20"/>
        </w:rPr>
        <w:t xml:space="preserve">The principal barriers to </w:t>
      </w:r>
      <w:r w:rsidR="002A4F2F" w:rsidRPr="005516CD">
        <w:rPr>
          <w:rFonts w:asciiTheme="majorHAnsi" w:hAnsiTheme="majorHAnsi" w:cstheme="majorHAnsi"/>
          <w:color w:val="000000"/>
          <w:sz w:val="20"/>
          <w:szCs w:val="20"/>
        </w:rPr>
        <w:t>resolving the threats described above are as follows:</w:t>
      </w:r>
    </w:p>
    <w:p w14:paraId="64B94F3C" w14:textId="77777777" w:rsidR="008D4145" w:rsidRPr="005516CD" w:rsidRDefault="008D4145" w:rsidP="007B146B">
      <w:pPr>
        <w:keepNext/>
        <w:tabs>
          <w:tab w:val="left" w:pos="426"/>
        </w:tabs>
        <w:spacing w:after="120"/>
        <w:ind w:right="96"/>
        <w:jc w:val="both"/>
        <w:rPr>
          <w:rFonts w:asciiTheme="majorHAnsi" w:eastAsia="Calibri" w:hAnsiTheme="majorHAnsi" w:cstheme="majorHAnsi"/>
          <w:b/>
          <w:i/>
          <w:sz w:val="20"/>
          <w:szCs w:val="20"/>
        </w:rPr>
      </w:pPr>
      <w:r w:rsidRPr="005516CD">
        <w:rPr>
          <w:rFonts w:asciiTheme="majorHAnsi" w:eastAsia="Calibri" w:hAnsiTheme="majorHAnsi" w:cstheme="majorHAnsi"/>
          <w:b/>
          <w:i/>
          <w:sz w:val="20"/>
          <w:szCs w:val="20"/>
        </w:rPr>
        <w:t>1: Lack of an integrated landscape-scale vision in relation to the management and conservation of mountain massifs of high biodiversity value</w:t>
      </w:r>
    </w:p>
    <w:p w14:paraId="34219A99" w14:textId="77777777" w:rsidR="008D4145" w:rsidRPr="005516CD" w:rsidRDefault="008D41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b/>
          <w:color w:val="000000"/>
          <w:sz w:val="20"/>
          <w:szCs w:val="20"/>
        </w:rPr>
        <w:t>Inadequate incorporation of considerations of BD and landscape stabilization in spatial zoning and development plans:</w:t>
      </w:r>
      <w:r w:rsidRPr="005516CD">
        <w:rPr>
          <w:rFonts w:asciiTheme="majorHAnsi" w:hAnsiTheme="majorHAnsi" w:cstheme="majorHAnsi"/>
          <w:color w:val="000000"/>
          <w:sz w:val="20"/>
          <w:szCs w:val="20"/>
        </w:rPr>
        <w:t xml:space="preserve"> </w:t>
      </w:r>
      <w:r w:rsidRPr="005516CD">
        <w:rPr>
          <w:rFonts w:asciiTheme="majorHAnsi" w:hAnsiTheme="majorHAnsi" w:cstheme="majorHAnsi"/>
          <w:sz w:val="20"/>
          <w:szCs w:val="20"/>
        </w:rPr>
        <w:t>typically</w:t>
      </w:r>
      <w:r w:rsidRPr="005516CD">
        <w:rPr>
          <w:rFonts w:asciiTheme="majorHAnsi" w:hAnsiTheme="majorHAnsi" w:cstheme="majorHAnsi"/>
          <w:color w:val="000000"/>
          <w:sz w:val="20"/>
          <w:szCs w:val="20"/>
        </w:rPr>
        <w:t xml:space="preserve"> land use planning (including regional and local spatial zoning and development plans) does not take adequately into account the locations, nature and magnitude of environmental values, biological connectivity, threats, the implications of climate change or the livelihood support needs of local communities.</w:t>
      </w:r>
    </w:p>
    <w:p w14:paraId="0834A558" w14:textId="3A6A6226" w:rsidR="008D4145" w:rsidRPr="005516CD" w:rsidRDefault="008D41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color w:val="000000"/>
          <w:sz w:val="20"/>
          <w:szCs w:val="20"/>
        </w:rPr>
        <w:t>I</w:t>
      </w:r>
      <w:r w:rsidRPr="005516CD">
        <w:rPr>
          <w:rFonts w:asciiTheme="majorHAnsi" w:hAnsiTheme="majorHAnsi" w:cstheme="majorHAnsi"/>
          <w:b/>
          <w:color w:val="000000"/>
          <w:sz w:val="20"/>
          <w:szCs w:val="20"/>
        </w:rPr>
        <w:t>nadequate dialogue and coordination between stakeholders influencing landscape conditions and dynamics:</w:t>
      </w:r>
      <w:r w:rsidRPr="005516CD">
        <w:rPr>
          <w:rFonts w:asciiTheme="majorHAnsi" w:hAnsiTheme="majorHAnsi" w:cstheme="majorHAnsi"/>
          <w:color w:val="000000"/>
          <w:sz w:val="20"/>
          <w:szCs w:val="20"/>
        </w:rPr>
        <w:t xml:space="preserve"> Despite the existence of interinstitutional and inter-sector entities such as the National Environment Council (CONAE), the Inter-Ministerial Commission on the Environment (CIME) and the Inter-Ministerial Committee on Territorial Land Use Planning (CIAT), in the practice there is a very limited degree of dialogue and coordination, especially regarding the interactions between the agriculture and environment sectors (presided by </w:t>
      </w:r>
      <w:proofErr w:type="spellStart"/>
      <w:r w:rsidR="009241AB">
        <w:rPr>
          <w:rFonts w:asciiTheme="majorHAnsi" w:hAnsiTheme="majorHAnsi" w:cstheme="majorHAnsi"/>
          <w:color w:val="000000"/>
          <w:sz w:val="20"/>
          <w:szCs w:val="20"/>
        </w:rPr>
        <w:t>MoE</w:t>
      </w:r>
      <w:proofErr w:type="spellEnd"/>
      <w:r w:rsidRPr="005516CD">
        <w:rPr>
          <w:rFonts w:asciiTheme="majorHAnsi" w:hAnsiTheme="majorHAnsi" w:cstheme="majorHAnsi"/>
          <w:color w:val="000000"/>
          <w:sz w:val="20"/>
          <w:szCs w:val="20"/>
        </w:rPr>
        <w:t xml:space="preserve"> and MARNDR respectively).</w:t>
      </w:r>
    </w:p>
    <w:p w14:paraId="66B7D890" w14:textId="77777777" w:rsidR="008D4145" w:rsidRPr="005516CD" w:rsidRDefault="008D41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b/>
          <w:color w:val="000000"/>
          <w:sz w:val="20"/>
          <w:szCs w:val="20"/>
        </w:rPr>
        <w:t>Deficient conditions of governance:</w:t>
      </w:r>
      <w:r w:rsidRPr="005516CD">
        <w:rPr>
          <w:rFonts w:asciiTheme="majorHAnsi" w:hAnsiTheme="majorHAnsi" w:cstheme="majorHAnsi"/>
          <w:color w:val="000000"/>
          <w:sz w:val="20"/>
          <w:szCs w:val="20"/>
        </w:rPr>
        <w:t xml:space="preserve"> </w:t>
      </w:r>
      <w:proofErr w:type="gramStart"/>
      <w:r w:rsidRPr="005516CD">
        <w:rPr>
          <w:rFonts w:asciiTheme="majorHAnsi" w:hAnsiTheme="majorHAnsi" w:cstheme="majorHAnsi"/>
          <w:color w:val="000000"/>
          <w:sz w:val="20"/>
          <w:szCs w:val="20"/>
        </w:rPr>
        <w:t>the</w:t>
      </w:r>
      <w:proofErr w:type="gramEnd"/>
      <w:r w:rsidRPr="005516CD">
        <w:rPr>
          <w:rFonts w:asciiTheme="majorHAnsi" w:hAnsiTheme="majorHAnsi" w:cstheme="majorHAnsi"/>
          <w:color w:val="000000"/>
          <w:sz w:val="20"/>
          <w:szCs w:val="20"/>
        </w:rPr>
        <w:t xml:space="preserve"> Ministry of Agriculture, Natural Resources and Rural Development (MARDNR) which is in charge of the </w:t>
      </w:r>
      <w:r w:rsidRPr="005516CD">
        <w:rPr>
          <w:rFonts w:asciiTheme="majorHAnsi" w:hAnsiTheme="majorHAnsi" w:cstheme="majorHAnsi"/>
          <w:sz w:val="20"/>
          <w:szCs w:val="20"/>
        </w:rPr>
        <w:t>agricultural</w:t>
      </w:r>
      <w:r w:rsidRPr="005516CD">
        <w:rPr>
          <w:rFonts w:asciiTheme="majorHAnsi" w:hAnsiTheme="majorHAnsi" w:cstheme="majorHAnsi"/>
          <w:color w:val="000000"/>
          <w:sz w:val="20"/>
          <w:szCs w:val="20"/>
        </w:rPr>
        <w:t>, forestry and fisheries sectors, has severely limited financial, technical and human resources and as a consequence virtually no field presence for the promotion and enforcement of the regulatory framework.</w:t>
      </w:r>
    </w:p>
    <w:p w14:paraId="35FC03F9" w14:textId="77777777" w:rsidR="008D4145" w:rsidRPr="005516CD" w:rsidRDefault="008D41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b/>
          <w:color w:val="000000"/>
          <w:sz w:val="20"/>
          <w:szCs w:val="20"/>
        </w:rPr>
        <w:t>Limited development of social capital:</w:t>
      </w:r>
      <w:r w:rsidRPr="005516CD">
        <w:rPr>
          <w:rFonts w:asciiTheme="majorHAnsi" w:hAnsiTheme="majorHAnsi" w:cstheme="majorHAnsi"/>
          <w:color w:val="000000"/>
          <w:sz w:val="20"/>
          <w:szCs w:val="20"/>
        </w:rPr>
        <w:t xml:space="preserve"> poor levels of development of social capital resources (e.g. for example, kinship obligations, traditional rotating labour and credit groups, and peasant organizations) limit the willingness of smallholders to </w:t>
      </w:r>
      <w:r w:rsidRPr="005516CD">
        <w:rPr>
          <w:rFonts w:asciiTheme="majorHAnsi" w:hAnsiTheme="majorHAnsi" w:cstheme="majorHAnsi"/>
          <w:sz w:val="20"/>
          <w:szCs w:val="20"/>
        </w:rPr>
        <w:t>adopt</w:t>
      </w:r>
      <w:r w:rsidRPr="005516CD">
        <w:rPr>
          <w:rFonts w:asciiTheme="majorHAnsi" w:hAnsiTheme="majorHAnsi" w:cstheme="majorHAnsi"/>
          <w:color w:val="000000"/>
          <w:sz w:val="20"/>
          <w:szCs w:val="20"/>
        </w:rPr>
        <w:t xml:space="preserve"> agricultural technologies, including agroforestry and tree planting . When these limiting factors are adequately addressed, peasants may be willing to adopt technologies with long time horizons such as tree planting even on short-term tenures including leasehold and sharecropping, and under conditions of complicated watershed management regimes in degraded watersheds with multiple ownership .</w:t>
      </w:r>
    </w:p>
    <w:p w14:paraId="2031445F" w14:textId="77777777" w:rsidR="008D4145" w:rsidRPr="005516CD" w:rsidRDefault="008D414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sz w:val="20"/>
          <w:szCs w:val="20"/>
        </w:rPr>
      </w:pPr>
      <w:r w:rsidRPr="005516CD">
        <w:rPr>
          <w:rFonts w:asciiTheme="majorHAnsi" w:hAnsiTheme="majorHAnsi" w:cstheme="majorHAnsi"/>
          <w:b/>
          <w:color w:val="000000"/>
          <w:sz w:val="20"/>
          <w:szCs w:val="20"/>
        </w:rPr>
        <w:t>Market structures and conditions do not favour environmentally-sustainable forms of production:</w:t>
      </w:r>
      <w:r w:rsidRPr="005516CD">
        <w:rPr>
          <w:rFonts w:asciiTheme="majorHAnsi" w:hAnsiTheme="majorHAnsi" w:cstheme="majorHAnsi"/>
          <w:color w:val="000000"/>
          <w:sz w:val="20"/>
          <w:szCs w:val="20"/>
        </w:rPr>
        <w:t xml:space="preserve"> linkages between producers and markets with potential to reward environmentally-sustainable forms of production area weak; in the </w:t>
      </w:r>
      <w:r w:rsidRPr="005516CD">
        <w:rPr>
          <w:rFonts w:asciiTheme="majorHAnsi" w:hAnsiTheme="majorHAnsi" w:cstheme="majorHAnsi"/>
          <w:sz w:val="20"/>
          <w:szCs w:val="20"/>
        </w:rPr>
        <w:t>case</w:t>
      </w:r>
      <w:r w:rsidRPr="005516CD">
        <w:rPr>
          <w:rFonts w:asciiTheme="majorHAnsi" w:hAnsiTheme="majorHAnsi" w:cstheme="majorHAnsi"/>
          <w:color w:val="000000"/>
          <w:sz w:val="20"/>
          <w:szCs w:val="20"/>
        </w:rPr>
        <w:t xml:space="preserve"> of coffee, the market niche for environmentally-sustainable products is poorly developed and there is little motivation to export (thereby potentially gaining access to overseas markets with sustainability criteria) given the high level of national demand and the more favourable payment conditions that are available domestically.</w:t>
      </w:r>
    </w:p>
    <w:p w14:paraId="1D18ACFB" w14:textId="77777777" w:rsidR="008D4145" w:rsidRPr="005516CD" w:rsidRDefault="008D4145" w:rsidP="007B146B">
      <w:pPr>
        <w:tabs>
          <w:tab w:val="left" w:pos="426"/>
        </w:tabs>
        <w:spacing w:after="120"/>
        <w:ind w:right="96"/>
        <w:jc w:val="both"/>
        <w:rPr>
          <w:rFonts w:asciiTheme="majorHAnsi" w:eastAsia="Calibri" w:hAnsiTheme="majorHAnsi" w:cstheme="majorHAnsi"/>
          <w:b/>
          <w:i/>
          <w:sz w:val="20"/>
          <w:szCs w:val="20"/>
        </w:rPr>
      </w:pPr>
      <w:r w:rsidRPr="005516CD">
        <w:rPr>
          <w:rFonts w:asciiTheme="majorHAnsi" w:eastAsia="Calibri" w:hAnsiTheme="majorHAnsi" w:cstheme="majorHAnsi"/>
          <w:b/>
          <w:i/>
          <w:sz w:val="20"/>
          <w:szCs w:val="20"/>
        </w:rPr>
        <w:t>2: Inadequate capacities and conditions in farming communities for the sustainable application of tree-based production systems that contribute to the generation of multiple environmental benefits</w:t>
      </w:r>
    </w:p>
    <w:p w14:paraId="56B0E310" w14:textId="77777777" w:rsidR="008D4145" w:rsidRPr="005516CD" w:rsidRDefault="008D4145"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hAnsiTheme="majorHAnsi" w:cstheme="majorHAnsi"/>
          <w:b/>
          <w:color w:val="000000"/>
          <w:sz w:val="20"/>
          <w:szCs w:val="20"/>
        </w:rPr>
        <w:t>Inadequate technical and financial capacities for investing in tree-based production systems</w:t>
      </w:r>
      <w:r w:rsidRPr="005516CD">
        <w:rPr>
          <w:rStyle w:val="FootnoteReference"/>
          <w:rFonts w:asciiTheme="majorHAnsi" w:hAnsiTheme="majorHAnsi" w:cstheme="majorHAnsi"/>
          <w:b/>
          <w:sz w:val="20"/>
          <w:szCs w:val="20"/>
        </w:rPr>
        <w:footnoteReference w:id="37"/>
      </w:r>
      <w:r w:rsidRPr="005516CD">
        <w:rPr>
          <w:rFonts w:asciiTheme="majorHAnsi" w:eastAsia="Calibri" w:hAnsiTheme="majorHAnsi" w:cstheme="majorHAnsi"/>
          <w:sz w:val="20"/>
          <w:szCs w:val="20"/>
        </w:rPr>
        <w:t xml:space="preserve">: management problems, such as the high incidence of coffee pests and diseases (especially shoot borers and rusts) and soil erosion, are largely a function of low access by farmers to financial capital and to effective technical assistance: agricultural </w:t>
      </w:r>
      <w:r w:rsidRPr="005516CD">
        <w:rPr>
          <w:rFonts w:asciiTheme="majorHAnsi" w:hAnsiTheme="majorHAnsi" w:cstheme="majorHAnsi"/>
          <w:sz w:val="20"/>
          <w:szCs w:val="20"/>
        </w:rPr>
        <w:t>research</w:t>
      </w:r>
      <w:r w:rsidRPr="005516CD">
        <w:rPr>
          <w:rFonts w:asciiTheme="majorHAnsi" w:eastAsia="Calibri" w:hAnsiTheme="majorHAnsi" w:cstheme="majorHAnsi"/>
          <w:sz w:val="20"/>
          <w:szCs w:val="20"/>
        </w:rPr>
        <w:t xml:space="preserve"> </w:t>
      </w:r>
      <w:r w:rsidRPr="005516CD">
        <w:rPr>
          <w:rFonts w:asciiTheme="majorHAnsi" w:hAnsiTheme="majorHAnsi" w:cstheme="majorHAnsi"/>
          <w:sz w:val="20"/>
          <w:szCs w:val="20"/>
        </w:rPr>
        <w:t>and</w:t>
      </w:r>
      <w:r w:rsidRPr="005516CD">
        <w:rPr>
          <w:rFonts w:asciiTheme="majorHAnsi" w:eastAsia="Calibri" w:hAnsiTheme="majorHAnsi" w:cstheme="majorHAnsi"/>
          <w:sz w:val="20"/>
          <w:szCs w:val="20"/>
        </w:rPr>
        <w:t xml:space="preserve"> extension services are available to only a small fraction of households. The key constraint to wider adoption and continued extension services is the absence of a permanent institutional base for extension</w:t>
      </w:r>
      <w:r w:rsidRPr="005516CD">
        <w:rPr>
          <w:rStyle w:val="FootnoteReference"/>
          <w:rFonts w:asciiTheme="majorHAnsi" w:eastAsia="Calibri" w:hAnsiTheme="majorHAnsi" w:cstheme="majorHAnsi"/>
          <w:sz w:val="20"/>
          <w:szCs w:val="20"/>
        </w:rPr>
        <w:footnoteReference w:id="38"/>
      </w:r>
      <w:r w:rsidRPr="005516CD">
        <w:rPr>
          <w:rFonts w:asciiTheme="majorHAnsi" w:eastAsia="Calibri" w:hAnsiTheme="majorHAnsi" w:cstheme="majorHAnsi"/>
          <w:sz w:val="20"/>
          <w:szCs w:val="20"/>
        </w:rPr>
        <w:t>. With cocoa, the situation is generally more positive, but there is still limited incorporation in crop management systems of provisions for resilience to the impacts of climate change.</w:t>
      </w:r>
    </w:p>
    <w:p w14:paraId="5B03BA66" w14:textId="77777777" w:rsidR="008D4145" w:rsidRPr="005516CD" w:rsidRDefault="008D4145"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hAnsiTheme="majorHAnsi" w:cstheme="majorHAnsi"/>
          <w:b/>
          <w:color w:val="000000"/>
          <w:sz w:val="20"/>
          <w:szCs w:val="20"/>
        </w:rPr>
        <w:t>Inadequate capacities for processing:</w:t>
      </w:r>
      <w:r w:rsidRPr="005516CD">
        <w:rPr>
          <w:rFonts w:asciiTheme="majorHAnsi" w:hAnsiTheme="majorHAnsi" w:cstheme="majorHAnsi"/>
          <w:color w:val="000000"/>
          <w:sz w:val="20"/>
          <w:szCs w:val="20"/>
        </w:rPr>
        <w:t xml:space="preserve"> i</w:t>
      </w:r>
      <w:r w:rsidRPr="005516CD">
        <w:rPr>
          <w:rFonts w:asciiTheme="majorHAnsi" w:eastAsia="Calibri" w:hAnsiTheme="majorHAnsi" w:cstheme="majorHAnsi"/>
          <w:sz w:val="20"/>
          <w:szCs w:val="20"/>
        </w:rPr>
        <w:t xml:space="preserve">mprovement of quality in the processing stage of the value chain, and therefore product value and crop profitability, is </w:t>
      </w:r>
      <w:r w:rsidRPr="005516CD">
        <w:rPr>
          <w:rFonts w:asciiTheme="majorHAnsi" w:hAnsiTheme="majorHAnsi" w:cstheme="majorHAnsi"/>
          <w:sz w:val="20"/>
          <w:szCs w:val="20"/>
        </w:rPr>
        <w:t>hindered</w:t>
      </w:r>
      <w:r w:rsidRPr="005516CD">
        <w:rPr>
          <w:rFonts w:asciiTheme="majorHAnsi" w:eastAsia="Calibri" w:hAnsiTheme="majorHAnsi" w:cstheme="majorHAnsi"/>
          <w:sz w:val="20"/>
          <w:szCs w:val="20"/>
        </w:rPr>
        <w:t xml:space="preserve"> by the scarcity of infrastructure and local skill for processing</w:t>
      </w:r>
      <w:r w:rsidR="003801B3" w:rsidRPr="005516CD">
        <w:rPr>
          <w:rFonts w:asciiTheme="majorHAnsi" w:eastAsia="Calibri" w:hAnsiTheme="majorHAnsi" w:cstheme="majorHAnsi"/>
          <w:sz w:val="20"/>
          <w:szCs w:val="20"/>
        </w:rPr>
        <w:t xml:space="preserve"> and quality control</w:t>
      </w:r>
      <w:r w:rsidRPr="005516CD">
        <w:rPr>
          <w:rFonts w:asciiTheme="majorHAnsi" w:eastAsia="Calibri" w:hAnsiTheme="majorHAnsi" w:cstheme="majorHAnsi"/>
          <w:sz w:val="20"/>
          <w:szCs w:val="20"/>
        </w:rPr>
        <w:t>. Also lacking are quality control facilities in the form of cupping laboratories.</w:t>
      </w:r>
    </w:p>
    <w:p w14:paraId="3912AFE0" w14:textId="77777777" w:rsidR="008D4145" w:rsidRPr="005516CD" w:rsidRDefault="008D4145"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b/>
          <w:sz w:val="20"/>
          <w:szCs w:val="20"/>
        </w:rPr>
        <w:t xml:space="preserve">Weak business </w:t>
      </w:r>
      <w:r w:rsidRPr="005516CD">
        <w:rPr>
          <w:rFonts w:asciiTheme="majorHAnsi" w:hAnsiTheme="majorHAnsi" w:cstheme="majorHAnsi"/>
          <w:b/>
          <w:color w:val="000000"/>
          <w:sz w:val="20"/>
          <w:szCs w:val="20"/>
        </w:rPr>
        <w:t>management</w:t>
      </w:r>
      <w:r w:rsidRPr="005516CD">
        <w:rPr>
          <w:rFonts w:asciiTheme="majorHAnsi" w:eastAsia="Calibri" w:hAnsiTheme="majorHAnsi" w:cstheme="majorHAnsi"/>
          <w:b/>
          <w:sz w:val="20"/>
          <w:szCs w:val="20"/>
        </w:rPr>
        <w:t xml:space="preserve"> and marketing skills among producers:</w:t>
      </w:r>
      <w:r w:rsidRPr="005516CD">
        <w:rPr>
          <w:rFonts w:asciiTheme="majorHAnsi" w:eastAsia="Calibri" w:hAnsiTheme="majorHAnsi" w:cstheme="majorHAnsi"/>
          <w:sz w:val="20"/>
          <w:szCs w:val="20"/>
        </w:rPr>
        <w:t xml:space="preserve"> regional coffee producer networks and grassroots organizations exist, but there is weak vertical integration and cooperation along the value chain, especially between private sector companies involved in retail, processing and export, and coffee producers and their organizations. This limits opportunities for private sector actors to invest in producers in order to protect their supply base, for example through the provision of technical assistance or financing facilities.</w:t>
      </w:r>
    </w:p>
    <w:p w14:paraId="1CF1EF88" w14:textId="77777777" w:rsidR="008D4145" w:rsidRPr="005516CD" w:rsidRDefault="008D4145"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b/>
          <w:sz w:val="20"/>
          <w:szCs w:val="20"/>
        </w:rPr>
        <w:t>Limited recognition and incorporation of traditional knowledge on native tree species and their management:</w:t>
      </w:r>
      <w:r w:rsidRPr="005516CD">
        <w:rPr>
          <w:rFonts w:asciiTheme="majorHAnsi" w:eastAsia="Calibri" w:hAnsiTheme="majorHAnsi" w:cstheme="majorHAnsi"/>
          <w:sz w:val="20"/>
          <w:szCs w:val="20"/>
        </w:rPr>
        <w:t xml:space="preserve"> traditional knowledge has been eroded and failed to adapt to changing demographic, productive and climatic conditions, and is rarely taken into account in resource management interventions and extension programmes, which tend to focus </w:t>
      </w:r>
      <w:r w:rsidRPr="005516CD">
        <w:rPr>
          <w:rFonts w:asciiTheme="majorHAnsi" w:hAnsiTheme="majorHAnsi" w:cstheme="majorHAnsi"/>
          <w:sz w:val="20"/>
          <w:szCs w:val="20"/>
        </w:rPr>
        <w:t>predominantly</w:t>
      </w:r>
      <w:r w:rsidRPr="005516CD">
        <w:rPr>
          <w:rFonts w:asciiTheme="majorHAnsi" w:eastAsia="Calibri" w:hAnsiTheme="majorHAnsi" w:cstheme="majorHAnsi"/>
          <w:sz w:val="20"/>
          <w:szCs w:val="20"/>
        </w:rPr>
        <w:t xml:space="preserve"> on exogenous approaches that may not be well adapted to local needs, conditions and cultural norms. These traditional systems include farmer-assisted natural regeneration and tree-rich home gardens.</w:t>
      </w:r>
    </w:p>
    <w:p w14:paraId="087EEF01" w14:textId="77777777" w:rsidR="008D4145" w:rsidRPr="005516CD" w:rsidRDefault="008D4145"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b/>
          <w:sz w:val="20"/>
          <w:szCs w:val="20"/>
        </w:rPr>
        <w:t>The management of perennial-based crop systems does not reflect BD conservation needs:</w:t>
      </w:r>
      <w:r w:rsidRPr="005516CD">
        <w:rPr>
          <w:rFonts w:asciiTheme="majorHAnsi" w:eastAsia="Calibri" w:hAnsiTheme="majorHAnsi" w:cstheme="majorHAnsi"/>
          <w:sz w:val="20"/>
          <w:szCs w:val="20"/>
        </w:rPr>
        <w:t xml:space="preserve"> rustic low input management systems tend to be more favourable for BD than alternative land uses, but the specific ecological requirements of high </w:t>
      </w:r>
      <w:r w:rsidRPr="005516CD">
        <w:rPr>
          <w:rFonts w:asciiTheme="majorHAnsi" w:hAnsiTheme="majorHAnsi" w:cstheme="majorHAnsi"/>
          <w:sz w:val="20"/>
          <w:szCs w:val="20"/>
        </w:rPr>
        <w:t>conservation</w:t>
      </w:r>
      <w:r w:rsidRPr="005516CD">
        <w:rPr>
          <w:rFonts w:asciiTheme="majorHAnsi" w:eastAsia="Calibri" w:hAnsiTheme="majorHAnsi" w:cstheme="majorHAnsi"/>
          <w:sz w:val="20"/>
          <w:szCs w:val="20"/>
        </w:rPr>
        <w:t xml:space="preserve"> priority species are not necessarily met, such as the existence of types of trees with fruit and flowers preferred for food by birds and bats, structural diversity of shade systems to favour small mammals, microclimate to favour amphibians, or spatial configurations to favour cross-landscape movement between ecosystem remnants.</w:t>
      </w:r>
    </w:p>
    <w:p w14:paraId="08A3AE7E" w14:textId="77777777" w:rsidR="008D4145" w:rsidRPr="005516CD" w:rsidRDefault="008D4145" w:rsidP="007B146B">
      <w:pPr>
        <w:tabs>
          <w:tab w:val="left" w:pos="426"/>
        </w:tabs>
        <w:spacing w:after="120"/>
        <w:ind w:right="96"/>
        <w:jc w:val="both"/>
        <w:rPr>
          <w:rFonts w:asciiTheme="majorHAnsi" w:eastAsia="Calibri" w:hAnsiTheme="majorHAnsi" w:cstheme="majorHAnsi"/>
          <w:i/>
          <w:sz w:val="20"/>
          <w:szCs w:val="20"/>
        </w:rPr>
      </w:pPr>
      <w:r w:rsidRPr="005516CD">
        <w:rPr>
          <w:rFonts w:asciiTheme="majorHAnsi" w:eastAsia="Calibri" w:hAnsiTheme="majorHAnsi" w:cstheme="majorHAnsi"/>
          <w:b/>
          <w:i/>
          <w:sz w:val="20"/>
          <w:szCs w:val="20"/>
        </w:rPr>
        <w:t>3. Insufficient access to knowledge and information of relevance to sustainable land management and biodiversity conservation in production landscapes</w:t>
      </w:r>
      <w:r w:rsidRPr="005516CD">
        <w:rPr>
          <w:rFonts w:asciiTheme="majorHAnsi" w:eastAsia="Calibri" w:hAnsiTheme="majorHAnsi" w:cstheme="majorHAnsi"/>
          <w:i/>
          <w:sz w:val="20"/>
          <w:szCs w:val="20"/>
        </w:rPr>
        <w:t xml:space="preserve"> </w:t>
      </w:r>
    </w:p>
    <w:p w14:paraId="0A69C2F0" w14:textId="77777777" w:rsidR="001771FE" w:rsidRPr="005516CD" w:rsidRDefault="008D4145" w:rsidP="006B27F4">
      <w:pPr>
        <w:numPr>
          <w:ilvl w:val="0"/>
          <w:numId w:val="87"/>
        </w:numPr>
        <w:tabs>
          <w:tab w:val="clear" w:pos="720"/>
          <w:tab w:val="num" w:pos="-284"/>
          <w:tab w:val="left" w:pos="426"/>
        </w:tabs>
        <w:spacing w:after="120"/>
        <w:ind w:left="0" w:right="96" w:firstLine="0"/>
        <w:jc w:val="both"/>
      </w:pPr>
      <w:r w:rsidRPr="005516CD">
        <w:rPr>
          <w:rFonts w:asciiTheme="majorHAnsi" w:eastAsia="Calibri" w:hAnsiTheme="majorHAnsi" w:cstheme="majorHAnsi"/>
          <w:b/>
          <w:sz w:val="20"/>
          <w:szCs w:val="20"/>
        </w:rPr>
        <w:t>Knowledge is not adequately managed and disseminated to facilitate scaling up:</w:t>
      </w:r>
      <w:r w:rsidRPr="005516CD">
        <w:rPr>
          <w:rFonts w:asciiTheme="majorHAnsi" w:eastAsia="Calibri" w:hAnsiTheme="majorHAnsi" w:cstheme="majorHAnsi"/>
          <w:sz w:val="20"/>
          <w:szCs w:val="20"/>
        </w:rPr>
        <w:t xml:space="preserve"> gender issues are not adequately considered in initiatives related to environmental considerations in production sectors, and information on </w:t>
      </w:r>
      <w:r w:rsidRPr="005516CD">
        <w:rPr>
          <w:rFonts w:asciiTheme="majorHAnsi" w:hAnsiTheme="majorHAnsi" w:cstheme="majorHAnsi"/>
          <w:sz w:val="20"/>
          <w:szCs w:val="20"/>
        </w:rPr>
        <w:t>experiences</w:t>
      </w:r>
      <w:r w:rsidRPr="005516CD">
        <w:rPr>
          <w:rFonts w:asciiTheme="majorHAnsi" w:eastAsia="Calibri" w:hAnsiTheme="majorHAnsi" w:cstheme="majorHAnsi"/>
          <w:sz w:val="20"/>
          <w:szCs w:val="20"/>
        </w:rPr>
        <w:t xml:space="preserve"> (success and failures) and impacts is not routinely systematized and disseminated in such a way as to facilitate scaling up.</w:t>
      </w:r>
      <w:r w:rsidR="00045B04" w:rsidRPr="005516CD">
        <w:rPr>
          <w:rStyle w:val="None"/>
        </w:rPr>
        <w:br w:type="page"/>
      </w:r>
    </w:p>
    <w:p w14:paraId="16681648" w14:textId="77777777" w:rsidR="001771FE" w:rsidRPr="005516CD" w:rsidRDefault="00045B04" w:rsidP="003B2210">
      <w:pPr>
        <w:pStyle w:val="Heading2"/>
        <w:numPr>
          <w:ilvl w:val="0"/>
          <w:numId w:val="171"/>
        </w:numPr>
        <w:spacing w:after="120"/>
        <w:rPr>
          <w:rFonts w:ascii="Calibri" w:eastAsia="Calibri" w:hAnsi="Calibri" w:cs="Calibri"/>
          <w:caps/>
          <w:sz w:val="22"/>
          <w:lang w:val="en-US"/>
        </w:rPr>
      </w:pPr>
      <w:bookmarkStart w:id="30" w:name="_Toc8933078"/>
      <w:r w:rsidRPr="005516CD">
        <w:rPr>
          <w:rFonts w:ascii="Calibri" w:eastAsia="Calibri" w:hAnsi="Calibri" w:cs="Calibri"/>
          <w:caps/>
          <w:sz w:val="22"/>
          <w:lang w:val="en-US"/>
        </w:rPr>
        <w:t>Strategy</w:t>
      </w:r>
      <w:bookmarkEnd w:id="30"/>
      <w:r w:rsidRPr="005516CD">
        <w:rPr>
          <w:rFonts w:ascii="Calibri" w:eastAsia="Calibri" w:hAnsi="Calibri" w:cs="Calibri"/>
          <w:caps/>
          <w:sz w:val="22"/>
          <w:lang w:val="en-US"/>
        </w:rPr>
        <w:t xml:space="preserve"> </w:t>
      </w:r>
    </w:p>
    <w:p w14:paraId="322B7843" w14:textId="77777777" w:rsidR="001771FE" w:rsidRPr="005516CD" w:rsidRDefault="00045B04" w:rsidP="007B146B">
      <w:pPr>
        <w:pStyle w:val="Heading2"/>
        <w:spacing w:after="0"/>
        <w:ind w:left="0"/>
        <w:rPr>
          <w:rStyle w:val="None"/>
          <w:rFonts w:ascii="Calibri" w:eastAsia="Calibri" w:hAnsi="Calibri" w:cs="Calibri"/>
          <w:u w:val="single"/>
          <w:lang w:val="en-US"/>
        </w:rPr>
      </w:pPr>
      <w:bookmarkStart w:id="31" w:name="_Toc8933079"/>
      <w:r w:rsidRPr="005516CD">
        <w:rPr>
          <w:rStyle w:val="None"/>
          <w:rFonts w:ascii="Calibri" w:eastAsia="Calibri" w:hAnsi="Calibri" w:cs="Calibri"/>
          <w:u w:val="single"/>
          <w:lang w:val="en-US"/>
        </w:rPr>
        <w:t>Selected approach</w:t>
      </w:r>
      <w:bookmarkEnd w:id="31"/>
    </w:p>
    <w:p w14:paraId="48B16D58" w14:textId="77777777" w:rsidR="0009363C" w:rsidRPr="005516CD" w:rsidRDefault="0009363C"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2"/>
        </w:rPr>
      </w:pPr>
      <w:r w:rsidRPr="005516CD">
        <w:rPr>
          <w:rFonts w:asciiTheme="majorHAnsi" w:eastAsia="Calibri" w:hAnsiTheme="majorHAnsi" w:cstheme="majorHAnsi"/>
          <w:sz w:val="20"/>
          <w:szCs w:val="22"/>
        </w:rPr>
        <w:t xml:space="preserve">The </w:t>
      </w:r>
      <w:r w:rsidRPr="005516CD">
        <w:rPr>
          <w:rFonts w:asciiTheme="majorHAnsi" w:eastAsia="Calibri" w:hAnsiTheme="majorHAnsi" w:cstheme="majorHAnsi"/>
          <w:b/>
          <w:sz w:val="20"/>
          <w:szCs w:val="22"/>
        </w:rPr>
        <w:t>long-term solution</w:t>
      </w:r>
      <w:r w:rsidRPr="005516CD">
        <w:rPr>
          <w:rFonts w:asciiTheme="majorHAnsi" w:eastAsia="Calibri" w:hAnsiTheme="majorHAnsi" w:cstheme="majorHAnsi"/>
          <w:sz w:val="20"/>
          <w:szCs w:val="22"/>
        </w:rPr>
        <w:t xml:space="preserve"> is to create conditions and capacities in national, regional and local institutions, local communities and the private sector that will allow farmers to manage their lands in ways that generate multiple environmental benefits and </w:t>
      </w:r>
      <w:r w:rsidRPr="005516CD">
        <w:rPr>
          <w:rFonts w:asciiTheme="majorHAnsi" w:hAnsiTheme="majorHAnsi" w:cstheme="majorHAnsi"/>
          <w:color w:val="000000"/>
          <w:sz w:val="20"/>
          <w:szCs w:val="20"/>
        </w:rPr>
        <w:t>respond</w:t>
      </w:r>
      <w:r w:rsidRPr="005516CD">
        <w:rPr>
          <w:rFonts w:asciiTheme="majorHAnsi" w:eastAsia="Calibri" w:hAnsiTheme="majorHAnsi" w:cstheme="majorHAnsi"/>
          <w:sz w:val="20"/>
          <w:szCs w:val="22"/>
        </w:rPr>
        <w:t xml:space="preserve"> to landscape-wide social, productive and environmental dynamics, especially through the increased incorporation and improved management of woody perennials in diverse components of their farming systems. </w:t>
      </w:r>
    </w:p>
    <w:p w14:paraId="59BC9BFD" w14:textId="77777777" w:rsidR="00DD6A2B" w:rsidRPr="005516CD" w:rsidRDefault="00DD6A2B"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2"/>
        </w:rPr>
      </w:pPr>
      <w:r w:rsidRPr="005516CD">
        <w:rPr>
          <w:rFonts w:asciiTheme="majorHAnsi" w:eastAsia="Calibri" w:hAnsiTheme="majorHAnsi" w:cstheme="majorHAnsi"/>
          <w:sz w:val="20"/>
          <w:szCs w:val="22"/>
        </w:rPr>
        <w:t xml:space="preserve">The project will promote a landscape approach to </w:t>
      </w:r>
      <w:r w:rsidR="001D112E" w:rsidRPr="005516CD">
        <w:rPr>
          <w:rFonts w:asciiTheme="majorHAnsi" w:eastAsia="Calibri" w:hAnsiTheme="majorHAnsi" w:cstheme="majorHAnsi"/>
          <w:sz w:val="20"/>
          <w:szCs w:val="22"/>
        </w:rPr>
        <w:t xml:space="preserve">resource </w:t>
      </w:r>
      <w:r w:rsidRPr="005516CD">
        <w:rPr>
          <w:rFonts w:asciiTheme="majorHAnsi" w:eastAsia="Calibri" w:hAnsiTheme="majorHAnsi" w:cstheme="majorHAnsi"/>
          <w:sz w:val="20"/>
          <w:szCs w:val="22"/>
        </w:rPr>
        <w:t xml:space="preserve">management </w:t>
      </w:r>
      <w:r w:rsidR="001D112E" w:rsidRPr="005516CD">
        <w:rPr>
          <w:rFonts w:asciiTheme="majorHAnsi" w:eastAsia="Calibri" w:hAnsiTheme="majorHAnsi" w:cstheme="majorHAnsi"/>
          <w:sz w:val="20"/>
          <w:szCs w:val="22"/>
        </w:rPr>
        <w:t>in the target area</w:t>
      </w:r>
      <w:r w:rsidRPr="005516CD">
        <w:rPr>
          <w:rFonts w:asciiTheme="majorHAnsi" w:eastAsia="Calibri" w:hAnsiTheme="majorHAnsi" w:cstheme="majorHAnsi"/>
          <w:sz w:val="20"/>
          <w:szCs w:val="22"/>
        </w:rPr>
        <w:t>, leading to a situation in which:</w:t>
      </w:r>
    </w:p>
    <w:p w14:paraId="33B91CA4" w14:textId="77777777" w:rsidR="00DD6A2B" w:rsidRPr="005516CD" w:rsidRDefault="001D112E" w:rsidP="006B27F4">
      <w:pPr>
        <w:numPr>
          <w:ilvl w:val="0"/>
          <w:numId w:val="88"/>
        </w:numPr>
        <w:spacing w:after="120"/>
        <w:ind w:left="426" w:right="96"/>
        <w:jc w:val="both"/>
        <w:rPr>
          <w:rFonts w:asciiTheme="majorHAnsi" w:hAnsiTheme="majorHAnsi" w:cstheme="majorHAnsi"/>
          <w:sz w:val="20"/>
          <w:szCs w:val="20"/>
        </w:rPr>
      </w:pPr>
      <w:r w:rsidRPr="005516CD">
        <w:rPr>
          <w:rFonts w:asciiTheme="majorHAnsi" w:eastAsia="Calibri" w:hAnsiTheme="majorHAnsi" w:cstheme="majorHAnsi"/>
          <w:b/>
          <w:sz w:val="20"/>
          <w:szCs w:val="20"/>
        </w:rPr>
        <w:t xml:space="preserve">The landscape is </w:t>
      </w:r>
      <w:r w:rsidR="00DD6A2B" w:rsidRPr="005516CD">
        <w:rPr>
          <w:rFonts w:asciiTheme="majorHAnsi" w:eastAsia="Calibri" w:hAnsiTheme="majorHAnsi" w:cstheme="majorHAnsi"/>
          <w:b/>
          <w:sz w:val="20"/>
          <w:szCs w:val="20"/>
        </w:rPr>
        <w:t>composed of stable mosaics of land units</w:t>
      </w:r>
      <w:r w:rsidR="00DD6A2B" w:rsidRPr="005516CD">
        <w:rPr>
          <w:rFonts w:asciiTheme="majorHAnsi" w:eastAsia="Calibri" w:hAnsiTheme="majorHAnsi" w:cstheme="majorHAnsi"/>
          <w:sz w:val="20"/>
          <w:szCs w:val="20"/>
        </w:rPr>
        <w:t xml:space="preserve"> (including tree-based cash crop systems, tree-rich annual </w:t>
      </w:r>
      <w:r w:rsidR="00DD6A2B" w:rsidRPr="005516CD">
        <w:rPr>
          <w:rFonts w:asciiTheme="majorHAnsi" w:hAnsiTheme="majorHAnsi" w:cstheme="majorHAnsi"/>
          <w:sz w:val="20"/>
          <w:szCs w:val="20"/>
        </w:rPr>
        <w:t>cropping</w:t>
      </w:r>
      <w:r w:rsidR="00DD6A2B" w:rsidRPr="005516CD">
        <w:rPr>
          <w:rFonts w:asciiTheme="majorHAnsi" w:eastAsia="Calibri" w:hAnsiTheme="majorHAnsi" w:cstheme="majorHAnsi"/>
          <w:sz w:val="20"/>
          <w:szCs w:val="20"/>
        </w:rPr>
        <w:t xml:space="preserve"> and fallow areas, integrated functionally with remnants of natural ecosystems), favouring the </w:t>
      </w:r>
      <w:r w:rsidR="00B42AE4" w:rsidRPr="005516CD">
        <w:rPr>
          <w:rFonts w:asciiTheme="majorHAnsi" w:eastAsia="Calibri" w:hAnsiTheme="majorHAnsi" w:cstheme="majorHAnsi"/>
          <w:sz w:val="20"/>
          <w:szCs w:val="20"/>
        </w:rPr>
        <w:t xml:space="preserve">resilience and landscape-level conservation status </w:t>
      </w:r>
      <w:r w:rsidR="00DD6A2B" w:rsidRPr="005516CD">
        <w:rPr>
          <w:rFonts w:asciiTheme="majorHAnsi" w:eastAsia="Calibri" w:hAnsiTheme="majorHAnsi" w:cstheme="majorHAnsi"/>
          <w:sz w:val="20"/>
          <w:szCs w:val="20"/>
        </w:rPr>
        <w:t xml:space="preserve">of species of high global conservation value, </w:t>
      </w:r>
      <w:r w:rsidR="00B42AE4" w:rsidRPr="005516CD">
        <w:rPr>
          <w:rFonts w:asciiTheme="majorHAnsi" w:eastAsia="Calibri" w:hAnsiTheme="majorHAnsi" w:cstheme="majorHAnsi"/>
          <w:sz w:val="20"/>
          <w:szCs w:val="20"/>
        </w:rPr>
        <w:t xml:space="preserve">while </w:t>
      </w:r>
      <w:r w:rsidR="00DD6A2B" w:rsidRPr="005516CD">
        <w:rPr>
          <w:rFonts w:asciiTheme="majorHAnsi" w:eastAsia="Calibri" w:hAnsiTheme="majorHAnsi" w:cstheme="majorHAnsi"/>
          <w:sz w:val="20"/>
          <w:szCs w:val="20"/>
        </w:rPr>
        <w:t xml:space="preserve">protecting the productive capacity of natural resources and promoting the generation of ecosystem services; </w:t>
      </w:r>
    </w:p>
    <w:p w14:paraId="5F8C9059" w14:textId="77777777" w:rsidR="00DD6A2B" w:rsidRPr="005516CD" w:rsidRDefault="00DD6A2B" w:rsidP="006B27F4">
      <w:pPr>
        <w:numPr>
          <w:ilvl w:val="0"/>
          <w:numId w:val="88"/>
        </w:numPr>
        <w:tabs>
          <w:tab w:val="num" w:pos="-284"/>
        </w:tabs>
        <w:spacing w:after="120"/>
        <w:ind w:left="426" w:right="96"/>
        <w:jc w:val="both"/>
        <w:rPr>
          <w:rFonts w:asciiTheme="majorHAnsi" w:eastAsia="Calibri" w:hAnsiTheme="majorHAnsi" w:cstheme="majorHAnsi"/>
          <w:sz w:val="20"/>
          <w:szCs w:val="20"/>
        </w:rPr>
      </w:pPr>
      <w:r w:rsidRPr="005516CD">
        <w:rPr>
          <w:rFonts w:asciiTheme="majorHAnsi" w:eastAsia="Calibri" w:hAnsiTheme="majorHAnsi" w:cstheme="majorHAnsi"/>
          <w:b/>
          <w:sz w:val="20"/>
          <w:szCs w:val="20"/>
        </w:rPr>
        <w:t xml:space="preserve">Local people receive benefits in terms of the sustainability and viability of their farming and livelihood </w:t>
      </w:r>
      <w:r w:rsidRPr="005516CD">
        <w:rPr>
          <w:rFonts w:asciiTheme="majorHAnsi" w:hAnsiTheme="majorHAnsi" w:cstheme="majorHAnsi"/>
          <w:b/>
          <w:sz w:val="20"/>
          <w:szCs w:val="20"/>
        </w:rPr>
        <w:t>support</w:t>
      </w:r>
      <w:r w:rsidRPr="005516CD">
        <w:rPr>
          <w:rFonts w:asciiTheme="majorHAnsi" w:eastAsia="Calibri" w:hAnsiTheme="majorHAnsi" w:cstheme="majorHAnsi"/>
          <w:b/>
          <w:sz w:val="20"/>
          <w:szCs w:val="20"/>
        </w:rPr>
        <w:t xml:space="preserve"> systems</w:t>
      </w:r>
      <w:r w:rsidRPr="005516CD">
        <w:rPr>
          <w:rFonts w:asciiTheme="majorHAnsi" w:eastAsia="Calibri" w:hAnsiTheme="majorHAnsi" w:cstheme="majorHAnsi"/>
          <w:sz w:val="20"/>
          <w:szCs w:val="20"/>
        </w:rPr>
        <w:t xml:space="preserve"> as a result of the protection of natural resources on which these depend, and their participation in value chains that reward production systems that generate environmental benefits.  </w:t>
      </w:r>
    </w:p>
    <w:p w14:paraId="2E8A9F31" w14:textId="77777777" w:rsidR="001105F1" w:rsidRPr="005516CD" w:rsidRDefault="001105F1"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This approach is particularly relevant to current conditions in the target area because:</w:t>
      </w:r>
    </w:p>
    <w:p w14:paraId="1709F41E" w14:textId="77777777" w:rsidR="001105F1" w:rsidRPr="005516CD" w:rsidRDefault="001105F1" w:rsidP="006B27F4">
      <w:pPr>
        <w:numPr>
          <w:ilvl w:val="0"/>
          <w:numId w:val="88"/>
        </w:numPr>
        <w:tabs>
          <w:tab w:val="num" w:pos="-284"/>
        </w:tabs>
        <w:spacing w:after="120"/>
        <w:ind w:left="426" w:right="96"/>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Prices for tree crops such as c</w:t>
      </w:r>
      <w:r w:rsidR="00A504BA" w:rsidRPr="005516CD">
        <w:rPr>
          <w:rFonts w:asciiTheme="majorHAnsi" w:eastAsia="Calibri" w:hAnsiTheme="majorHAnsi" w:cstheme="majorHAnsi"/>
          <w:sz w:val="20"/>
          <w:szCs w:val="20"/>
        </w:rPr>
        <w:t>o</w:t>
      </w:r>
      <w:r w:rsidRPr="005516CD">
        <w:rPr>
          <w:rFonts w:asciiTheme="majorHAnsi" w:eastAsia="Calibri" w:hAnsiTheme="majorHAnsi" w:cstheme="majorHAnsi"/>
          <w:sz w:val="20"/>
          <w:szCs w:val="20"/>
        </w:rPr>
        <w:t>c</w:t>
      </w:r>
      <w:r w:rsidR="00A504BA" w:rsidRPr="005516CD">
        <w:rPr>
          <w:rFonts w:asciiTheme="majorHAnsi" w:eastAsia="Calibri" w:hAnsiTheme="majorHAnsi" w:cstheme="majorHAnsi"/>
          <w:sz w:val="20"/>
          <w:szCs w:val="20"/>
        </w:rPr>
        <w:t>o</w:t>
      </w:r>
      <w:r w:rsidRPr="005516CD">
        <w:rPr>
          <w:rFonts w:asciiTheme="majorHAnsi" w:eastAsia="Calibri" w:hAnsiTheme="majorHAnsi" w:cstheme="majorHAnsi"/>
          <w:sz w:val="20"/>
          <w:szCs w:val="20"/>
        </w:rPr>
        <w:t>a and coffee, which are strong determinants of the willingness and abi</w:t>
      </w:r>
      <w:r w:rsidR="00F16895" w:rsidRPr="005516CD">
        <w:rPr>
          <w:rFonts w:asciiTheme="majorHAnsi" w:eastAsia="Calibri" w:hAnsiTheme="majorHAnsi" w:cstheme="majorHAnsi"/>
          <w:sz w:val="20"/>
          <w:szCs w:val="20"/>
        </w:rPr>
        <w:t>l</w:t>
      </w:r>
      <w:r w:rsidRPr="005516CD">
        <w:rPr>
          <w:rFonts w:asciiTheme="majorHAnsi" w:eastAsia="Calibri" w:hAnsiTheme="majorHAnsi" w:cstheme="majorHAnsi"/>
          <w:sz w:val="20"/>
          <w:szCs w:val="20"/>
        </w:rPr>
        <w:t xml:space="preserve">ity of farmers to maintain tree-rich production systems, are notoriously unstable, which exposes these tree-rich systems to the risk of elimination in favour of annual crops. This has clearly been demonstrated in the case of coffee: an estimated 75% of shade coffee plantations have been eliminated in the project area over the last </w:t>
      </w:r>
      <w:r w:rsidR="00A13030" w:rsidRPr="005516CD">
        <w:rPr>
          <w:rFonts w:asciiTheme="majorHAnsi" w:eastAsia="Calibri" w:hAnsiTheme="majorHAnsi" w:cstheme="majorHAnsi"/>
          <w:sz w:val="20"/>
          <w:szCs w:val="20"/>
        </w:rPr>
        <w:t>9</w:t>
      </w:r>
      <w:r w:rsidRPr="005516CD">
        <w:rPr>
          <w:rFonts w:asciiTheme="majorHAnsi" w:eastAsia="Calibri" w:hAnsiTheme="majorHAnsi" w:cstheme="majorHAnsi"/>
          <w:sz w:val="20"/>
          <w:szCs w:val="20"/>
        </w:rPr>
        <w:t xml:space="preserve"> years.</w:t>
      </w:r>
    </w:p>
    <w:p w14:paraId="73E6EA27" w14:textId="77777777" w:rsidR="008B3855" w:rsidRPr="005516CD" w:rsidRDefault="007A4CC4" w:rsidP="006B27F4">
      <w:pPr>
        <w:numPr>
          <w:ilvl w:val="0"/>
          <w:numId w:val="88"/>
        </w:numPr>
        <w:tabs>
          <w:tab w:val="num" w:pos="-284"/>
        </w:tabs>
        <w:spacing w:after="120"/>
        <w:ind w:left="426" w:right="96"/>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At the same time, there is significant investment in Haiti in promoting the cacao sector, in response to currently favourable market and price conditions, but there is the risk that if this being done at the expense of the considerations of resilience and biodiversity.  </w:t>
      </w:r>
    </w:p>
    <w:p w14:paraId="7CB1D067" w14:textId="77777777" w:rsidR="008B2459" w:rsidRPr="005516CD" w:rsidRDefault="001E6E8C" w:rsidP="001E6E8C">
      <w:pPr>
        <w:keepNext/>
        <w:spacing w:after="60"/>
        <w:ind w:right="96"/>
        <w:contextualSpacing/>
        <w:jc w:val="both"/>
        <w:rPr>
          <w:rFonts w:asciiTheme="majorHAnsi" w:hAnsiTheme="majorHAnsi" w:cstheme="majorHAnsi"/>
          <w:b/>
          <w:sz w:val="20"/>
          <w:szCs w:val="20"/>
        </w:rPr>
      </w:pPr>
      <w:r w:rsidRPr="005516CD">
        <w:rPr>
          <w:rFonts w:asciiTheme="majorHAnsi" w:hAnsiTheme="majorHAnsi" w:cstheme="majorHAnsi"/>
          <w:b/>
          <w:sz w:val="20"/>
          <w:szCs w:val="20"/>
        </w:rPr>
        <w:t xml:space="preserve">Table 13. </w:t>
      </w:r>
      <w:r w:rsidR="001702AB" w:rsidRPr="005516CD">
        <w:rPr>
          <w:rFonts w:asciiTheme="majorHAnsi" w:hAnsiTheme="majorHAnsi" w:cstheme="majorHAnsi"/>
          <w:b/>
          <w:sz w:val="20"/>
          <w:szCs w:val="20"/>
        </w:rPr>
        <w:t>Rationale for project strategies</w:t>
      </w:r>
    </w:p>
    <w:tbl>
      <w:tblPr>
        <w:tblStyle w:val="TableGrid"/>
        <w:tblW w:w="0" w:type="auto"/>
        <w:tblLook w:val="04A0" w:firstRow="1" w:lastRow="0" w:firstColumn="1" w:lastColumn="0" w:noHBand="0" w:noVBand="1"/>
      </w:tblPr>
      <w:tblGrid>
        <w:gridCol w:w="1980"/>
        <w:gridCol w:w="2126"/>
        <w:gridCol w:w="1985"/>
        <w:gridCol w:w="2919"/>
      </w:tblGrid>
      <w:tr w:rsidR="008F24DE" w:rsidRPr="005516CD" w14:paraId="69601F56" w14:textId="77777777" w:rsidTr="00A67058">
        <w:trPr>
          <w:tblHeader/>
        </w:trPr>
        <w:tc>
          <w:tcPr>
            <w:tcW w:w="1980" w:type="dxa"/>
            <w:shd w:val="clear" w:color="auto" w:fill="D9D9D9" w:themeFill="background1" w:themeFillShade="D9"/>
          </w:tcPr>
          <w:p w14:paraId="4C94F189" w14:textId="77777777" w:rsidR="008F24DE" w:rsidRPr="005516CD" w:rsidRDefault="008F24DE" w:rsidP="007B146B">
            <w:pPr>
              <w:jc w:val="center"/>
              <w:rPr>
                <w:rFonts w:asciiTheme="majorHAnsi" w:hAnsiTheme="majorHAnsi" w:cstheme="majorHAnsi"/>
                <w:b/>
                <w:sz w:val="20"/>
                <w:szCs w:val="20"/>
              </w:rPr>
            </w:pPr>
            <w:r w:rsidRPr="005516CD">
              <w:rPr>
                <w:rFonts w:asciiTheme="majorHAnsi" w:hAnsiTheme="majorHAnsi" w:cstheme="majorHAnsi"/>
                <w:b/>
                <w:sz w:val="20"/>
                <w:szCs w:val="20"/>
              </w:rPr>
              <w:t>Situation sought</w:t>
            </w:r>
          </w:p>
        </w:tc>
        <w:tc>
          <w:tcPr>
            <w:tcW w:w="2126" w:type="dxa"/>
            <w:shd w:val="clear" w:color="auto" w:fill="D9D9D9" w:themeFill="background1" w:themeFillShade="D9"/>
          </w:tcPr>
          <w:p w14:paraId="0902E0D3" w14:textId="77777777" w:rsidR="008F24DE" w:rsidRPr="005516CD" w:rsidRDefault="008F24DE" w:rsidP="007B146B">
            <w:pPr>
              <w:jc w:val="center"/>
              <w:rPr>
                <w:rFonts w:asciiTheme="majorHAnsi" w:hAnsiTheme="majorHAnsi" w:cstheme="majorHAnsi"/>
                <w:b/>
                <w:sz w:val="20"/>
                <w:szCs w:val="20"/>
              </w:rPr>
            </w:pPr>
            <w:r w:rsidRPr="005516CD">
              <w:rPr>
                <w:rFonts w:asciiTheme="majorHAnsi" w:hAnsiTheme="majorHAnsi" w:cstheme="majorHAnsi"/>
                <w:b/>
                <w:sz w:val="20"/>
                <w:szCs w:val="20"/>
              </w:rPr>
              <w:t>Indicator</w:t>
            </w:r>
            <w:r w:rsidR="002B0EAC" w:rsidRPr="005516CD">
              <w:rPr>
                <w:rFonts w:asciiTheme="majorHAnsi" w:hAnsiTheme="majorHAnsi" w:cstheme="majorHAnsi"/>
                <w:b/>
                <w:sz w:val="20"/>
                <w:szCs w:val="20"/>
              </w:rPr>
              <w:t>s</w:t>
            </w:r>
          </w:p>
        </w:tc>
        <w:tc>
          <w:tcPr>
            <w:tcW w:w="1985" w:type="dxa"/>
            <w:shd w:val="clear" w:color="auto" w:fill="D9D9D9" w:themeFill="background1" w:themeFillShade="D9"/>
          </w:tcPr>
          <w:p w14:paraId="4E77C024" w14:textId="77777777" w:rsidR="008F24DE" w:rsidRPr="005516CD" w:rsidRDefault="008F24DE" w:rsidP="007B146B">
            <w:pPr>
              <w:jc w:val="center"/>
              <w:rPr>
                <w:rFonts w:asciiTheme="majorHAnsi" w:hAnsiTheme="majorHAnsi" w:cstheme="majorHAnsi"/>
                <w:b/>
                <w:sz w:val="20"/>
                <w:szCs w:val="20"/>
              </w:rPr>
            </w:pPr>
            <w:r w:rsidRPr="005516CD">
              <w:rPr>
                <w:rFonts w:asciiTheme="majorHAnsi" w:hAnsiTheme="majorHAnsi" w:cstheme="majorHAnsi"/>
                <w:b/>
                <w:sz w:val="20"/>
                <w:szCs w:val="20"/>
              </w:rPr>
              <w:t>Rationale</w:t>
            </w:r>
          </w:p>
        </w:tc>
        <w:tc>
          <w:tcPr>
            <w:tcW w:w="2919" w:type="dxa"/>
            <w:shd w:val="clear" w:color="auto" w:fill="D9D9D9" w:themeFill="background1" w:themeFillShade="D9"/>
          </w:tcPr>
          <w:p w14:paraId="6312F579" w14:textId="77777777" w:rsidR="008F24DE" w:rsidRPr="005516CD" w:rsidRDefault="008F24DE" w:rsidP="007B146B">
            <w:pPr>
              <w:jc w:val="center"/>
              <w:rPr>
                <w:rFonts w:asciiTheme="majorHAnsi" w:hAnsiTheme="majorHAnsi" w:cstheme="majorHAnsi"/>
                <w:b/>
                <w:sz w:val="20"/>
                <w:szCs w:val="20"/>
              </w:rPr>
            </w:pPr>
            <w:r w:rsidRPr="005516CD">
              <w:rPr>
                <w:rFonts w:asciiTheme="majorHAnsi" w:hAnsiTheme="majorHAnsi" w:cstheme="majorHAnsi"/>
                <w:b/>
                <w:sz w:val="20"/>
                <w:szCs w:val="20"/>
              </w:rPr>
              <w:t>Strateg</w:t>
            </w:r>
            <w:r w:rsidR="002B0EAC" w:rsidRPr="005516CD">
              <w:rPr>
                <w:rFonts w:asciiTheme="majorHAnsi" w:hAnsiTheme="majorHAnsi" w:cstheme="majorHAnsi"/>
                <w:b/>
                <w:sz w:val="20"/>
                <w:szCs w:val="20"/>
              </w:rPr>
              <w:t>ies</w:t>
            </w:r>
          </w:p>
        </w:tc>
      </w:tr>
      <w:tr w:rsidR="002B0EAC" w:rsidRPr="005516CD" w14:paraId="7DF27F5E" w14:textId="77777777" w:rsidTr="00A67058">
        <w:tc>
          <w:tcPr>
            <w:tcW w:w="1980" w:type="dxa"/>
            <w:vMerge w:val="restart"/>
          </w:tcPr>
          <w:p w14:paraId="279F142A" w14:textId="77777777" w:rsidR="002B0EAC" w:rsidRPr="005516CD" w:rsidRDefault="002B0EAC" w:rsidP="007B146B">
            <w:pPr>
              <w:rPr>
                <w:rFonts w:asciiTheme="majorHAnsi" w:hAnsiTheme="majorHAnsi" w:cstheme="majorHAnsi"/>
                <w:sz w:val="20"/>
                <w:szCs w:val="20"/>
              </w:rPr>
            </w:pPr>
            <w:r w:rsidRPr="005516CD">
              <w:rPr>
                <w:rFonts w:asciiTheme="majorHAnsi" w:hAnsiTheme="majorHAnsi" w:cstheme="majorHAnsi"/>
                <w:sz w:val="20"/>
                <w:szCs w:val="20"/>
              </w:rPr>
              <w:t xml:space="preserve">Increase in productivity </w:t>
            </w:r>
            <w:r w:rsidRPr="005516CD">
              <w:rPr>
                <w:rFonts w:asciiTheme="majorHAnsi" w:hAnsiTheme="majorHAnsi" w:cstheme="majorHAnsi"/>
                <w:b/>
                <w:sz w:val="20"/>
                <w:szCs w:val="20"/>
              </w:rPr>
              <w:t xml:space="preserve">and </w:t>
            </w:r>
            <w:r w:rsidRPr="005516CD">
              <w:rPr>
                <w:rFonts w:asciiTheme="majorHAnsi" w:hAnsiTheme="majorHAnsi" w:cstheme="majorHAnsi"/>
                <w:sz w:val="20"/>
                <w:szCs w:val="20"/>
              </w:rPr>
              <w:t>BD-friendliness of cacao and coffee plantations</w:t>
            </w:r>
          </w:p>
        </w:tc>
        <w:tc>
          <w:tcPr>
            <w:tcW w:w="2126" w:type="dxa"/>
          </w:tcPr>
          <w:p w14:paraId="1CD554A5" w14:textId="77777777" w:rsidR="002B0EAC" w:rsidRPr="005516CD" w:rsidRDefault="002B0EAC" w:rsidP="007B146B">
            <w:pPr>
              <w:rPr>
                <w:rFonts w:asciiTheme="majorHAnsi" w:hAnsiTheme="majorHAnsi" w:cstheme="majorHAnsi"/>
                <w:sz w:val="20"/>
                <w:szCs w:val="20"/>
              </w:rPr>
            </w:pPr>
            <w:r w:rsidRPr="005516CD">
              <w:rPr>
                <w:rFonts w:asciiTheme="majorHAnsi" w:hAnsiTheme="majorHAnsi" w:cstheme="majorHAnsi"/>
                <w:sz w:val="20"/>
                <w:szCs w:val="20"/>
              </w:rPr>
              <w:t>Structural diversity of vegetation in coffee and cacao plantations</w:t>
            </w:r>
          </w:p>
        </w:tc>
        <w:tc>
          <w:tcPr>
            <w:tcW w:w="1985" w:type="dxa"/>
            <w:vMerge w:val="restart"/>
          </w:tcPr>
          <w:p w14:paraId="3F1CF90F" w14:textId="77777777" w:rsidR="002B0EAC" w:rsidRPr="005516CD" w:rsidRDefault="002B0EAC" w:rsidP="007B146B">
            <w:pPr>
              <w:pBdr>
                <w:top w:val="nil"/>
                <w:left w:val="nil"/>
                <w:bottom w:val="nil"/>
                <w:right w:val="nil"/>
                <w:between w:val="nil"/>
                <w:bar w:val="nil"/>
              </w:pBdr>
              <w:rPr>
                <w:rFonts w:asciiTheme="majorHAnsi" w:hAnsiTheme="majorHAnsi" w:cstheme="majorHAnsi"/>
                <w:sz w:val="20"/>
                <w:szCs w:val="20"/>
              </w:rPr>
            </w:pPr>
            <w:r w:rsidRPr="005516CD">
              <w:rPr>
                <w:rFonts w:asciiTheme="majorHAnsi" w:hAnsiTheme="majorHAnsi" w:cstheme="majorHAnsi"/>
                <w:sz w:val="20"/>
                <w:szCs w:val="20"/>
              </w:rPr>
              <w:t>Improved habitat and connectivity value for globally important species</w:t>
            </w:r>
          </w:p>
        </w:tc>
        <w:tc>
          <w:tcPr>
            <w:tcW w:w="2919" w:type="dxa"/>
            <w:vMerge w:val="restart"/>
          </w:tcPr>
          <w:p w14:paraId="558B9A5A" w14:textId="77777777" w:rsidR="002B0EAC" w:rsidRPr="005516CD" w:rsidRDefault="00FC7CFF" w:rsidP="006B27F4">
            <w:pPr>
              <w:pStyle w:val="ListParagraph"/>
              <w:numPr>
                <w:ilvl w:val="0"/>
                <w:numId w:val="88"/>
              </w:numPr>
              <w:spacing w:after="120"/>
              <w:ind w:left="227" w:hanging="221"/>
              <w:rPr>
                <w:rFonts w:asciiTheme="majorHAnsi" w:hAnsiTheme="majorHAnsi" w:cstheme="majorHAnsi"/>
                <w:sz w:val="20"/>
                <w:szCs w:val="20"/>
              </w:rPr>
            </w:pPr>
            <w:r w:rsidRPr="005516CD">
              <w:rPr>
                <w:rFonts w:asciiTheme="majorHAnsi" w:hAnsiTheme="majorHAnsi" w:cstheme="majorHAnsi"/>
                <w:sz w:val="20"/>
                <w:szCs w:val="20"/>
              </w:rPr>
              <w:t>Development of farmers’ knowledge and capacities (</w:t>
            </w:r>
            <w:r w:rsidR="00A67058" w:rsidRPr="005516CD">
              <w:rPr>
                <w:rFonts w:asciiTheme="majorHAnsi" w:hAnsiTheme="majorHAnsi" w:cstheme="majorHAnsi"/>
                <w:sz w:val="20"/>
                <w:szCs w:val="20"/>
              </w:rPr>
              <w:t xml:space="preserve">through </w:t>
            </w:r>
            <w:r w:rsidRPr="005516CD">
              <w:rPr>
                <w:rFonts w:asciiTheme="majorHAnsi" w:hAnsiTheme="majorHAnsi" w:cstheme="majorHAnsi"/>
                <w:sz w:val="20"/>
                <w:szCs w:val="20"/>
              </w:rPr>
              <w:t xml:space="preserve">farmer field schools, </w:t>
            </w:r>
            <w:r w:rsidR="00A67058" w:rsidRPr="005516CD">
              <w:rPr>
                <w:rFonts w:asciiTheme="majorHAnsi" w:hAnsiTheme="majorHAnsi" w:cstheme="majorHAnsi"/>
                <w:sz w:val="20"/>
                <w:szCs w:val="20"/>
              </w:rPr>
              <w:t xml:space="preserve">knowledge systematization, strengthened extension systems) </w:t>
            </w:r>
            <w:r w:rsidRPr="005516CD">
              <w:rPr>
                <w:rFonts w:asciiTheme="majorHAnsi" w:hAnsiTheme="majorHAnsi" w:cstheme="majorHAnsi"/>
                <w:sz w:val="20"/>
                <w:szCs w:val="20"/>
              </w:rPr>
              <w:t>for applying management prescriptions which combine productivity, production diversification and habitat/connectivity value</w:t>
            </w:r>
          </w:p>
          <w:p w14:paraId="67AD49BB" w14:textId="77777777" w:rsidR="00FC7CFF" w:rsidRPr="005516CD" w:rsidRDefault="00A67058" w:rsidP="006B27F4">
            <w:pPr>
              <w:pStyle w:val="ListParagraph"/>
              <w:numPr>
                <w:ilvl w:val="0"/>
                <w:numId w:val="88"/>
              </w:numPr>
              <w:ind w:left="225" w:hanging="219"/>
              <w:rPr>
                <w:rFonts w:asciiTheme="majorHAnsi" w:hAnsiTheme="majorHAnsi" w:cstheme="majorHAnsi"/>
                <w:sz w:val="20"/>
                <w:szCs w:val="20"/>
              </w:rPr>
            </w:pPr>
            <w:r w:rsidRPr="005516CD">
              <w:rPr>
                <w:rFonts w:asciiTheme="majorHAnsi" w:hAnsiTheme="majorHAnsi" w:cstheme="majorHAnsi"/>
                <w:sz w:val="20"/>
                <w:szCs w:val="20"/>
              </w:rPr>
              <w:t>Strengthening and diversification of value chains to maximize financial benefits received from the products of diversified agroforestry systems</w:t>
            </w:r>
          </w:p>
        </w:tc>
      </w:tr>
      <w:tr w:rsidR="002B0EAC" w:rsidRPr="005516CD" w14:paraId="2673C04D" w14:textId="77777777" w:rsidTr="00A67058">
        <w:tc>
          <w:tcPr>
            <w:tcW w:w="1980" w:type="dxa"/>
            <w:vMerge/>
          </w:tcPr>
          <w:p w14:paraId="5B0D43B1" w14:textId="77777777" w:rsidR="002B0EAC" w:rsidRPr="005516CD" w:rsidRDefault="002B0EAC" w:rsidP="007B146B">
            <w:pPr>
              <w:rPr>
                <w:rFonts w:asciiTheme="majorHAnsi" w:hAnsiTheme="majorHAnsi" w:cstheme="majorHAnsi"/>
                <w:sz w:val="20"/>
                <w:szCs w:val="20"/>
              </w:rPr>
            </w:pPr>
          </w:p>
        </w:tc>
        <w:tc>
          <w:tcPr>
            <w:tcW w:w="2126" w:type="dxa"/>
          </w:tcPr>
          <w:p w14:paraId="26EAB199" w14:textId="77777777" w:rsidR="002B0EAC" w:rsidRPr="005516CD" w:rsidRDefault="002B0EAC" w:rsidP="007B146B">
            <w:pPr>
              <w:rPr>
                <w:rFonts w:asciiTheme="majorHAnsi" w:hAnsiTheme="majorHAnsi" w:cstheme="majorHAnsi"/>
                <w:sz w:val="20"/>
                <w:szCs w:val="20"/>
              </w:rPr>
            </w:pPr>
            <w:r w:rsidRPr="005516CD">
              <w:rPr>
                <w:rFonts w:asciiTheme="majorHAnsi" w:hAnsiTheme="majorHAnsi" w:cstheme="majorHAnsi"/>
                <w:sz w:val="20"/>
                <w:szCs w:val="20"/>
              </w:rPr>
              <w:t>Density of vegetation in coffee and cacao plantations</w:t>
            </w:r>
          </w:p>
        </w:tc>
        <w:tc>
          <w:tcPr>
            <w:tcW w:w="1985" w:type="dxa"/>
            <w:vMerge/>
          </w:tcPr>
          <w:p w14:paraId="14ABFB53" w14:textId="77777777" w:rsidR="002B0EAC" w:rsidRPr="005516CD" w:rsidRDefault="002B0EAC" w:rsidP="007B146B">
            <w:pPr>
              <w:rPr>
                <w:rFonts w:asciiTheme="majorHAnsi" w:hAnsiTheme="majorHAnsi" w:cstheme="majorHAnsi"/>
                <w:sz w:val="20"/>
                <w:szCs w:val="20"/>
              </w:rPr>
            </w:pPr>
          </w:p>
        </w:tc>
        <w:tc>
          <w:tcPr>
            <w:tcW w:w="2919" w:type="dxa"/>
            <w:vMerge/>
            <w:vAlign w:val="center"/>
          </w:tcPr>
          <w:p w14:paraId="24D5503B" w14:textId="77777777" w:rsidR="002B0EAC" w:rsidRPr="005516CD" w:rsidRDefault="002B0EAC" w:rsidP="007B146B">
            <w:pPr>
              <w:rPr>
                <w:rFonts w:asciiTheme="majorHAnsi" w:hAnsiTheme="majorHAnsi" w:cstheme="majorHAnsi"/>
                <w:sz w:val="20"/>
                <w:szCs w:val="20"/>
              </w:rPr>
            </w:pPr>
          </w:p>
        </w:tc>
      </w:tr>
      <w:tr w:rsidR="002B0EAC" w:rsidRPr="005516CD" w14:paraId="6EDAC4F8" w14:textId="77777777" w:rsidTr="00A67058">
        <w:tc>
          <w:tcPr>
            <w:tcW w:w="1980" w:type="dxa"/>
            <w:vMerge/>
          </w:tcPr>
          <w:p w14:paraId="41A50DC8" w14:textId="77777777" w:rsidR="002B0EAC" w:rsidRPr="005516CD" w:rsidRDefault="002B0EAC" w:rsidP="007B146B">
            <w:pPr>
              <w:rPr>
                <w:rFonts w:asciiTheme="majorHAnsi" w:hAnsiTheme="majorHAnsi" w:cstheme="majorHAnsi"/>
                <w:sz w:val="20"/>
                <w:szCs w:val="20"/>
              </w:rPr>
            </w:pPr>
          </w:p>
        </w:tc>
        <w:tc>
          <w:tcPr>
            <w:tcW w:w="2126" w:type="dxa"/>
          </w:tcPr>
          <w:p w14:paraId="740E9A41" w14:textId="77777777" w:rsidR="002B0EAC" w:rsidRPr="005516CD" w:rsidRDefault="002B0EAC" w:rsidP="007B146B">
            <w:pPr>
              <w:rPr>
                <w:rFonts w:asciiTheme="majorHAnsi" w:hAnsiTheme="majorHAnsi" w:cstheme="majorHAnsi"/>
                <w:sz w:val="20"/>
                <w:szCs w:val="20"/>
              </w:rPr>
            </w:pPr>
            <w:r w:rsidRPr="005516CD">
              <w:rPr>
                <w:rFonts w:asciiTheme="majorHAnsi" w:hAnsiTheme="majorHAnsi" w:cstheme="majorHAnsi"/>
                <w:sz w:val="20"/>
                <w:szCs w:val="20"/>
              </w:rPr>
              <w:t>Species diversity of vegetation in coffee and cacao plantations</w:t>
            </w:r>
          </w:p>
        </w:tc>
        <w:tc>
          <w:tcPr>
            <w:tcW w:w="1985" w:type="dxa"/>
          </w:tcPr>
          <w:p w14:paraId="6F409F54" w14:textId="77777777" w:rsidR="002B0EAC" w:rsidRPr="005516CD" w:rsidRDefault="002B0EAC" w:rsidP="007B146B">
            <w:pPr>
              <w:pBdr>
                <w:top w:val="nil"/>
                <w:left w:val="nil"/>
                <w:bottom w:val="nil"/>
                <w:right w:val="nil"/>
                <w:between w:val="nil"/>
                <w:bar w:val="nil"/>
              </w:pBdr>
              <w:rPr>
                <w:rFonts w:asciiTheme="majorHAnsi" w:hAnsiTheme="majorHAnsi" w:cstheme="majorHAnsi"/>
                <w:sz w:val="20"/>
                <w:szCs w:val="20"/>
              </w:rPr>
            </w:pPr>
            <w:r w:rsidRPr="005516CD">
              <w:rPr>
                <w:rFonts w:asciiTheme="majorHAnsi" w:hAnsiTheme="majorHAnsi" w:cstheme="majorHAnsi"/>
                <w:sz w:val="20"/>
                <w:szCs w:val="20"/>
              </w:rPr>
              <w:t>Increased food availability for globally important fauna</w:t>
            </w:r>
          </w:p>
        </w:tc>
        <w:tc>
          <w:tcPr>
            <w:tcW w:w="2919" w:type="dxa"/>
            <w:vMerge/>
            <w:vAlign w:val="center"/>
          </w:tcPr>
          <w:p w14:paraId="1D2D5320" w14:textId="77777777" w:rsidR="002B0EAC" w:rsidRPr="005516CD" w:rsidRDefault="002B0EAC" w:rsidP="007B146B">
            <w:pPr>
              <w:rPr>
                <w:rFonts w:asciiTheme="majorHAnsi" w:hAnsiTheme="majorHAnsi" w:cstheme="majorHAnsi"/>
                <w:sz w:val="20"/>
                <w:szCs w:val="20"/>
              </w:rPr>
            </w:pPr>
          </w:p>
        </w:tc>
      </w:tr>
      <w:tr w:rsidR="002B0EAC" w:rsidRPr="005516CD" w14:paraId="1A9B20F0" w14:textId="77777777" w:rsidTr="00A67058">
        <w:tc>
          <w:tcPr>
            <w:tcW w:w="1980" w:type="dxa"/>
            <w:vMerge/>
            <w:vAlign w:val="center"/>
          </w:tcPr>
          <w:p w14:paraId="59C34FD5" w14:textId="77777777" w:rsidR="002B0EAC" w:rsidRPr="005516CD" w:rsidRDefault="002B0EAC" w:rsidP="007B146B">
            <w:pPr>
              <w:rPr>
                <w:rFonts w:asciiTheme="majorHAnsi" w:hAnsiTheme="majorHAnsi" w:cstheme="majorHAnsi"/>
                <w:sz w:val="20"/>
                <w:szCs w:val="20"/>
              </w:rPr>
            </w:pPr>
          </w:p>
        </w:tc>
        <w:tc>
          <w:tcPr>
            <w:tcW w:w="2126" w:type="dxa"/>
            <w:vAlign w:val="center"/>
          </w:tcPr>
          <w:p w14:paraId="34DA9464" w14:textId="77777777" w:rsidR="002B0EAC" w:rsidRPr="005516CD" w:rsidRDefault="002B0EAC" w:rsidP="007B146B">
            <w:pPr>
              <w:rPr>
                <w:rFonts w:asciiTheme="majorHAnsi" w:hAnsiTheme="majorHAnsi" w:cstheme="majorHAnsi"/>
                <w:sz w:val="20"/>
                <w:szCs w:val="20"/>
              </w:rPr>
            </w:pPr>
            <w:r w:rsidRPr="005516CD">
              <w:rPr>
                <w:rFonts w:asciiTheme="majorHAnsi" w:hAnsiTheme="majorHAnsi" w:cstheme="majorHAnsi"/>
                <w:sz w:val="20"/>
                <w:szCs w:val="20"/>
              </w:rPr>
              <w:t>Productivity and profitability of coffee and cacao plantations</w:t>
            </w:r>
          </w:p>
        </w:tc>
        <w:tc>
          <w:tcPr>
            <w:tcW w:w="1985" w:type="dxa"/>
            <w:vMerge w:val="restart"/>
          </w:tcPr>
          <w:p w14:paraId="407B9D64" w14:textId="77777777" w:rsidR="002B0EAC" w:rsidRPr="005516CD" w:rsidRDefault="002B0EAC" w:rsidP="007B146B">
            <w:pPr>
              <w:pBdr>
                <w:top w:val="nil"/>
                <w:left w:val="nil"/>
                <w:bottom w:val="nil"/>
                <w:right w:val="nil"/>
                <w:between w:val="nil"/>
                <w:bar w:val="nil"/>
              </w:pBdr>
              <w:rPr>
                <w:rFonts w:asciiTheme="majorHAnsi" w:hAnsiTheme="majorHAnsi" w:cstheme="majorHAnsi"/>
                <w:sz w:val="20"/>
                <w:szCs w:val="20"/>
              </w:rPr>
            </w:pPr>
            <w:r w:rsidRPr="005516CD">
              <w:rPr>
                <w:rFonts w:asciiTheme="majorHAnsi" w:hAnsiTheme="majorHAnsi" w:cstheme="majorHAnsi"/>
                <w:sz w:val="20"/>
                <w:szCs w:val="20"/>
              </w:rPr>
              <w:t>Motivations for maintenance of plantations rather than conversion to lower-BD annual cropping and pasture</w:t>
            </w:r>
          </w:p>
        </w:tc>
        <w:tc>
          <w:tcPr>
            <w:tcW w:w="2919" w:type="dxa"/>
            <w:vMerge/>
            <w:vAlign w:val="center"/>
          </w:tcPr>
          <w:p w14:paraId="6151CFBB" w14:textId="77777777" w:rsidR="002B0EAC" w:rsidRPr="005516CD" w:rsidRDefault="002B0EAC" w:rsidP="007B146B">
            <w:pPr>
              <w:rPr>
                <w:rFonts w:asciiTheme="majorHAnsi" w:hAnsiTheme="majorHAnsi" w:cstheme="majorHAnsi"/>
                <w:sz w:val="20"/>
                <w:szCs w:val="20"/>
              </w:rPr>
            </w:pPr>
          </w:p>
        </w:tc>
      </w:tr>
      <w:tr w:rsidR="002B0EAC" w:rsidRPr="005516CD" w14:paraId="5CC93203" w14:textId="77777777" w:rsidTr="00A67058">
        <w:tc>
          <w:tcPr>
            <w:tcW w:w="1980" w:type="dxa"/>
          </w:tcPr>
          <w:p w14:paraId="4C4B4F29" w14:textId="77777777" w:rsidR="002B0EAC" w:rsidRPr="005516CD" w:rsidRDefault="002B0EAC" w:rsidP="007B146B">
            <w:pPr>
              <w:rPr>
                <w:rFonts w:asciiTheme="majorHAnsi" w:hAnsiTheme="majorHAnsi" w:cstheme="majorHAnsi"/>
                <w:sz w:val="20"/>
                <w:szCs w:val="20"/>
              </w:rPr>
            </w:pPr>
            <w:r w:rsidRPr="005516CD">
              <w:rPr>
                <w:rFonts w:asciiTheme="majorHAnsi" w:hAnsiTheme="majorHAnsi" w:cstheme="majorHAnsi"/>
                <w:sz w:val="20"/>
                <w:szCs w:val="20"/>
              </w:rPr>
              <w:t>Increased and diversified food crop production in cacao and coffee plantation</w:t>
            </w:r>
            <w:r w:rsidR="00A67058" w:rsidRPr="005516CD">
              <w:rPr>
                <w:rFonts w:asciiTheme="majorHAnsi" w:hAnsiTheme="majorHAnsi" w:cstheme="majorHAnsi"/>
                <w:sz w:val="20"/>
                <w:szCs w:val="20"/>
              </w:rPr>
              <w:t>s</w:t>
            </w:r>
          </w:p>
        </w:tc>
        <w:tc>
          <w:tcPr>
            <w:tcW w:w="2126" w:type="dxa"/>
          </w:tcPr>
          <w:p w14:paraId="0028A5AD" w14:textId="77777777" w:rsidR="002B0EAC" w:rsidRPr="005516CD" w:rsidRDefault="002B0EAC" w:rsidP="007B146B">
            <w:pPr>
              <w:rPr>
                <w:rFonts w:asciiTheme="majorHAnsi" w:hAnsiTheme="majorHAnsi" w:cstheme="majorHAnsi"/>
                <w:sz w:val="20"/>
                <w:szCs w:val="20"/>
              </w:rPr>
            </w:pPr>
            <w:r w:rsidRPr="005516CD">
              <w:rPr>
                <w:rFonts w:asciiTheme="majorHAnsi" w:hAnsiTheme="majorHAnsi" w:cstheme="majorHAnsi"/>
                <w:sz w:val="20"/>
                <w:szCs w:val="20"/>
              </w:rPr>
              <w:t>Quantity and quality of food obtained from coffee and cacao plantations</w:t>
            </w:r>
          </w:p>
        </w:tc>
        <w:tc>
          <w:tcPr>
            <w:tcW w:w="1985" w:type="dxa"/>
            <w:vMerge/>
          </w:tcPr>
          <w:p w14:paraId="32687FCB" w14:textId="77777777" w:rsidR="002B0EAC" w:rsidRPr="005516CD" w:rsidRDefault="002B0EAC" w:rsidP="007B146B">
            <w:pPr>
              <w:rPr>
                <w:rFonts w:asciiTheme="majorHAnsi" w:hAnsiTheme="majorHAnsi" w:cstheme="majorHAnsi"/>
                <w:sz w:val="20"/>
                <w:szCs w:val="20"/>
              </w:rPr>
            </w:pPr>
          </w:p>
        </w:tc>
        <w:tc>
          <w:tcPr>
            <w:tcW w:w="2919" w:type="dxa"/>
            <w:vMerge/>
            <w:vAlign w:val="center"/>
          </w:tcPr>
          <w:p w14:paraId="6DFB4D16" w14:textId="77777777" w:rsidR="002B0EAC" w:rsidRPr="005516CD" w:rsidRDefault="002B0EAC" w:rsidP="007B146B">
            <w:pPr>
              <w:rPr>
                <w:rFonts w:asciiTheme="majorHAnsi" w:hAnsiTheme="majorHAnsi" w:cstheme="majorHAnsi"/>
                <w:sz w:val="20"/>
                <w:szCs w:val="20"/>
              </w:rPr>
            </w:pPr>
          </w:p>
        </w:tc>
      </w:tr>
      <w:tr w:rsidR="00A67058" w:rsidRPr="005516CD" w14:paraId="4253857E" w14:textId="77777777" w:rsidTr="00A67058">
        <w:tc>
          <w:tcPr>
            <w:tcW w:w="1980" w:type="dxa"/>
          </w:tcPr>
          <w:p w14:paraId="2D908205" w14:textId="77777777" w:rsidR="00A67058" w:rsidRPr="005516CD" w:rsidRDefault="00A67058" w:rsidP="00A67058">
            <w:pPr>
              <w:rPr>
                <w:rFonts w:asciiTheme="majorHAnsi" w:hAnsiTheme="majorHAnsi" w:cstheme="majorHAnsi"/>
                <w:sz w:val="20"/>
                <w:szCs w:val="20"/>
              </w:rPr>
            </w:pPr>
            <w:r w:rsidRPr="005516CD">
              <w:rPr>
                <w:rFonts w:asciiTheme="majorHAnsi" w:hAnsiTheme="majorHAnsi" w:cstheme="majorHAnsi"/>
                <w:sz w:val="20"/>
                <w:szCs w:val="20"/>
              </w:rPr>
              <w:t>Improved landscape-wide connectivity</w:t>
            </w:r>
          </w:p>
        </w:tc>
        <w:tc>
          <w:tcPr>
            <w:tcW w:w="2126" w:type="dxa"/>
          </w:tcPr>
          <w:p w14:paraId="1BD8C6FF" w14:textId="77777777" w:rsidR="00A67058" w:rsidRPr="005516CD" w:rsidRDefault="00A67058" w:rsidP="00A67058">
            <w:pPr>
              <w:rPr>
                <w:rFonts w:asciiTheme="majorHAnsi" w:hAnsiTheme="majorHAnsi" w:cstheme="majorHAnsi"/>
                <w:sz w:val="20"/>
                <w:szCs w:val="20"/>
              </w:rPr>
            </w:pPr>
            <w:r w:rsidRPr="005516CD">
              <w:rPr>
                <w:rFonts w:asciiTheme="majorHAnsi" w:hAnsiTheme="majorHAnsi" w:cstheme="majorHAnsi"/>
                <w:sz w:val="20"/>
                <w:szCs w:val="20"/>
              </w:rPr>
              <w:t>Area of tree-based land units in landscapes of the target communes</w:t>
            </w:r>
          </w:p>
        </w:tc>
        <w:tc>
          <w:tcPr>
            <w:tcW w:w="1985" w:type="dxa"/>
          </w:tcPr>
          <w:p w14:paraId="6656DB8F" w14:textId="77777777" w:rsidR="00A67058" w:rsidRPr="005516CD" w:rsidRDefault="00A67058" w:rsidP="00A67058">
            <w:pPr>
              <w:rPr>
                <w:rFonts w:asciiTheme="majorHAnsi" w:hAnsiTheme="majorHAnsi" w:cstheme="majorHAnsi"/>
                <w:sz w:val="20"/>
                <w:szCs w:val="20"/>
              </w:rPr>
            </w:pPr>
            <w:r w:rsidRPr="005516CD">
              <w:rPr>
                <w:rFonts w:asciiTheme="majorHAnsi" w:hAnsiTheme="majorHAnsi" w:cstheme="majorHAnsi"/>
                <w:sz w:val="20"/>
                <w:szCs w:val="20"/>
              </w:rPr>
              <w:t>Improved connectivity value for globally important species</w:t>
            </w:r>
          </w:p>
        </w:tc>
        <w:tc>
          <w:tcPr>
            <w:tcW w:w="2919" w:type="dxa"/>
            <w:vAlign w:val="center"/>
          </w:tcPr>
          <w:p w14:paraId="2D31DC42" w14:textId="77777777" w:rsidR="005F6E72" w:rsidRPr="005516CD" w:rsidRDefault="005F6E72" w:rsidP="006B27F4">
            <w:pPr>
              <w:pStyle w:val="ListParagraph"/>
              <w:numPr>
                <w:ilvl w:val="0"/>
                <w:numId w:val="88"/>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27" w:hanging="221"/>
              <w:rPr>
                <w:rFonts w:asciiTheme="majorHAnsi" w:hAnsiTheme="majorHAnsi" w:cstheme="majorHAnsi"/>
                <w:sz w:val="20"/>
                <w:szCs w:val="20"/>
              </w:rPr>
            </w:pPr>
            <w:r w:rsidRPr="005516CD">
              <w:rPr>
                <w:rFonts w:asciiTheme="majorHAnsi" w:hAnsiTheme="majorHAnsi" w:cstheme="majorHAnsi"/>
                <w:sz w:val="20"/>
                <w:szCs w:val="20"/>
              </w:rPr>
              <w:t>Promotion of agroforestry systems in annual cropping and grazing areas</w:t>
            </w:r>
          </w:p>
          <w:p w14:paraId="6CDBAB9D" w14:textId="77777777" w:rsidR="00A67058" w:rsidRPr="005516CD" w:rsidRDefault="005F6E72" w:rsidP="006B27F4">
            <w:pPr>
              <w:pStyle w:val="ListParagraph"/>
              <w:numPr>
                <w:ilvl w:val="0"/>
                <w:numId w:val="88"/>
              </w:numPr>
              <w:pBdr>
                <w:top w:val="none" w:sz="0" w:space="0" w:color="auto"/>
                <w:left w:val="none" w:sz="0" w:space="0" w:color="auto"/>
                <w:bottom w:val="none" w:sz="0" w:space="0" w:color="auto"/>
                <w:right w:val="none" w:sz="0" w:space="0" w:color="auto"/>
                <w:between w:val="none" w:sz="0" w:space="0" w:color="auto"/>
                <w:bar w:val="none" w:sz="0" w:color="auto"/>
              </w:pBdr>
              <w:ind w:left="227" w:hanging="221"/>
              <w:rPr>
                <w:rFonts w:asciiTheme="majorHAnsi" w:hAnsiTheme="majorHAnsi" w:cstheme="majorHAnsi"/>
                <w:sz w:val="20"/>
                <w:szCs w:val="20"/>
              </w:rPr>
            </w:pPr>
            <w:r w:rsidRPr="005516CD">
              <w:rPr>
                <w:rFonts w:asciiTheme="majorHAnsi" w:hAnsiTheme="majorHAnsi" w:cstheme="majorHAnsi"/>
                <w:sz w:val="20"/>
                <w:szCs w:val="20"/>
              </w:rPr>
              <w:t>Restoration of vegetation in degraded areas</w:t>
            </w:r>
          </w:p>
        </w:tc>
      </w:tr>
    </w:tbl>
    <w:p w14:paraId="19351C80" w14:textId="77777777" w:rsidR="009E6166" w:rsidRPr="005516CD" w:rsidRDefault="009E6166" w:rsidP="007B146B">
      <w:pPr>
        <w:pStyle w:val="Heading2"/>
        <w:spacing w:after="0"/>
        <w:ind w:left="0"/>
        <w:rPr>
          <w:rStyle w:val="None"/>
          <w:rFonts w:ascii="Calibri" w:hAnsi="Calibri" w:cs="Calibri"/>
          <w:u w:val="single"/>
          <w:lang w:val="en-US"/>
        </w:rPr>
      </w:pPr>
      <w:bookmarkStart w:id="32" w:name="_Toc8933080"/>
      <w:r w:rsidRPr="005516CD">
        <w:rPr>
          <w:rStyle w:val="None"/>
          <w:rFonts w:ascii="Calibri" w:hAnsi="Calibri" w:cs="Calibri"/>
          <w:u w:val="single"/>
          <w:lang w:val="en-US"/>
        </w:rPr>
        <w:t>Lessons learned</w:t>
      </w:r>
      <w:bookmarkEnd w:id="32"/>
    </w:p>
    <w:p w14:paraId="2593194B" w14:textId="77777777" w:rsidR="009E6166" w:rsidRPr="005516CD" w:rsidRDefault="009E6166"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2"/>
        </w:rPr>
      </w:pPr>
      <w:r w:rsidRPr="005516CD">
        <w:rPr>
          <w:rFonts w:asciiTheme="majorHAnsi" w:eastAsia="Calibri" w:hAnsiTheme="majorHAnsi" w:cstheme="majorHAnsi"/>
          <w:sz w:val="20"/>
          <w:szCs w:val="22"/>
        </w:rPr>
        <w:t xml:space="preserve">A </w:t>
      </w:r>
      <w:r w:rsidRPr="005516CD">
        <w:rPr>
          <w:rFonts w:asciiTheme="majorHAnsi" w:hAnsiTheme="majorHAnsi" w:cstheme="majorHAnsi"/>
          <w:sz w:val="20"/>
          <w:szCs w:val="20"/>
        </w:rPr>
        <w:t>number</w:t>
      </w:r>
      <w:r w:rsidRPr="005516CD">
        <w:rPr>
          <w:rFonts w:asciiTheme="majorHAnsi" w:eastAsia="Calibri" w:hAnsiTheme="majorHAnsi" w:cstheme="majorHAnsi"/>
          <w:sz w:val="20"/>
          <w:szCs w:val="22"/>
        </w:rPr>
        <w:t xml:space="preserve"> of studies have been carried out into the factors determining the effectiveness and levels of uptake of reforestation initiatives to date in Haiti</w:t>
      </w:r>
      <w:r w:rsidR="00FC68F2" w:rsidRPr="005516CD">
        <w:rPr>
          <w:rStyle w:val="FootnoteReference"/>
          <w:rFonts w:asciiTheme="majorHAnsi" w:hAnsiTheme="majorHAnsi" w:cstheme="majorHAnsi"/>
          <w:sz w:val="20"/>
          <w:szCs w:val="20"/>
        </w:rPr>
        <w:footnoteReference w:id="39"/>
      </w:r>
      <w:r w:rsidR="00FC68F2" w:rsidRPr="005516CD">
        <w:rPr>
          <w:rFonts w:asciiTheme="majorHAnsi" w:eastAsia="Calibri" w:hAnsiTheme="majorHAnsi" w:cstheme="majorHAnsi"/>
          <w:sz w:val="20"/>
          <w:szCs w:val="22"/>
          <w:vertAlign w:val="superscript"/>
        </w:rPr>
        <w:t>,</w:t>
      </w:r>
      <w:r w:rsidR="00FC68F2" w:rsidRPr="005516CD">
        <w:rPr>
          <w:rStyle w:val="FootnoteReference"/>
          <w:rFonts w:asciiTheme="majorHAnsi" w:hAnsiTheme="majorHAnsi" w:cstheme="majorHAnsi"/>
          <w:i/>
          <w:sz w:val="20"/>
          <w:szCs w:val="20"/>
        </w:rPr>
        <w:footnoteReference w:id="40"/>
      </w:r>
      <w:r w:rsidRPr="005516CD">
        <w:rPr>
          <w:rFonts w:asciiTheme="majorHAnsi" w:eastAsia="Calibri" w:hAnsiTheme="majorHAnsi" w:cstheme="majorHAnsi"/>
          <w:sz w:val="20"/>
          <w:szCs w:val="22"/>
        </w:rPr>
        <w:t>.</w:t>
      </w:r>
      <w:r w:rsidR="005302F9" w:rsidRPr="005516CD">
        <w:rPr>
          <w:rFonts w:asciiTheme="majorHAnsi" w:eastAsia="Calibri" w:hAnsiTheme="majorHAnsi" w:cstheme="majorHAnsi"/>
          <w:sz w:val="20"/>
          <w:szCs w:val="22"/>
        </w:rPr>
        <w:t xml:space="preserve"> Key findings include the following:</w:t>
      </w:r>
    </w:p>
    <w:p w14:paraId="173E0DF7" w14:textId="77777777" w:rsidR="00E91F6D" w:rsidRPr="005516CD" w:rsidRDefault="00E91F6D" w:rsidP="00123F3A">
      <w:pPr>
        <w:keepNext/>
        <w:autoSpaceDE w:val="0"/>
        <w:autoSpaceDN w:val="0"/>
        <w:adjustRightInd w:val="0"/>
        <w:spacing w:after="120"/>
        <w:ind w:left="142"/>
        <w:rPr>
          <w:rFonts w:asciiTheme="majorHAnsi" w:hAnsiTheme="majorHAnsi" w:cstheme="majorHAnsi"/>
          <w:i/>
          <w:sz w:val="20"/>
          <w:szCs w:val="20"/>
        </w:rPr>
      </w:pPr>
      <w:r w:rsidRPr="005516CD">
        <w:rPr>
          <w:rFonts w:asciiTheme="majorHAnsi" w:hAnsiTheme="majorHAnsi" w:cstheme="majorHAnsi"/>
          <w:i/>
          <w:sz w:val="20"/>
          <w:szCs w:val="20"/>
        </w:rPr>
        <w:t>Motivations for tree planting</w:t>
      </w:r>
    </w:p>
    <w:p w14:paraId="42AA8DA7" w14:textId="77777777" w:rsidR="00E91F6D" w:rsidRPr="005516CD" w:rsidRDefault="00E91F6D"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Whether marketed or used for one’s own house, the overwhelming motivation [for tree planting] is economic. Farmers use trees to store value, less vulnerable to drought than annual crops</w:t>
      </w:r>
      <w:r w:rsidRPr="005516CD">
        <w:rPr>
          <w:rStyle w:val="FootnoteReference"/>
          <w:rFonts w:asciiTheme="majorHAnsi" w:hAnsiTheme="majorHAnsi" w:cstheme="majorHAnsi"/>
          <w:sz w:val="20"/>
          <w:szCs w:val="20"/>
        </w:rPr>
        <w:footnoteReference w:id="41"/>
      </w:r>
      <w:r w:rsidRPr="005516CD">
        <w:rPr>
          <w:rFonts w:asciiTheme="majorHAnsi" w:hAnsiTheme="majorHAnsi" w:cstheme="majorHAnsi"/>
          <w:sz w:val="20"/>
          <w:szCs w:val="20"/>
        </w:rPr>
        <w:t>: in some regions, farmers calculate a 50% probability of losing one’s annual food crop to drought, and under such conditions of agrarian peril the domestic tree stand becomes an economic safety net that is protected until absolutely needed, and even then cut only selectively. Trees provide ecological benefits to the fields as well</w:t>
      </w:r>
      <w:r w:rsidRPr="005516CD">
        <w:rPr>
          <w:rStyle w:val="FootnoteReference"/>
          <w:rFonts w:asciiTheme="majorHAnsi" w:hAnsiTheme="majorHAnsi" w:cstheme="majorHAnsi"/>
          <w:sz w:val="20"/>
          <w:szCs w:val="20"/>
        </w:rPr>
        <w:footnoteReference w:id="42"/>
      </w:r>
      <w:r w:rsidRPr="005516CD">
        <w:rPr>
          <w:rFonts w:asciiTheme="majorHAnsi" w:hAnsiTheme="majorHAnsi" w:cstheme="majorHAnsi"/>
          <w:sz w:val="20"/>
          <w:szCs w:val="20"/>
        </w:rPr>
        <w:t xml:space="preserve">, but these come as secondary side effects of </w:t>
      </w:r>
      <w:proofErr w:type="spellStart"/>
      <w:r w:rsidRPr="005516CD">
        <w:rPr>
          <w:rFonts w:asciiTheme="majorHAnsi" w:hAnsiTheme="majorHAnsi" w:cstheme="majorHAnsi"/>
          <w:sz w:val="20"/>
          <w:szCs w:val="20"/>
        </w:rPr>
        <w:t>behaviours</w:t>
      </w:r>
      <w:proofErr w:type="spellEnd"/>
      <w:r w:rsidRPr="005516CD">
        <w:rPr>
          <w:rFonts w:asciiTheme="majorHAnsi" w:hAnsiTheme="majorHAnsi" w:cstheme="majorHAnsi"/>
          <w:sz w:val="20"/>
          <w:szCs w:val="20"/>
        </w:rPr>
        <w:t xml:space="preserve"> in which smallholders engage for economic reasons.</w:t>
      </w:r>
    </w:p>
    <w:p w14:paraId="2409201A" w14:textId="77777777" w:rsidR="00E91F6D" w:rsidRPr="005516CD" w:rsidRDefault="00E91F6D"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 xml:space="preserve">Farmer innovate to optimize economic benefits, converting what technicians intend as ecological strategies into microeconomic income-enhancing strategies (for example by introducing perennial food crops into hedgerows promoted as soil conservation measures. </w:t>
      </w:r>
    </w:p>
    <w:p w14:paraId="0D215685" w14:textId="77777777" w:rsidR="00E91F6D" w:rsidRPr="005516CD" w:rsidRDefault="00E91F6D" w:rsidP="00E91F6D">
      <w:pPr>
        <w:autoSpaceDE w:val="0"/>
        <w:autoSpaceDN w:val="0"/>
        <w:adjustRightInd w:val="0"/>
        <w:spacing w:after="120"/>
        <w:ind w:left="142"/>
        <w:rPr>
          <w:rFonts w:asciiTheme="majorHAnsi" w:hAnsiTheme="majorHAnsi" w:cstheme="majorHAnsi"/>
          <w:i/>
          <w:sz w:val="20"/>
          <w:szCs w:val="20"/>
        </w:rPr>
      </w:pPr>
      <w:r w:rsidRPr="005516CD">
        <w:rPr>
          <w:rFonts w:asciiTheme="majorHAnsi" w:hAnsiTheme="majorHAnsi" w:cstheme="majorHAnsi"/>
          <w:i/>
          <w:sz w:val="20"/>
          <w:szCs w:val="20"/>
        </w:rPr>
        <w:t>Locations and social categories</w:t>
      </w:r>
    </w:p>
    <w:p w14:paraId="5300F452" w14:textId="77777777" w:rsidR="009E6166" w:rsidRPr="005516CD" w:rsidRDefault="009E6166"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 xml:space="preserve">Farmers </w:t>
      </w:r>
      <w:r w:rsidR="005302F9" w:rsidRPr="005516CD">
        <w:rPr>
          <w:rFonts w:asciiTheme="majorHAnsi" w:hAnsiTheme="majorHAnsi" w:cstheme="majorHAnsi"/>
          <w:sz w:val="20"/>
          <w:szCs w:val="20"/>
        </w:rPr>
        <w:t xml:space="preserve">generate more money </w:t>
      </w:r>
      <w:r w:rsidR="00F30380" w:rsidRPr="005516CD">
        <w:rPr>
          <w:rFonts w:asciiTheme="majorHAnsi" w:hAnsiTheme="majorHAnsi" w:cstheme="majorHAnsi"/>
          <w:sz w:val="20"/>
          <w:szCs w:val="20"/>
        </w:rPr>
        <w:t xml:space="preserve">from </w:t>
      </w:r>
      <w:r w:rsidR="005302F9" w:rsidRPr="005516CD">
        <w:rPr>
          <w:rFonts w:asciiTheme="majorHAnsi" w:hAnsiTheme="majorHAnsi" w:cstheme="majorHAnsi"/>
          <w:sz w:val="20"/>
          <w:szCs w:val="20"/>
        </w:rPr>
        <w:t xml:space="preserve">the </w:t>
      </w:r>
      <w:r w:rsidR="00F30380" w:rsidRPr="005516CD">
        <w:rPr>
          <w:rFonts w:asciiTheme="majorHAnsi" w:hAnsiTheme="majorHAnsi" w:cstheme="majorHAnsi"/>
          <w:sz w:val="20"/>
          <w:szCs w:val="20"/>
        </w:rPr>
        <w:t xml:space="preserve">sale of tree products on </w:t>
      </w:r>
      <w:r w:rsidR="005302F9" w:rsidRPr="005516CD">
        <w:rPr>
          <w:rFonts w:asciiTheme="majorHAnsi" w:hAnsiTheme="majorHAnsi" w:cstheme="majorHAnsi"/>
          <w:sz w:val="20"/>
          <w:szCs w:val="20"/>
        </w:rPr>
        <w:t xml:space="preserve">closer, more fertile, </w:t>
      </w:r>
      <w:r w:rsidR="00F30380" w:rsidRPr="005516CD">
        <w:rPr>
          <w:rFonts w:asciiTheme="majorHAnsi" w:hAnsiTheme="majorHAnsi" w:cstheme="majorHAnsi"/>
          <w:sz w:val="20"/>
          <w:szCs w:val="20"/>
        </w:rPr>
        <w:t xml:space="preserve">actively cropped </w:t>
      </w:r>
      <w:r w:rsidRPr="005516CD">
        <w:rPr>
          <w:rFonts w:asciiTheme="majorHAnsi" w:hAnsiTheme="majorHAnsi" w:cstheme="majorHAnsi"/>
          <w:sz w:val="20"/>
          <w:szCs w:val="20"/>
        </w:rPr>
        <w:t xml:space="preserve">fields of greater tenure security, </w:t>
      </w:r>
      <w:r w:rsidR="005302F9" w:rsidRPr="005516CD">
        <w:rPr>
          <w:rFonts w:asciiTheme="majorHAnsi" w:hAnsiTheme="majorHAnsi" w:cstheme="majorHAnsi"/>
          <w:sz w:val="20"/>
          <w:szCs w:val="20"/>
        </w:rPr>
        <w:t xml:space="preserve">where </w:t>
      </w:r>
      <w:r w:rsidRPr="005516CD">
        <w:rPr>
          <w:rFonts w:asciiTheme="majorHAnsi" w:hAnsiTheme="majorHAnsi" w:cstheme="majorHAnsi"/>
          <w:sz w:val="20"/>
          <w:szCs w:val="20"/>
        </w:rPr>
        <w:t xml:space="preserve">tree seedlings and fruit trees were more common and there </w:t>
      </w:r>
      <w:r w:rsidR="005302F9" w:rsidRPr="005516CD">
        <w:rPr>
          <w:rFonts w:asciiTheme="majorHAnsi" w:hAnsiTheme="majorHAnsi" w:cstheme="majorHAnsi"/>
          <w:sz w:val="20"/>
          <w:szCs w:val="20"/>
        </w:rPr>
        <w:t xml:space="preserve">is </w:t>
      </w:r>
      <w:r w:rsidRPr="005516CD">
        <w:rPr>
          <w:rFonts w:asciiTheme="majorHAnsi" w:hAnsiTheme="majorHAnsi" w:cstheme="majorHAnsi"/>
          <w:sz w:val="20"/>
          <w:szCs w:val="20"/>
        </w:rPr>
        <w:t xml:space="preserve">a greater density of mature trees. </w:t>
      </w:r>
      <w:r w:rsidR="00F30380" w:rsidRPr="005516CD">
        <w:rPr>
          <w:rFonts w:asciiTheme="majorHAnsi" w:hAnsiTheme="majorHAnsi" w:cstheme="majorHAnsi"/>
          <w:sz w:val="20"/>
          <w:szCs w:val="20"/>
        </w:rPr>
        <w:t xml:space="preserve">Farmers prefer to plant trees on </w:t>
      </w:r>
      <w:r w:rsidR="005302F9" w:rsidRPr="005516CD">
        <w:rPr>
          <w:rFonts w:asciiTheme="majorHAnsi" w:hAnsiTheme="majorHAnsi" w:cstheme="majorHAnsi"/>
          <w:sz w:val="20"/>
          <w:szCs w:val="20"/>
        </w:rPr>
        <w:t xml:space="preserve">these </w:t>
      </w:r>
      <w:r w:rsidR="00F30380" w:rsidRPr="005516CD">
        <w:rPr>
          <w:rFonts w:asciiTheme="majorHAnsi" w:hAnsiTheme="majorHAnsi" w:cstheme="majorHAnsi"/>
          <w:sz w:val="20"/>
          <w:szCs w:val="20"/>
        </w:rPr>
        <w:t>fields as it allows them to protect them better against threats from livestock, thieves, and relatives. These threats generate an economically and ecologically formidable barrier to the expansion of tree planting onto precisely the underutilized plots where the competition from trees would be lowest and the economic increments from wood would be greatest. The problems will all be solvable at a more advanced stage of the transition to planting wood. Kin groups and communities can make arrangements to neutralize each of the three predators and to make tree planting possible on these marginal landscapes.</w:t>
      </w:r>
    </w:p>
    <w:p w14:paraId="66A9DCFB" w14:textId="77777777" w:rsidR="005E7090" w:rsidRPr="005516CD" w:rsidRDefault="005E7090"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 xml:space="preserve">There is a slight statistical tendency for tree-planters to be older, to have slightly more land under secure tenure, and to be in a better position to hire </w:t>
      </w:r>
      <w:proofErr w:type="spellStart"/>
      <w:r w:rsidRPr="005516CD">
        <w:rPr>
          <w:rFonts w:asciiTheme="majorHAnsi" w:hAnsiTheme="majorHAnsi" w:cstheme="majorHAnsi"/>
          <w:sz w:val="20"/>
          <w:szCs w:val="20"/>
        </w:rPr>
        <w:t>labour</w:t>
      </w:r>
      <w:proofErr w:type="spellEnd"/>
      <w:r w:rsidRPr="005516CD">
        <w:rPr>
          <w:rStyle w:val="FootnoteReference"/>
          <w:rFonts w:asciiTheme="majorHAnsi" w:hAnsiTheme="majorHAnsi" w:cstheme="majorHAnsi"/>
          <w:sz w:val="20"/>
          <w:szCs w:val="20"/>
        </w:rPr>
        <w:footnoteReference w:id="43"/>
      </w:r>
      <w:r w:rsidRPr="005516CD">
        <w:rPr>
          <w:rFonts w:asciiTheme="majorHAnsi" w:hAnsiTheme="majorHAnsi" w:cstheme="majorHAnsi"/>
          <w:sz w:val="20"/>
          <w:szCs w:val="20"/>
        </w:rPr>
        <w:t>.</w:t>
      </w:r>
      <w:r w:rsidR="005302F9" w:rsidRPr="005516CD">
        <w:rPr>
          <w:rFonts w:asciiTheme="majorHAnsi" w:hAnsiTheme="majorHAnsi" w:cstheme="majorHAnsi"/>
          <w:sz w:val="20"/>
          <w:szCs w:val="20"/>
        </w:rPr>
        <w:t xml:space="preserve"> </w:t>
      </w:r>
      <w:r w:rsidRPr="005516CD">
        <w:rPr>
          <w:rFonts w:asciiTheme="majorHAnsi" w:hAnsiTheme="majorHAnsi" w:cstheme="majorHAnsi"/>
          <w:sz w:val="20"/>
          <w:szCs w:val="20"/>
        </w:rPr>
        <w:t>Even in households with a conjugal couple, case studies</w:t>
      </w:r>
      <w:r w:rsidRPr="005516CD">
        <w:rPr>
          <w:rStyle w:val="FootnoteReference"/>
          <w:rFonts w:asciiTheme="majorHAnsi" w:hAnsiTheme="majorHAnsi" w:cstheme="majorHAnsi"/>
          <w:sz w:val="20"/>
          <w:szCs w:val="20"/>
        </w:rPr>
        <w:footnoteReference w:id="44"/>
      </w:r>
      <w:r w:rsidRPr="005516CD">
        <w:rPr>
          <w:rFonts w:asciiTheme="majorHAnsi" w:hAnsiTheme="majorHAnsi" w:cstheme="majorHAnsi"/>
          <w:sz w:val="20"/>
          <w:szCs w:val="20"/>
        </w:rPr>
        <w:t xml:space="preserve"> have shown that wives of participants are heavily involved in household decisions whether to plant or not to plant and in the subsequent management of the plantings.</w:t>
      </w:r>
    </w:p>
    <w:p w14:paraId="1D8F784E" w14:textId="77777777" w:rsidR="00E91F6D" w:rsidRPr="005516CD" w:rsidRDefault="00E91F6D" w:rsidP="00E91F6D">
      <w:pPr>
        <w:autoSpaceDE w:val="0"/>
        <w:autoSpaceDN w:val="0"/>
        <w:adjustRightInd w:val="0"/>
        <w:spacing w:after="120"/>
        <w:ind w:left="142"/>
        <w:rPr>
          <w:rFonts w:asciiTheme="majorHAnsi" w:hAnsiTheme="majorHAnsi" w:cstheme="majorHAnsi"/>
          <w:i/>
          <w:sz w:val="20"/>
          <w:szCs w:val="20"/>
        </w:rPr>
      </w:pPr>
      <w:r w:rsidRPr="005516CD">
        <w:rPr>
          <w:rFonts w:asciiTheme="majorHAnsi" w:hAnsiTheme="majorHAnsi" w:cstheme="majorHAnsi"/>
          <w:i/>
          <w:sz w:val="20"/>
          <w:szCs w:val="20"/>
        </w:rPr>
        <w:t>Determinants of tree planting</w:t>
      </w:r>
    </w:p>
    <w:p w14:paraId="24070A20" w14:textId="77777777" w:rsidR="00DF19A9" w:rsidRPr="005516CD" w:rsidRDefault="00F30380"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T</w:t>
      </w:r>
      <w:r w:rsidR="00DF19A9" w:rsidRPr="005516CD">
        <w:rPr>
          <w:rFonts w:asciiTheme="majorHAnsi" w:hAnsiTheme="majorHAnsi" w:cstheme="majorHAnsi"/>
          <w:sz w:val="20"/>
          <w:szCs w:val="20"/>
        </w:rPr>
        <w:t xml:space="preserve">he functionally important variable </w:t>
      </w:r>
      <w:r w:rsidRPr="005516CD">
        <w:rPr>
          <w:rFonts w:asciiTheme="majorHAnsi" w:hAnsiTheme="majorHAnsi" w:cstheme="majorHAnsi"/>
          <w:sz w:val="20"/>
          <w:szCs w:val="20"/>
        </w:rPr>
        <w:t xml:space="preserve">determining willingness to plant </w:t>
      </w:r>
      <w:r w:rsidR="00DF19A9" w:rsidRPr="005516CD">
        <w:rPr>
          <w:rFonts w:asciiTheme="majorHAnsi" w:hAnsiTheme="majorHAnsi" w:cstheme="majorHAnsi"/>
          <w:sz w:val="20"/>
          <w:szCs w:val="20"/>
        </w:rPr>
        <w:t xml:space="preserve">is not legally deeded ownership of the plot but rather secure control over the trees, which can be acquired through informal </w:t>
      </w:r>
      <w:r w:rsidRPr="005516CD">
        <w:rPr>
          <w:rFonts w:asciiTheme="majorHAnsi" w:hAnsiTheme="majorHAnsi" w:cstheme="majorHAnsi"/>
          <w:i/>
          <w:sz w:val="20"/>
          <w:szCs w:val="20"/>
        </w:rPr>
        <w:t>de facto</w:t>
      </w:r>
      <w:r w:rsidRPr="005516CD">
        <w:rPr>
          <w:rFonts w:asciiTheme="majorHAnsi" w:hAnsiTheme="majorHAnsi" w:cstheme="majorHAnsi"/>
          <w:sz w:val="20"/>
          <w:szCs w:val="20"/>
        </w:rPr>
        <w:t xml:space="preserve"> </w:t>
      </w:r>
      <w:r w:rsidR="00DF19A9" w:rsidRPr="005516CD">
        <w:rPr>
          <w:rFonts w:asciiTheme="majorHAnsi" w:hAnsiTheme="majorHAnsi" w:cstheme="majorHAnsi"/>
          <w:sz w:val="20"/>
          <w:szCs w:val="20"/>
        </w:rPr>
        <w:t>land ownership. Purchased and subdivided inheritance plots are recognized by the community as ‘owned’ by farmers even in the absence of surveyed deeds. The ownership of the tree is, in fact, the key variable predicting willingness to plant.</w:t>
      </w:r>
    </w:p>
    <w:p w14:paraId="3D1C3389" w14:textId="77777777" w:rsidR="005302F9" w:rsidRPr="005516CD" w:rsidRDefault="005302F9"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There is a strong tendency to plant project trees in conjunction with one’s plots. The agroforestry configurations that emerge on agricultural land and on house sites are rich in their diversity. The preferred strategy is to convert the border of the plot into the principal locus of the trees. No clear-cutting is generally performed on these trees; they are kept rather as a permanent source of wood, to be harvested selectively as needed.</w:t>
      </w:r>
    </w:p>
    <w:p w14:paraId="7DF1D44D" w14:textId="77777777" w:rsidR="005302F9" w:rsidRPr="005516CD" w:rsidRDefault="005302F9"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 xml:space="preserve">As a general rule, sharecropping arrangements impedes tree-planting. Barring exceptional arrangements, tenants will not plant trees as they will probably not be the ones to harvest them. The landowner will not plant, as the sharecropper will take subtle measures to eliminate them. </w:t>
      </w:r>
    </w:p>
    <w:p w14:paraId="416A7D64" w14:textId="77777777" w:rsidR="005302F9" w:rsidRPr="005516CD" w:rsidRDefault="005302F9"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 xml:space="preserve">In a small number of cases even entire plots with at least some agricultural potential are allowed to evolve into permanent woodlots. But this is done for exceptional reasons – the owner may be aging and may have less energy for agrarian </w:t>
      </w:r>
      <w:proofErr w:type="gramStart"/>
      <w:r w:rsidRPr="005516CD">
        <w:rPr>
          <w:rFonts w:asciiTheme="majorHAnsi" w:hAnsiTheme="majorHAnsi" w:cstheme="majorHAnsi"/>
          <w:sz w:val="20"/>
          <w:szCs w:val="20"/>
        </w:rPr>
        <w:t>pursuits, or</w:t>
      </w:r>
      <w:proofErr w:type="gramEnd"/>
      <w:r w:rsidRPr="005516CD">
        <w:rPr>
          <w:rFonts w:asciiTheme="majorHAnsi" w:hAnsiTheme="majorHAnsi" w:cstheme="majorHAnsi"/>
          <w:sz w:val="20"/>
          <w:szCs w:val="20"/>
        </w:rPr>
        <w:t xml:space="preserve"> may migrate temporarily to the Dominican Republic and can get more from the land by turning it over to low-maintenance trees. This is not done with enough frequency to cause a cut in local food supplies.</w:t>
      </w:r>
    </w:p>
    <w:p w14:paraId="2D594311" w14:textId="77777777" w:rsidR="00941C2E" w:rsidRPr="005516CD" w:rsidRDefault="00941C2E" w:rsidP="00FC4C31">
      <w:pPr>
        <w:keepNext/>
        <w:autoSpaceDE w:val="0"/>
        <w:autoSpaceDN w:val="0"/>
        <w:adjustRightInd w:val="0"/>
        <w:spacing w:after="120"/>
        <w:ind w:left="142"/>
        <w:rPr>
          <w:rFonts w:asciiTheme="majorHAnsi" w:hAnsiTheme="majorHAnsi" w:cstheme="majorHAnsi"/>
          <w:i/>
          <w:sz w:val="20"/>
          <w:szCs w:val="20"/>
        </w:rPr>
      </w:pPr>
      <w:r w:rsidRPr="005516CD">
        <w:rPr>
          <w:rFonts w:asciiTheme="majorHAnsi" w:hAnsiTheme="majorHAnsi" w:cstheme="majorHAnsi"/>
          <w:i/>
          <w:sz w:val="20"/>
          <w:szCs w:val="20"/>
        </w:rPr>
        <w:t xml:space="preserve">Participation </w:t>
      </w:r>
    </w:p>
    <w:p w14:paraId="546E9F91" w14:textId="77777777" w:rsidR="00E91F6D" w:rsidRPr="005516CD" w:rsidRDefault="00E91F6D"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Organizations involved in natural resource management projects in Haiti all acknowledge that community participation is critical to success. Yet project beneficiaries and civil servants often say that projects are inadequate for local needs, communities often feel little ownership, and interventions are often unsustainable.</w:t>
      </w:r>
    </w:p>
    <w:p w14:paraId="32EC66F3" w14:textId="77777777" w:rsidR="00E91F6D" w:rsidRPr="005516CD" w:rsidRDefault="00E91F6D"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In some cases, participatory projects initially satisfy communities less than short-term, quick-impact programs do, but eventually, they usually result in a higher level of community engagement and ownership. Participation in establishing protected areas also encourages compliance and reduces the need for and cost of extensive systems of enforcement.</w:t>
      </w:r>
    </w:p>
    <w:p w14:paraId="323659FC" w14:textId="77777777" w:rsidR="00E91F6D" w:rsidRPr="005516CD" w:rsidRDefault="00E91F6D" w:rsidP="006B27F4">
      <w:pPr>
        <w:pStyle w:val="ListParagraph"/>
        <w:numPr>
          <w:ilvl w:val="0"/>
          <w:numId w:val="88"/>
        </w:numPr>
        <w:autoSpaceDE w:val="0"/>
        <w:autoSpaceDN w:val="0"/>
        <w:adjustRightInd w:val="0"/>
        <w:spacing w:after="120"/>
        <w:ind w:left="426" w:hanging="216"/>
        <w:rPr>
          <w:rFonts w:asciiTheme="majorHAnsi" w:hAnsiTheme="majorHAnsi" w:cstheme="majorHAnsi"/>
          <w:sz w:val="20"/>
          <w:szCs w:val="20"/>
        </w:rPr>
      </w:pPr>
      <w:r w:rsidRPr="005516CD">
        <w:rPr>
          <w:rFonts w:asciiTheme="majorHAnsi" w:hAnsiTheme="majorHAnsi" w:cstheme="majorHAnsi"/>
          <w:sz w:val="20"/>
          <w:szCs w:val="20"/>
        </w:rPr>
        <w:t>Having a project office on-site facilitates the participatory process, maximizes capacity building, and enables effective monitoring. Coordinators in an on-site support office can earn the trust of local communities and authorities because they are accessible.</w:t>
      </w:r>
    </w:p>
    <w:p w14:paraId="6A26ECFD" w14:textId="77777777" w:rsidR="00FC68F2" w:rsidRPr="005516CD" w:rsidRDefault="00FC68F2" w:rsidP="00FC68F2">
      <w:pPr>
        <w:autoSpaceDE w:val="0"/>
        <w:autoSpaceDN w:val="0"/>
        <w:adjustRightInd w:val="0"/>
        <w:spacing w:after="120"/>
        <w:rPr>
          <w:rFonts w:asciiTheme="majorHAnsi" w:hAnsiTheme="majorHAnsi" w:cstheme="majorHAnsi"/>
          <w:i/>
          <w:sz w:val="20"/>
          <w:szCs w:val="20"/>
        </w:rPr>
      </w:pPr>
      <w:r w:rsidRPr="005516CD">
        <w:rPr>
          <w:rFonts w:asciiTheme="majorHAnsi" w:hAnsiTheme="majorHAnsi" w:cstheme="majorHAnsi"/>
          <w:i/>
          <w:sz w:val="20"/>
          <w:szCs w:val="20"/>
        </w:rPr>
        <w:t xml:space="preserve">Lessons learned from EBA project </w:t>
      </w:r>
    </w:p>
    <w:p w14:paraId="725E9AF2" w14:textId="77777777" w:rsidR="001F032E" w:rsidRPr="005516CD" w:rsidRDefault="004C12F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GEF </w:t>
      </w:r>
      <w:r w:rsidR="00FC68F2" w:rsidRPr="005516CD">
        <w:rPr>
          <w:rFonts w:asciiTheme="majorHAnsi" w:hAnsiTheme="majorHAnsi" w:cstheme="majorHAnsi"/>
          <w:sz w:val="20"/>
          <w:szCs w:val="20"/>
        </w:rPr>
        <w:t xml:space="preserve">Project </w:t>
      </w:r>
      <w:r w:rsidRPr="005516CD">
        <w:rPr>
          <w:rFonts w:asciiTheme="majorHAnsi" w:hAnsiTheme="majorHAnsi" w:cstheme="majorHAnsi"/>
          <w:sz w:val="20"/>
          <w:szCs w:val="20"/>
        </w:rPr>
        <w:t xml:space="preserve">5380 </w:t>
      </w:r>
      <w:r w:rsidR="00FC68F2" w:rsidRPr="005516CD">
        <w:rPr>
          <w:rFonts w:asciiTheme="majorHAnsi" w:hAnsiTheme="majorHAnsi" w:cstheme="majorHAnsi"/>
          <w:sz w:val="20"/>
          <w:szCs w:val="20"/>
        </w:rPr>
        <w:t>“</w:t>
      </w:r>
      <w:hyperlink r:id="rId22" w:history="1">
        <w:r w:rsidRPr="005516CD">
          <w:rPr>
            <w:rStyle w:val="Hyperlink"/>
            <w:rFonts w:asciiTheme="majorHAnsi" w:hAnsiTheme="majorHAnsi" w:cstheme="majorHAnsi"/>
            <w:sz w:val="20"/>
            <w:szCs w:val="20"/>
            <w:u w:val="none"/>
          </w:rPr>
          <w:t>Increasing Resilience of Ecosystems and Vulnerable Communities to CC and Anthropic Threats Through a Ridge to Reef Approach to BD Conservation and Watershed Management</w:t>
        </w:r>
      </w:hyperlink>
      <w:r w:rsidR="00FC68F2"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(known as the “EBA project”) </w:t>
      </w:r>
      <w:r w:rsidR="00FC68F2" w:rsidRPr="005516CD">
        <w:rPr>
          <w:rFonts w:asciiTheme="majorHAnsi" w:hAnsiTheme="majorHAnsi" w:cstheme="majorHAnsi"/>
          <w:sz w:val="20"/>
          <w:szCs w:val="20"/>
        </w:rPr>
        <w:t>had its mid-term evaluation in October 2018. Key findings and lessons learned include the following:</w:t>
      </w:r>
    </w:p>
    <w:p w14:paraId="326B2B7A" w14:textId="77777777" w:rsidR="00FC68F2" w:rsidRPr="005516CD" w:rsidRDefault="00FC68F2"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The inclusion of three separate target areas added excessive complexity and logistical difficulty to the project.</w:t>
      </w:r>
    </w:p>
    <w:p w14:paraId="546FC102" w14:textId="77777777" w:rsidR="00FC68F2" w:rsidRPr="005516CD" w:rsidRDefault="00FC68F2"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Inadequate attention to formalizing </w:t>
      </w:r>
      <w:proofErr w:type="spellStart"/>
      <w:r w:rsidRPr="005516CD">
        <w:rPr>
          <w:rFonts w:asciiTheme="majorHAnsi" w:hAnsiTheme="majorHAnsi" w:cstheme="majorHAnsi"/>
          <w:sz w:val="20"/>
          <w:szCs w:val="20"/>
        </w:rPr>
        <w:t>cofinancing</w:t>
      </w:r>
      <w:proofErr w:type="spellEnd"/>
      <w:r w:rsidRPr="005516CD">
        <w:rPr>
          <w:rFonts w:asciiTheme="majorHAnsi" w:hAnsiTheme="majorHAnsi" w:cstheme="majorHAnsi"/>
          <w:sz w:val="20"/>
          <w:szCs w:val="20"/>
        </w:rPr>
        <w:t xml:space="preserve"> arrangements during the PPG phase results in limited buy-in during implementation</w:t>
      </w:r>
      <w:r w:rsidR="0013753A" w:rsidRPr="005516CD">
        <w:rPr>
          <w:rFonts w:asciiTheme="majorHAnsi" w:hAnsiTheme="majorHAnsi" w:cstheme="majorHAnsi"/>
          <w:sz w:val="20"/>
          <w:szCs w:val="20"/>
        </w:rPr>
        <w:t>, compounded by inadequate leadership in following up opportunities</w:t>
      </w:r>
      <w:r w:rsidRPr="005516CD">
        <w:rPr>
          <w:rFonts w:asciiTheme="majorHAnsi" w:hAnsiTheme="majorHAnsi" w:cstheme="majorHAnsi"/>
          <w:sz w:val="20"/>
          <w:szCs w:val="20"/>
        </w:rPr>
        <w:t>.</w:t>
      </w:r>
    </w:p>
    <w:p w14:paraId="5E4C53D3" w14:textId="77777777" w:rsidR="00FC68F2" w:rsidRPr="005516CD" w:rsidRDefault="00FC68F2"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The project’s proposals to improve governance and inter-institutional coordination were excessively ambitious</w:t>
      </w:r>
      <w:r w:rsidR="007964A8" w:rsidRPr="005516CD">
        <w:rPr>
          <w:rFonts w:asciiTheme="majorHAnsi" w:hAnsiTheme="majorHAnsi" w:cstheme="majorHAnsi"/>
          <w:sz w:val="20"/>
          <w:szCs w:val="20"/>
        </w:rPr>
        <w:t>.</w:t>
      </w:r>
    </w:p>
    <w:p w14:paraId="3138A749" w14:textId="77777777" w:rsidR="007964A8" w:rsidRPr="005516CD" w:rsidRDefault="007964A8"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Department-level sector platforms were largely ineffective, and there was little coordination between Environment and Agriculture Directorates at Department level.</w:t>
      </w:r>
    </w:p>
    <w:p w14:paraId="657668FE" w14:textId="77777777" w:rsidR="0013753A" w:rsidRPr="005516CD" w:rsidRDefault="007964A8"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Value chain aspects were not adequately taken into account in production systems, </w:t>
      </w:r>
      <w:r w:rsidR="0013753A" w:rsidRPr="005516CD">
        <w:rPr>
          <w:rFonts w:asciiTheme="majorHAnsi" w:hAnsiTheme="majorHAnsi" w:cstheme="majorHAnsi"/>
          <w:sz w:val="20"/>
          <w:szCs w:val="20"/>
        </w:rPr>
        <w:t>which undermined sustainability.</w:t>
      </w:r>
    </w:p>
    <w:p w14:paraId="0AA6D170" w14:textId="77777777" w:rsidR="007964A8" w:rsidRPr="005516CD" w:rsidRDefault="0013753A"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Agroforestry reforestation targets were excessively ambitious.</w:t>
      </w:r>
      <w:r w:rsidR="007964A8" w:rsidRPr="005516CD">
        <w:rPr>
          <w:rFonts w:asciiTheme="majorHAnsi" w:hAnsiTheme="majorHAnsi" w:cstheme="majorHAnsi"/>
          <w:sz w:val="20"/>
          <w:szCs w:val="20"/>
        </w:rPr>
        <w:t xml:space="preserve"> </w:t>
      </w:r>
    </w:p>
    <w:p w14:paraId="3CBD5E26" w14:textId="77777777" w:rsidR="0028474E" w:rsidRPr="005516CD" w:rsidRDefault="0028474E" w:rsidP="007B146B">
      <w:pPr>
        <w:pStyle w:val="Heading2"/>
        <w:spacing w:after="0"/>
        <w:ind w:left="0"/>
        <w:rPr>
          <w:rStyle w:val="None"/>
          <w:rFonts w:ascii="Calibri" w:eastAsia="Calibri" w:hAnsi="Calibri" w:cs="Calibri"/>
          <w:u w:val="single"/>
          <w:lang w:val="en-US"/>
        </w:rPr>
      </w:pPr>
      <w:bookmarkStart w:id="33" w:name="_Toc8933081"/>
      <w:r w:rsidRPr="005516CD">
        <w:rPr>
          <w:rStyle w:val="None"/>
          <w:rFonts w:ascii="Calibri" w:eastAsia="Calibri" w:hAnsi="Calibri" w:cs="Calibri"/>
          <w:u w:val="single"/>
          <w:lang w:val="en-US"/>
        </w:rPr>
        <w:t>Theory of change and incremental reasoning</w:t>
      </w:r>
      <w:bookmarkEnd w:id="33"/>
    </w:p>
    <w:p w14:paraId="47D1B4F1" w14:textId="7A323CD7" w:rsidR="0028474E" w:rsidRPr="005516CD" w:rsidRDefault="0028474E"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eastAsia="Calibri" w:hAnsiTheme="majorHAnsi" w:cstheme="majorHAnsi"/>
          <w:sz w:val="20"/>
          <w:szCs w:val="20"/>
        </w:rPr>
        <w:t xml:space="preserve">The project theory of change is depicted in </w:t>
      </w:r>
      <w:r w:rsidRPr="005516CD">
        <w:rPr>
          <w:rFonts w:asciiTheme="majorHAnsi" w:eastAsia="Calibri" w:hAnsiTheme="majorHAnsi" w:cstheme="majorHAnsi"/>
          <w:sz w:val="20"/>
          <w:szCs w:val="20"/>
        </w:rPr>
        <w:fldChar w:fldCharType="begin"/>
      </w:r>
      <w:r w:rsidRPr="005516CD">
        <w:rPr>
          <w:rFonts w:asciiTheme="majorHAnsi" w:eastAsia="Calibri" w:hAnsiTheme="majorHAnsi" w:cstheme="majorHAnsi"/>
          <w:sz w:val="20"/>
          <w:szCs w:val="20"/>
        </w:rPr>
        <w:instrText xml:space="preserve"> REF _Ref527963414 \r \h </w:instrText>
      </w:r>
      <w:r w:rsidR="005516CD">
        <w:rPr>
          <w:rFonts w:asciiTheme="majorHAnsi" w:eastAsia="Calibri" w:hAnsiTheme="majorHAnsi" w:cstheme="majorHAnsi"/>
          <w:sz w:val="20"/>
          <w:szCs w:val="20"/>
        </w:rPr>
        <w:instrText xml:space="preserve"> \* MERGEFORMAT </w:instrText>
      </w:r>
      <w:r w:rsidRPr="005516CD">
        <w:rPr>
          <w:rFonts w:asciiTheme="majorHAnsi" w:eastAsia="Calibri" w:hAnsiTheme="majorHAnsi" w:cstheme="majorHAnsi"/>
          <w:sz w:val="20"/>
          <w:szCs w:val="20"/>
        </w:rPr>
      </w:r>
      <w:r w:rsidRPr="005516CD">
        <w:rPr>
          <w:rFonts w:asciiTheme="majorHAnsi" w:eastAsia="Calibri" w:hAnsiTheme="majorHAnsi" w:cstheme="majorHAnsi"/>
          <w:sz w:val="20"/>
          <w:szCs w:val="20"/>
        </w:rPr>
        <w:fldChar w:fldCharType="separate"/>
      </w:r>
      <w:r w:rsidR="00DD5948">
        <w:rPr>
          <w:rFonts w:asciiTheme="majorHAnsi" w:eastAsia="Calibri" w:hAnsiTheme="majorHAnsi" w:cstheme="majorHAnsi"/>
          <w:sz w:val="20"/>
          <w:szCs w:val="20"/>
        </w:rPr>
        <w:t>Figure 12</w:t>
      </w:r>
      <w:r w:rsidRPr="005516CD">
        <w:rPr>
          <w:rFonts w:asciiTheme="majorHAnsi" w:eastAsia="Calibri" w:hAnsiTheme="majorHAnsi" w:cstheme="majorHAnsi"/>
          <w:sz w:val="20"/>
          <w:szCs w:val="20"/>
        </w:rPr>
        <w:fldChar w:fldCharType="end"/>
      </w:r>
      <w:r w:rsidRPr="005516CD">
        <w:rPr>
          <w:rFonts w:asciiTheme="majorHAnsi" w:eastAsia="Calibri" w:hAnsiTheme="majorHAnsi" w:cstheme="majorHAnsi"/>
          <w:sz w:val="20"/>
          <w:szCs w:val="20"/>
        </w:rPr>
        <w:t xml:space="preserve">. The principal threat that the project will address, with potentially negative implications for global environmental values and local livelihoods, is the conversion of shade cacao and coffee farms to less BD-friendly annual crops and pasture (for more detail see Section II). </w:t>
      </w:r>
      <w:r w:rsidRPr="005516CD">
        <w:rPr>
          <w:rFonts w:asciiTheme="majorHAnsi" w:hAnsiTheme="majorHAnsi" w:cstheme="majorHAnsi"/>
          <w:sz w:val="20"/>
          <w:szCs w:val="20"/>
        </w:rPr>
        <w:t>Without external technical, marketing and investment support, these plantations are subject to very low intensity management (</w:t>
      </w:r>
      <w:r w:rsidR="00B131AA" w:rsidRPr="005516CD">
        <w:rPr>
          <w:rFonts w:asciiTheme="majorHAnsi" w:hAnsiTheme="majorHAnsi" w:cstheme="majorHAnsi"/>
          <w:sz w:val="20"/>
          <w:szCs w:val="20"/>
        </w:rPr>
        <w:fldChar w:fldCharType="begin"/>
      </w:r>
      <w:r w:rsidR="00B131AA" w:rsidRPr="005516CD">
        <w:rPr>
          <w:rFonts w:asciiTheme="majorHAnsi" w:hAnsiTheme="majorHAnsi" w:cstheme="majorHAnsi"/>
          <w:sz w:val="20"/>
          <w:szCs w:val="20"/>
        </w:rPr>
        <w:instrText xml:space="preserve"> REF _Ref530040487 \r \h </w:instrText>
      </w:r>
      <w:r w:rsidR="005516CD">
        <w:rPr>
          <w:rFonts w:asciiTheme="majorHAnsi" w:hAnsiTheme="majorHAnsi" w:cstheme="majorHAnsi"/>
          <w:sz w:val="20"/>
          <w:szCs w:val="20"/>
        </w:rPr>
        <w:instrText xml:space="preserve"> \* MERGEFORMAT </w:instrText>
      </w:r>
      <w:r w:rsidR="00B131AA" w:rsidRPr="005516CD">
        <w:rPr>
          <w:rFonts w:asciiTheme="majorHAnsi" w:hAnsiTheme="majorHAnsi" w:cstheme="majorHAnsi"/>
          <w:sz w:val="20"/>
          <w:szCs w:val="20"/>
        </w:rPr>
      </w:r>
      <w:r w:rsidR="00B131AA"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Figure 8</w:t>
      </w:r>
      <w:r w:rsidR="00B131AA" w:rsidRPr="005516CD">
        <w:rPr>
          <w:rFonts w:asciiTheme="majorHAnsi" w:hAnsiTheme="majorHAnsi" w:cstheme="majorHAnsi"/>
          <w:sz w:val="20"/>
          <w:szCs w:val="20"/>
        </w:rPr>
        <w:fldChar w:fldCharType="end"/>
      </w:r>
      <w:r w:rsidRPr="005516CD">
        <w:rPr>
          <w:rFonts w:asciiTheme="majorHAnsi" w:hAnsiTheme="majorHAnsi" w:cstheme="majorHAnsi"/>
          <w:sz w:val="20"/>
          <w:szCs w:val="20"/>
        </w:rPr>
        <w:t>). These “rustic” plantations tend to be relatively BD-friendly and generate a wide diversity of food and other products for farmers. They are, however, characterized by low productivity, and at the same time farmers typically lack the ability to access high and/or stable prices for their production. As a result, these plantations may be less able to meet farmers’ short-term income needs than annual crops or livestock, and in consequence they are often cleared for conversion to annual agriculture or pasture. The BD and livelihood services generated by these rustic plantations are therefore not sustainable.</w:t>
      </w:r>
    </w:p>
    <w:p w14:paraId="531752EC" w14:textId="77777777" w:rsidR="00017919" w:rsidRPr="005516CD" w:rsidRDefault="00017919"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At the same time, other farm units are being managed unsustainably leading to land degradation, increasing the amount of land that farmers are obliged to use to meet their livelihood support needs, typically at the expense of areas of trees (including cacao and coffee plantations). Other threats include the unsustainable extraction of charcoal and wildfires.</w:t>
      </w:r>
    </w:p>
    <w:p w14:paraId="40D50B9D" w14:textId="77777777" w:rsidR="009F1D8C" w:rsidRPr="005516CD" w:rsidRDefault="009F1D8C" w:rsidP="006B27F4">
      <w:pPr>
        <w:pStyle w:val="ListParagraph"/>
        <w:keepNext/>
        <w:numPr>
          <w:ilvl w:val="6"/>
          <w:numId w:val="91"/>
        </w:numPr>
        <w:tabs>
          <w:tab w:val="num" w:pos="4680"/>
        </w:tabs>
        <w:autoSpaceDE w:val="0"/>
        <w:autoSpaceDN w:val="0"/>
        <w:adjustRightInd w:val="0"/>
        <w:ind w:left="851" w:right="96" w:hanging="851"/>
        <w:rPr>
          <w:rFonts w:asciiTheme="majorHAnsi" w:eastAsia="Calibri" w:hAnsiTheme="majorHAnsi" w:cstheme="majorHAnsi"/>
          <w:b/>
          <w:sz w:val="20"/>
          <w:szCs w:val="20"/>
        </w:rPr>
      </w:pPr>
      <w:bookmarkStart w:id="34" w:name="_Ref530040487"/>
      <w:bookmarkStart w:id="35" w:name="_Ref529629043"/>
      <w:r w:rsidRPr="005516CD">
        <w:rPr>
          <w:rFonts w:asciiTheme="majorHAnsi" w:eastAsia="Calibri" w:hAnsiTheme="majorHAnsi" w:cstheme="majorHAnsi"/>
          <w:b/>
          <w:sz w:val="20"/>
          <w:szCs w:val="20"/>
        </w:rPr>
        <w:t>Land use changes and trade-offs under alternative scenarios</w:t>
      </w:r>
      <w:bookmarkEnd w:id="34"/>
    </w:p>
    <w:bookmarkEnd w:id="35"/>
    <w:p w14:paraId="482B64BF" w14:textId="77777777" w:rsidR="009F1D8C" w:rsidRPr="005516CD" w:rsidRDefault="009F1D8C" w:rsidP="00FC4C31">
      <w:pPr>
        <w:tabs>
          <w:tab w:val="left" w:pos="426"/>
        </w:tabs>
        <w:spacing w:after="120"/>
        <w:ind w:left="-284" w:right="96"/>
        <w:jc w:val="both"/>
        <w:rPr>
          <w:rFonts w:asciiTheme="majorHAnsi" w:eastAsia="Calibri" w:hAnsiTheme="majorHAnsi" w:cstheme="majorHAnsi"/>
          <w:sz w:val="20"/>
          <w:szCs w:val="20"/>
        </w:rPr>
      </w:pPr>
      <w:r w:rsidRPr="005516CD">
        <w:rPr>
          <w:rFonts w:asciiTheme="majorHAnsi" w:eastAsia="Calibri" w:hAnsiTheme="majorHAnsi" w:cstheme="majorHAnsi"/>
          <w:noProof/>
          <w:sz w:val="20"/>
          <w:szCs w:val="20"/>
          <w:lang w:val="en-US" w:eastAsia="en-US"/>
        </w:rPr>
        <w:drawing>
          <wp:inline distT="0" distB="0" distL="0" distR="0" wp14:anchorId="06D6C8F8" wp14:editId="78E883FE">
            <wp:extent cx="6081308" cy="3694176"/>
            <wp:effectExtent l="0" t="0" r="762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081308" cy="3694176"/>
                    </a:xfrm>
                    <a:prstGeom prst="rect">
                      <a:avLst/>
                    </a:prstGeom>
                    <a:noFill/>
                  </pic:spPr>
                </pic:pic>
              </a:graphicData>
            </a:graphic>
          </wp:inline>
        </w:drawing>
      </w:r>
    </w:p>
    <w:p w14:paraId="43C4BDA4" w14:textId="77777777" w:rsidR="00746143" w:rsidRPr="005516CD" w:rsidRDefault="009F1D8C"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Although limited data are available in Haiti, a case study in Bolivia</w:t>
      </w:r>
      <w:r w:rsidR="00401E2F" w:rsidRPr="005516CD">
        <w:rPr>
          <w:rStyle w:val="FootnoteReference"/>
          <w:rFonts w:asciiTheme="majorHAnsi" w:hAnsiTheme="majorHAnsi" w:cstheme="majorHAnsi"/>
          <w:sz w:val="20"/>
          <w:szCs w:val="20"/>
        </w:rPr>
        <w:footnoteReference w:id="45"/>
      </w:r>
      <w:r w:rsidRPr="005516CD">
        <w:rPr>
          <w:rFonts w:asciiTheme="majorHAnsi" w:hAnsiTheme="majorHAnsi" w:cstheme="majorHAnsi"/>
          <w:sz w:val="20"/>
          <w:szCs w:val="20"/>
        </w:rPr>
        <w:t xml:space="preserve"> </w:t>
      </w:r>
      <w:r w:rsidR="00E91A1B" w:rsidRPr="005516CD">
        <w:rPr>
          <w:rFonts w:asciiTheme="majorHAnsi" w:hAnsiTheme="majorHAnsi" w:cstheme="majorHAnsi"/>
          <w:sz w:val="20"/>
          <w:szCs w:val="20"/>
        </w:rPr>
        <w:t xml:space="preserve">(see Additional Annex B) </w:t>
      </w:r>
      <w:r w:rsidRPr="005516CD">
        <w:rPr>
          <w:rFonts w:asciiTheme="majorHAnsi" w:hAnsiTheme="majorHAnsi" w:cstheme="majorHAnsi"/>
          <w:sz w:val="20"/>
          <w:szCs w:val="20"/>
        </w:rPr>
        <w:t xml:space="preserve">found that diversified cacao agroforestry systems generated lower yields of cacao dry beans and plantains, but, importantly, higher cumulative levels of all marketable products, </w:t>
      </w:r>
      <w:r w:rsidRPr="005516CD">
        <w:rPr>
          <w:rFonts w:asciiTheme="majorHAnsi" w:eastAsia="Calibri" w:hAnsiTheme="majorHAnsi" w:cstheme="majorHAnsi"/>
          <w:sz w:val="20"/>
          <w:szCs w:val="20"/>
        </w:rPr>
        <w:t>than</w:t>
      </w:r>
      <w:r w:rsidRPr="005516CD">
        <w:rPr>
          <w:rFonts w:asciiTheme="majorHAnsi" w:hAnsiTheme="majorHAnsi" w:cstheme="majorHAnsi"/>
          <w:sz w:val="20"/>
          <w:szCs w:val="20"/>
        </w:rPr>
        <w:t xml:space="preserve"> conventional or organic monocrops of cacao. Total system yields </w:t>
      </w:r>
      <w:r w:rsidR="00D62DB3" w:rsidRPr="005516CD">
        <w:rPr>
          <w:rFonts w:asciiTheme="majorHAnsi" w:hAnsiTheme="majorHAnsi" w:cstheme="majorHAnsi"/>
          <w:sz w:val="20"/>
          <w:szCs w:val="20"/>
        </w:rPr>
        <w:t xml:space="preserve">over four years </w:t>
      </w:r>
      <w:r w:rsidRPr="005516CD">
        <w:rPr>
          <w:rFonts w:asciiTheme="majorHAnsi" w:hAnsiTheme="majorHAnsi" w:cstheme="majorHAnsi"/>
          <w:sz w:val="20"/>
          <w:szCs w:val="20"/>
        </w:rPr>
        <w:t>ranged from 13,618 kg dry matter ha</w:t>
      </w:r>
      <w:r w:rsidRPr="005516CD">
        <w:rPr>
          <w:rFonts w:asciiTheme="majorHAnsi" w:hAnsiTheme="majorHAnsi" w:cstheme="majorHAnsi"/>
          <w:sz w:val="20"/>
          <w:szCs w:val="20"/>
          <w:vertAlign w:val="superscript"/>
        </w:rPr>
        <w:t>−1</w:t>
      </w:r>
      <w:r w:rsidRPr="005516CD">
        <w:rPr>
          <w:rFonts w:asciiTheme="majorHAnsi" w:hAnsiTheme="majorHAnsi" w:cstheme="majorHAnsi"/>
          <w:sz w:val="20"/>
          <w:szCs w:val="20"/>
        </w:rPr>
        <w:t xml:space="preserve"> in conventional agroforestry systems to only 3,464 kg dry matter ha</w:t>
      </w:r>
      <w:r w:rsidRPr="005516CD">
        <w:rPr>
          <w:rFonts w:asciiTheme="majorHAnsi" w:hAnsiTheme="majorHAnsi" w:cstheme="majorHAnsi"/>
          <w:sz w:val="20"/>
          <w:szCs w:val="20"/>
          <w:vertAlign w:val="superscript"/>
        </w:rPr>
        <w:t>−1</w:t>
      </w:r>
      <w:r w:rsidRPr="005516CD">
        <w:rPr>
          <w:rFonts w:asciiTheme="majorHAnsi" w:hAnsiTheme="majorHAnsi" w:cstheme="majorHAnsi"/>
          <w:sz w:val="20"/>
          <w:szCs w:val="20"/>
        </w:rPr>
        <w:t xml:space="preserve"> organic monocrops</w:t>
      </w:r>
      <w:r w:rsidR="00D62DB3" w:rsidRPr="005516CD">
        <w:rPr>
          <w:rFonts w:asciiTheme="majorHAnsi" w:hAnsiTheme="majorHAnsi" w:cstheme="majorHAnsi"/>
          <w:sz w:val="20"/>
          <w:szCs w:val="20"/>
        </w:rPr>
        <w:t xml:space="preserve">: in successional agroforestry systems, 5,118 kg ha-1 of diversified fruits and tubers were harvested. </w:t>
      </w:r>
    </w:p>
    <w:p w14:paraId="6DAC16A4" w14:textId="77777777" w:rsidR="0028474E" w:rsidRPr="005516CD" w:rsidRDefault="0028474E" w:rsidP="006B27F4">
      <w:pPr>
        <w:pStyle w:val="ListParagraph"/>
        <w:keepNext/>
        <w:numPr>
          <w:ilvl w:val="6"/>
          <w:numId w:val="91"/>
        </w:numPr>
        <w:tabs>
          <w:tab w:val="num" w:pos="4680"/>
        </w:tabs>
        <w:autoSpaceDE w:val="0"/>
        <w:autoSpaceDN w:val="0"/>
        <w:adjustRightInd w:val="0"/>
        <w:ind w:left="851" w:right="96" w:hanging="851"/>
        <w:rPr>
          <w:rFonts w:asciiTheme="majorHAnsi" w:eastAsia="Calibri" w:hAnsiTheme="majorHAnsi" w:cstheme="majorHAnsi"/>
          <w:b/>
          <w:sz w:val="20"/>
          <w:szCs w:val="20"/>
        </w:rPr>
      </w:pPr>
      <w:bookmarkStart w:id="36" w:name="_Ref527963615"/>
      <w:r w:rsidRPr="005516CD">
        <w:rPr>
          <w:rFonts w:asciiTheme="majorHAnsi" w:eastAsia="Calibri" w:hAnsiTheme="majorHAnsi" w:cstheme="majorHAnsi"/>
          <w:b/>
          <w:sz w:val="20"/>
          <w:szCs w:val="20"/>
        </w:rPr>
        <w:t xml:space="preserve">Situation without external support </w:t>
      </w:r>
      <w:r w:rsidRPr="005516CD">
        <w:rPr>
          <w:rFonts w:asciiTheme="majorHAnsi" w:eastAsia="Calibri" w:hAnsiTheme="majorHAnsi" w:cstheme="majorHAnsi"/>
          <w:sz w:val="20"/>
          <w:szCs w:val="20"/>
        </w:rPr>
        <w:t>(BD = biodiversity benefits, EC = economic/productivity benefits, LH = livelihood benefits, with a rating of 1-5 where 5 is the best)</w:t>
      </w:r>
      <w:bookmarkEnd w:id="36"/>
    </w:p>
    <w:p w14:paraId="7DED7827" w14:textId="77777777" w:rsidR="0028474E" w:rsidRPr="005516CD" w:rsidRDefault="0028474E" w:rsidP="007B146B">
      <w:pPr>
        <w:autoSpaceDE w:val="0"/>
        <w:autoSpaceDN w:val="0"/>
        <w:adjustRightInd w:val="0"/>
        <w:spacing w:after="120"/>
        <w:ind w:right="96"/>
        <w:jc w:val="center"/>
        <w:rPr>
          <w:rFonts w:asciiTheme="majorHAnsi" w:eastAsia="Calibri" w:hAnsiTheme="majorHAnsi" w:cstheme="majorHAnsi"/>
          <w:b/>
          <w:sz w:val="20"/>
          <w:szCs w:val="20"/>
        </w:rPr>
      </w:pPr>
      <w:r w:rsidRPr="005516CD">
        <w:rPr>
          <w:rFonts w:asciiTheme="majorHAnsi" w:eastAsia="Calibri" w:hAnsiTheme="majorHAnsi" w:cstheme="majorHAnsi"/>
          <w:b/>
          <w:noProof/>
          <w:sz w:val="20"/>
          <w:szCs w:val="20"/>
          <w:lang w:val="en-US" w:eastAsia="en-US"/>
        </w:rPr>
        <w:drawing>
          <wp:inline distT="0" distB="0" distL="0" distR="0" wp14:anchorId="0B1CA66E" wp14:editId="652986E0">
            <wp:extent cx="4196724" cy="100995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325479" cy="1040939"/>
                    </a:xfrm>
                    <a:prstGeom prst="rect">
                      <a:avLst/>
                    </a:prstGeom>
                    <a:noFill/>
                  </pic:spPr>
                </pic:pic>
              </a:graphicData>
            </a:graphic>
          </wp:inline>
        </w:drawing>
      </w:r>
    </w:p>
    <w:p w14:paraId="1A2763A3" w14:textId="79DE5BAF" w:rsidR="0028474E" w:rsidRPr="005516CD" w:rsidRDefault="0028474E"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Under </w:t>
      </w:r>
      <w:r w:rsidRPr="005516CD">
        <w:rPr>
          <w:rFonts w:asciiTheme="majorHAnsi" w:eastAsia="Calibri" w:hAnsiTheme="majorHAnsi" w:cstheme="majorHAnsi"/>
          <w:b/>
          <w:sz w:val="20"/>
          <w:szCs w:val="20"/>
        </w:rPr>
        <w:t>the baseline situation</w:t>
      </w:r>
      <w:r w:rsidRPr="005516CD">
        <w:rPr>
          <w:rFonts w:asciiTheme="majorHAnsi" w:eastAsia="Calibri" w:hAnsiTheme="majorHAnsi" w:cstheme="majorHAnsi"/>
          <w:sz w:val="20"/>
          <w:szCs w:val="20"/>
        </w:rPr>
        <w:t xml:space="preserve"> (</w:t>
      </w:r>
      <w:r w:rsidR="00B131AA" w:rsidRPr="005516CD">
        <w:rPr>
          <w:rFonts w:asciiTheme="majorHAnsi" w:eastAsia="Calibri" w:hAnsiTheme="majorHAnsi" w:cstheme="majorHAnsi"/>
          <w:sz w:val="20"/>
          <w:szCs w:val="20"/>
        </w:rPr>
        <w:fldChar w:fldCharType="begin"/>
      </w:r>
      <w:r w:rsidR="00B131AA" w:rsidRPr="005516CD">
        <w:rPr>
          <w:rFonts w:asciiTheme="majorHAnsi" w:eastAsia="Calibri" w:hAnsiTheme="majorHAnsi" w:cstheme="majorHAnsi"/>
          <w:sz w:val="20"/>
          <w:szCs w:val="20"/>
        </w:rPr>
        <w:instrText xml:space="preserve"> REF _Ref527719204 \r \h </w:instrText>
      </w:r>
      <w:r w:rsidR="005516CD">
        <w:rPr>
          <w:rFonts w:asciiTheme="majorHAnsi" w:eastAsia="Calibri" w:hAnsiTheme="majorHAnsi" w:cstheme="majorHAnsi"/>
          <w:sz w:val="20"/>
          <w:szCs w:val="20"/>
        </w:rPr>
        <w:instrText xml:space="preserve"> \* MERGEFORMAT </w:instrText>
      </w:r>
      <w:r w:rsidR="00B131AA" w:rsidRPr="005516CD">
        <w:rPr>
          <w:rFonts w:asciiTheme="majorHAnsi" w:eastAsia="Calibri" w:hAnsiTheme="majorHAnsi" w:cstheme="majorHAnsi"/>
          <w:sz w:val="20"/>
          <w:szCs w:val="20"/>
        </w:rPr>
      </w:r>
      <w:r w:rsidR="00B131AA" w:rsidRPr="005516CD">
        <w:rPr>
          <w:rFonts w:asciiTheme="majorHAnsi" w:eastAsia="Calibri" w:hAnsiTheme="majorHAnsi" w:cstheme="majorHAnsi"/>
          <w:sz w:val="20"/>
          <w:szCs w:val="20"/>
        </w:rPr>
        <w:fldChar w:fldCharType="separate"/>
      </w:r>
      <w:r w:rsidR="00DD5948">
        <w:rPr>
          <w:rFonts w:asciiTheme="majorHAnsi" w:eastAsia="Calibri" w:hAnsiTheme="majorHAnsi" w:cstheme="majorHAnsi"/>
          <w:sz w:val="20"/>
          <w:szCs w:val="20"/>
        </w:rPr>
        <w:t>Figure 10</w:t>
      </w:r>
      <w:r w:rsidR="00B131AA" w:rsidRPr="005516CD">
        <w:rPr>
          <w:rFonts w:asciiTheme="majorHAnsi" w:eastAsia="Calibri" w:hAnsiTheme="majorHAnsi" w:cstheme="majorHAnsi"/>
          <w:sz w:val="20"/>
          <w:szCs w:val="20"/>
        </w:rPr>
        <w:fldChar w:fldCharType="end"/>
      </w:r>
      <w:r w:rsidRPr="005516CD">
        <w:rPr>
          <w:rFonts w:asciiTheme="majorHAnsi" w:eastAsia="Calibri" w:hAnsiTheme="majorHAnsi" w:cstheme="majorHAnsi"/>
          <w:sz w:val="20"/>
          <w:szCs w:val="20"/>
        </w:rPr>
        <w:t>), technical, marketing and short-term investment support to cacao and coffee production, agroforestry systems and reforestation would result in improved uptake and productivity of tree-based production systems, but with limited BD benefits. In the case of cacao and coffee plantations, management with a narrow focus on productivity would tend to result in the simplification of the tree canopy to favour optimal shade species, and the elimination of plants and shrubs in the understorey, which might hinder management efficiency, impede air circulation and/or compete with the cacao or coffee. This would result in a loss of the value of the plantations as BD habitat, as well as a reduction in their ability to generate food and other products alongside the cacao and coffee.</w:t>
      </w:r>
    </w:p>
    <w:p w14:paraId="7426143E" w14:textId="77777777" w:rsidR="0028474E" w:rsidRPr="005516CD" w:rsidRDefault="0028474E" w:rsidP="006B27F4">
      <w:pPr>
        <w:pStyle w:val="ListParagraph"/>
        <w:keepNext/>
        <w:numPr>
          <w:ilvl w:val="6"/>
          <w:numId w:val="91"/>
        </w:numPr>
        <w:tabs>
          <w:tab w:val="num" w:pos="4680"/>
        </w:tabs>
        <w:autoSpaceDE w:val="0"/>
        <w:autoSpaceDN w:val="0"/>
        <w:adjustRightInd w:val="0"/>
        <w:ind w:left="851" w:right="96" w:hanging="851"/>
        <w:rPr>
          <w:rFonts w:asciiTheme="majorHAnsi" w:eastAsia="Calibri" w:hAnsiTheme="majorHAnsi" w:cstheme="majorHAnsi"/>
          <w:b/>
          <w:sz w:val="20"/>
          <w:szCs w:val="20"/>
        </w:rPr>
      </w:pPr>
      <w:bookmarkStart w:id="37" w:name="_Ref527719204"/>
      <w:r w:rsidRPr="005516CD">
        <w:rPr>
          <w:rFonts w:asciiTheme="majorHAnsi" w:eastAsia="Calibri" w:hAnsiTheme="majorHAnsi" w:cstheme="majorHAnsi"/>
          <w:b/>
          <w:sz w:val="20"/>
          <w:szCs w:val="20"/>
        </w:rPr>
        <w:t>Baseline situation</w:t>
      </w:r>
      <w:bookmarkEnd w:id="37"/>
    </w:p>
    <w:p w14:paraId="73E378EB" w14:textId="77777777" w:rsidR="0028474E" w:rsidRPr="005516CD" w:rsidRDefault="0028474E" w:rsidP="007B146B">
      <w:pPr>
        <w:autoSpaceDE w:val="0"/>
        <w:autoSpaceDN w:val="0"/>
        <w:adjustRightInd w:val="0"/>
        <w:spacing w:after="120"/>
        <w:ind w:right="96"/>
        <w:rPr>
          <w:rFonts w:asciiTheme="majorHAnsi" w:eastAsia="Calibri" w:hAnsiTheme="majorHAnsi" w:cstheme="majorHAnsi"/>
          <w:b/>
          <w:sz w:val="20"/>
          <w:szCs w:val="20"/>
        </w:rPr>
      </w:pPr>
      <w:r w:rsidRPr="005516CD">
        <w:rPr>
          <w:rFonts w:asciiTheme="majorHAnsi" w:eastAsia="Calibri" w:hAnsiTheme="majorHAnsi" w:cstheme="majorHAnsi"/>
          <w:b/>
          <w:noProof/>
          <w:sz w:val="20"/>
          <w:szCs w:val="20"/>
          <w:lang w:val="en-US" w:eastAsia="en-US"/>
        </w:rPr>
        <w:drawing>
          <wp:inline distT="0" distB="0" distL="0" distR="0" wp14:anchorId="05283311" wp14:editId="723BD808">
            <wp:extent cx="5722620" cy="1235786"/>
            <wp:effectExtent l="0" t="0" r="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63892" cy="1244699"/>
                    </a:xfrm>
                    <a:prstGeom prst="rect">
                      <a:avLst/>
                    </a:prstGeom>
                    <a:noFill/>
                  </pic:spPr>
                </pic:pic>
              </a:graphicData>
            </a:graphic>
          </wp:inline>
        </w:drawing>
      </w:r>
    </w:p>
    <w:p w14:paraId="78A2CCDF" w14:textId="527C6285" w:rsidR="0028474E" w:rsidRPr="005516CD" w:rsidRDefault="008D5B10"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kern w:val="1"/>
          <w:sz w:val="20"/>
          <w:szCs w:val="20"/>
        </w:rPr>
        <w:t xml:space="preserve">Stakeholder consultations during the PPG phase found that farmers were prepared to accept very little economic loss in order specifically to favour biodiversity. This was especially the case with the poorer categories of farmers. </w:t>
      </w:r>
      <w:r w:rsidR="0028474E" w:rsidRPr="005516CD">
        <w:rPr>
          <w:rFonts w:asciiTheme="majorHAnsi" w:eastAsia="Calibri" w:hAnsiTheme="majorHAnsi" w:cstheme="majorHAnsi"/>
          <w:sz w:val="20"/>
          <w:szCs w:val="20"/>
        </w:rPr>
        <w:t xml:space="preserve">Under </w:t>
      </w:r>
      <w:r w:rsidR="0028474E" w:rsidRPr="005516CD">
        <w:rPr>
          <w:rFonts w:asciiTheme="majorHAnsi" w:eastAsia="Calibri" w:hAnsiTheme="majorHAnsi" w:cstheme="majorHAnsi"/>
          <w:b/>
          <w:sz w:val="20"/>
          <w:szCs w:val="20"/>
        </w:rPr>
        <w:t>the GEF alternative</w:t>
      </w:r>
      <w:r w:rsidR="0028474E" w:rsidRPr="005516CD">
        <w:rPr>
          <w:rFonts w:asciiTheme="majorHAnsi" w:eastAsia="Calibri" w:hAnsiTheme="majorHAnsi" w:cstheme="majorHAnsi"/>
          <w:sz w:val="20"/>
          <w:szCs w:val="20"/>
        </w:rPr>
        <w:t xml:space="preserve">, </w:t>
      </w:r>
      <w:r w:rsidRPr="005516CD">
        <w:rPr>
          <w:rFonts w:asciiTheme="majorHAnsi" w:eastAsia="Calibri" w:hAnsiTheme="majorHAnsi" w:cstheme="majorHAnsi"/>
          <w:kern w:val="1"/>
          <w:sz w:val="20"/>
          <w:szCs w:val="20"/>
        </w:rPr>
        <w:t xml:space="preserve">the project will result in the application of production and management alternatives which do not involve trade-offs between biodiversity and social benefits, but rather “win-win” situations where improvements in the management of production units confer simultaneous environmental and economic benefits. </w:t>
      </w:r>
      <w:r w:rsidRPr="005516CD">
        <w:rPr>
          <w:rFonts w:asciiTheme="majorHAnsi" w:eastAsia="Calibri" w:hAnsiTheme="majorHAnsi" w:cstheme="majorHAnsi"/>
          <w:sz w:val="20"/>
          <w:szCs w:val="20"/>
        </w:rPr>
        <w:t xml:space="preserve">The </w:t>
      </w:r>
      <w:r w:rsidR="0028474E" w:rsidRPr="005516CD">
        <w:rPr>
          <w:rFonts w:asciiTheme="majorHAnsi" w:eastAsia="Calibri" w:hAnsiTheme="majorHAnsi" w:cstheme="majorHAnsi"/>
          <w:sz w:val="20"/>
          <w:szCs w:val="20"/>
        </w:rPr>
        <w:t>baseline investments would be complemented by incremental GEF investments, and would therefore come to constitute co-financing, contributing to the delivery and scaling up of production systems capable of generating not only productive and livelihood benefits, but also global environmental benefits, in a sustainable manner.</w:t>
      </w:r>
      <w:r w:rsidRPr="005516CD">
        <w:rPr>
          <w:rFonts w:asciiTheme="majorHAnsi" w:eastAsia="Calibri" w:hAnsiTheme="majorHAnsi" w:cstheme="majorHAnsi"/>
          <w:sz w:val="20"/>
          <w:szCs w:val="20"/>
        </w:rPr>
        <w:t xml:space="preserve"> This logic is summarised in</w:t>
      </w:r>
      <w:r w:rsidR="00B131AA" w:rsidRPr="005516CD">
        <w:rPr>
          <w:rFonts w:asciiTheme="majorHAnsi" w:eastAsia="Calibri" w:hAnsiTheme="majorHAnsi" w:cstheme="majorHAnsi"/>
          <w:sz w:val="20"/>
          <w:szCs w:val="20"/>
        </w:rPr>
        <w:t xml:space="preserve"> </w:t>
      </w:r>
      <w:r w:rsidR="00B2488E" w:rsidRPr="005516CD">
        <w:rPr>
          <w:rFonts w:asciiTheme="majorHAnsi" w:eastAsia="Calibri" w:hAnsiTheme="majorHAnsi" w:cstheme="majorHAnsi"/>
          <w:sz w:val="20"/>
          <w:szCs w:val="20"/>
        </w:rPr>
        <w:fldChar w:fldCharType="begin"/>
      </w:r>
      <w:r w:rsidR="00B2488E" w:rsidRPr="005516CD">
        <w:rPr>
          <w:rFonts w:asciiTheme="majorHAnsi" w:eastAsia="Calibri" w:hAnsiTheme="majorHAnsi" w:cstheme="majorHAnsi"/>
          <w:sz w:val="20"/>
          <w:szCs w:val="20"/>
        </w:rPr>
        <w:instrText xml:space="preserve"> REF _Ref2006369 \r \h </w:instrText>
      </w:r>
      <w:r w:rsidR="005516CD">
        <w:rPr>
          <w:rFonts w:asciiTheme="majorHAnsi" w:eastAsia="Calibri" w:hAnsiTheme="majorHAnsi" w:cstheme="majorHAnsi"/>
          <w:sz w:val="20"/>
          <w:szCs w:val="20"/>
        </w:rPr>
        <w:instrText xml:space="preserve"> \* MERGEFORMAT </w:instrText>
      </w:r>
      <w:r w:rsidR="00B2488E" w:rsidRPr="005516CD">
        <w:rPr>
          <w:rFonts w:asciiTheme="majorHAnsi" w:eastAsia="Calibri" w:hAnsiTheme="majorHAnsi" w:cstheme="majorHAnsi"/>
          <w:sz w:val="20"/>
          <w:szCs w:val="20"/>
        </w:rPr>
      </w:r>
      <w:r w:rsidR="00B2488E" w:rsidRPr="005516CD">
        <w:rPr>
          <w:rFonts w:asciiTheme="majorHAnsi" w:eastAsia="Calibri" w:hAnsiTheme="majorHAnsi" w:cstheme="majorHAnsi"/>
          <w:sz w:val="20"/>
          <w:szCs w:val="20"/>
        </w:rPr>
        <w:fldChar w:fldCharType="separate"/>
      </w:r>
      <w:r w:rsidR="00DD5948">
        <w:rPr>
          <w:rFonts w:asciiTheme="majorHAnsi" w:eastAsia="Calibri" w:hAnsiTheme="majorHAnsi" w:cstheme="majorHAnsi"/>
          <w:sz w:val="20"/>
          <w:szCs w:val="20"/>
        </w:rPr>
        <w:t>Figure 11</w:t>
      </w:r>
      <w:r w:rsidR="00B2488E" w:rsidRPr="005516CD">
        <w:rPr>
          <w:rFonts w:asciiTheme="majorHAnsi" w:eastAsia="Calibri" w:hAnsiTheme="majorHAnsi" w:cstheme="majorHAnsi"/>
          <w:sz w:val="20"/>
          <w:szCs w:val="20"/>
        </w:rPr>
        <w:fldChar w:fldCharType="end"/>
      </w:r>
      <w:r w:rsidR="00B131AA" w:rsidRPr="005516CD">
        <w:rPr>
          <w:rFonts w:asciiTheme="majorHAnsi" w:eastAsia="Calibri" w:hAnsiTheme="majorHAnsi" w:cstheme="majorHAnsi"/>
          <w:sz w:val="20"/>
          <w:szCs w:val="20"/>
        </w:rPr>
        <w:fldChar w:fldCharType="begin"/>
      </w:r>
      <w:r w:rsidR="00B131AA" w:rsidRPr="005516CD">
        <w:rPr>
          <w:rFonts w:asciiTheme="majorHAnsi" w:eastAsia="Calibri" w:hAnsiTheme="majorHAnsi" w:cstheme="majorHAnsi"/>
          <w:sz w:val="20"/>
          <w:szCs w:val="20"/>
        </w:rPr>
        <w:instrText xml:space="preserve"> REF _Ref530040487 \r \h </w:instrText>
      </w:r>
      <w:r w:rsidR="005516CD">
        <w:rPr>
          <w:rFonts w:asciiTheme="majorHAnsi" w:eastAsia="Calibri" w:hAnsiTheme="majorHAnsi" w:cstheme="majorHAnsi"/>
          <w:sz w:val="20"/>
          <w:szCs w:val="20"/>
        </w:rPr>
        <w:instrText xml:space="preserve"> \* MERGEFORMAT </w:instrText>
      </w:r>
      <w:r w:rsidR="00B131AA" w:rsidRPr="005516CD">
        <w:rPr>
          <w:rFonts w:asciiTheme="majorHAnsi" w:eastAsia="Calibri" w:hAnsiTheme="majorHAnsi" w:cstheme="majorHAnsi"/>
          <w:sz w:val="20"/>
          <w:szCs w:val="20"/>
        </w:rPr>
      </w:r>
      <w:r w:rsidR="00B131AA" w:rsidRPr="005516CD">
        <w:rPr>
          <w:rFonts w:asciiTheme="majorHAnsi" w:eastAsia="Calibri" w:hAnsiTheme="majorHAnsi" w:cstheme="majorHAnsi"/>
          <w:sz w:val="20"/>
          <w:szCs w:val="20"/>
        </w:rPr>
        <w:fldChar w:fldCharType="separate"/>
      </w:r>
      <w:r w:rsidR="00DD5948">
        <w:rPr>
          <w:rFonts w:asciiTheme="majorHAnsi" w:eastAsia="Calibri" w:hAnsiTheme="majorHAnsi" w:cstheme="majorHAnsi"/>
          <w:sz w:val="20"/>
          <w:szCs w:val="20"/>
        </w:rPr>
        <w:t>Figure 8</w:t>
      </w:r>
      <w:r w:rsidR="00B131AA" w:rsidRPr="005516CD">
        <w:rPr>
          <w:rFonts w:asciiTheme="majorHAnsi" w:eastAsia="Calibri" w:hAnsiTheme="majorHAnsi" w:cstheme="majorHAnsi"/>
          <w:sz w:val="20"/>
          <w:szCs w:val="20"/>
        </w:rPr>
        <w:fldChar w:fldCharType="end"/>
      </w:r>
      <w:r w:rsidR="00E3573A" w:rsidRPr="005516CD">
        <w:rPr>
          <w:rFonts w:asciiTheme="majorHAnsi" w:eastAsia="Calibri" w:hAnsiTheme="majorHAnsi" w:cstheme="majorHAnsi"/>
          <w:sz w:val="20"/>
          <w:szCs w:val="20"/>
        </w:rPr>
        <w:t>.</w:t>
      </w:r>
    </w:p>
    <w:p w14:paraId="189A90CF" w14:textId="77777777" w:rsidR="0028474E" w:rsidRPr="005516CD" w:rsidRDefault="0028474E"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In complement to the co-financed provision of technical and advisory support for cacao and coffee production, GEF resources will be used to provide specific support to farmers in accessing markets which actively favour environmental sustainability and the generation of BD benefits, and to strengthen capacities for delivering technical assistance to farmers to enable them to apply environmentally-sustainable and BD-friendly production practices (Outputs 1.3 and 2.1). This will further be complemented by GEF-funded support to the development and application of sustainable financing mechanisms (Output 2.2) which will enable farmers to meet initial investment costs of these BD-friendly production systems, as well as helping to compensate them for externalities (such as the modification of management prescriptions to favour BD, which may lead to reductions in short-term productivity).</w:t>
      </w:r>
    </w:p>
    <w:p w14:paraId="7CB20A2C" w14:textId="77777777" w:rsidR="00E17E78" w:rsidRPr="005516CD" w:rsidRDefault="00E17E78"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hAnsiTheme="majorHAnsi" w:cstheme="majorHAnsi"/>
          <w:sz w:val="20"/>
          <w:szCs w:val="20"/>
        </w:rPr>
        <w:t xml:space="preserve">The project will adopt a pragmatic approach and emphasise to both purchasers and producer the tangible benefits that can be expected from compliance with market-based environmental standards, rather than relying solely on arguments related to intangible environmental benefits (please see risk table): in addition to generating environmental benefits such as improved habitat value and connectivity, the maintenance of tree-rich production systems with diverse composition and structure will contribute to the ecological and productive sustainability of crop production by, for example, promoting nutrient capture and cycling, the maintenance of soil humidity, the maintenance of populations of natural pest control agents, and the buffering of crop production against the impacts of climate change such as increases in temperature and drought intensity. These benefits have been clearly shown elsewhere in the case of coffee, where moderate increases in tree shade have been shown to reduce the need for chemical inputs to maintain </w:t>
      </w:r>
      <w:proofErr w:type="gramStart"/>
      <w:r w:rsidRPr="005516CD">
        <w:rPr>
          <w:rFonts w:asciiTheme="majorHAnsi" w:hAnsiTheme="majorHAnsi" w:cstheme="majorHAnsi"/>
          <w:sz w:val="20"/>
          <w:szCs w:val="20"/>
        </w:rPr>
        <w:t>production, and</w:t>
      </w:r>
      <w:proofErr w:type="gramEnd"/>
      <w:r w:rsidRPr="005516CD">
        <w:rPr>
          <w:rFonts w:asciiTheme="majorHAnsi" w:hAnsiTheme="majorHAnsi" w:cstheme="majorHAnsi"/>
          <w:sz w:val="20"/>
          <w:szCs w:val="20"/>
        </w:rPr>
        <w:t xml:space="preserve"> increase resilience. Such increases in the sustainability and resilience of production will be of benefit to both producers, for whom the crops constitute an important source of support for their often otherwise fragile livelihoods, and purchasers, who require reliable supplies (in the case of both coffee and cocoa, purchasers are currently faced with difficulties in obtaining such supply).</w:t>
      </w:r>
    </w:p>
    <w:p w14:paraId="553D23EF" w14:textId="77777777" w:rsidR="00D35114" w:rsidRPr="005516CD" w:rsidRDefault="00D3511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eastAsia="Calibri" w:hAnsiTheme="majorHAnsi" w:cstheme="majorHAnsi"/>
          <w:sz w:val="20"/>
          <w:szCs w:val="20"/>
        </w:rPr>
        <w:t xml:space="preserve">The project will also support farmers in managing trees elsewhere on their farms, in addition to coffee and cacao </w:t>
      </w:r>
      <w:r w:rsidRPr="005516CD">
        <w:rPr>
          <w:rFonts w:asciiTheme="majorHAnsi" w:hAnsiTheme="majorHAnsi" w:cstheme="majorHAnsi"/>
          <w:sz w:val="20"/>
          <w:szCs w:val="20"/>
        </w:rPr>
        <w:t>plantations</w:t>
      </w:r>
      <w:r w:rsidRPr="005516CD">
        <w:rPr>
          <w:rFonts w:asciiTheme="majorHAnsi" w:eastAsia="Calibri" w:hAnsiTheme="majorHAnsi" w:cstheme="majorHAnsi"/>
          <w:sz w:val="20"/>
          <w:szCs w:val="20"/>
        </w:rPr>
        <w:t xml:space="preserve">, for example in the form of dispersed trees managed in association with crops, live fences bordering cropping areas, diversified home gardens, assisted natural regeneration in cropping and fallow areas. This will lead to increases in the density of standing trees in throughout farmers’ lands, and the maintenance or improvement of the </w:t>
      </w:r>
      <w:r w:rsidRPr="005516CD">
        <w:rPr>
          <w:rFonts w:asciiTheme="majorHAnsi" w:hAnsiTheme="majorHAnsi" w:cstheme="majorHAnsi"/>
          <w:sz w:val="20"/>
          <w:szCs w:val="20"/>
        </w:rPr>
        <w:t xml:space="preserve">diversity of tree species on farm, including species of specific ecological importance (e.g. as food source, habitat, connectivity) for the threatened BD identified in the target areas. </w:t>
      </w:r>
      <w:r w:rsidRPr="005516CD">
        <w:rPr>
          <w:rFonts w:asciiTheme="majorHAnsi" w:eastAsia="Calibri" w:hAnsiTheme="majorHAnsi" w:cstheme="majorHAnsi"/>
          <w:sz w:val="20"/>
          <w:szCs w:val="20"/>
        </w:rPr>
        <w:t xml:space="preserve">To this end, the project will invest in increasing </w:t>
      </w:r>
      <w:r w:rsidRPr="005516CD">
        <w:rPr>
          <w:rFonts w:asciiTheme="majorHAnsi" w:hAnsiTheme="majorHAnsi" w:cstheme="majorHAnsi"/>
          <w:sz w:val="20"/>
          <w:szCs w:val="20"/>
        </w:rPr>
        <w:t xml:space="preserve">farmers’ knowledge and capacities for traditional forms of tree management, supporting the </w:t>
      </w:r>
      <w:r w:rsidRPr="005516CD">
        <w:rPr>
          <w:rFonts w:asciiTheme="majorHAnsi" w:eastAsia="Calibri" w:hAnsiTheme="majorHAnsi" w:cstheme="majorHAnsi"/>
          <w:sz w:val="20"/>
          <w:szCs w:val="20"/>
        </w:rPr>
        <w:t xml:space="preserve">recovery, adaptation and scaling up of such practices. These management practices and tree species or varieties may in many cases already be familiar to many farmers and may have been eroded or neglected: in recognition of this, and to maximize the likelihood of ownership, uptake and social </w:t>
      </w:r>
      <w:r w:rsidRPr="005516CD">
        <w:rPr>
          <w:rFonts w:asciiTheme="majorHAnsi" w:hAnsiTheme="majorHAnsi" w:cstheme="majorHAnsi"/>
          <w:sz w:val="20"/>
          <w:szCs w:val="20"/>
        </w:rPr>
        <w:t>sustainability</w:t>
      </w:r>
      <w:r w:rsidRPr="005516CD">
        <w:rPr>
          <w:rFonts w:asciiTheme="majorHAnsi" w:eastAsia="Calibri" w:hAnsiTheme="majorHAnsi" w:cstheme="majorHAnsi"/>
          <w:sz w:val="20"/>
          <w:szCs w:val="20"/>
        </w:rPr>
        <w:t>, the project will prioritize participatory approaches including f</w:t>
      </w:r>
      <w:r w:rsidRPr="005516CD">
        <w:rPr>
          <w:rFonts w:asciiTheme="majorHAnsi" w:hAnsiTheme="majorHAnsi" w:cstheme="majorHAnsi"/>
          <w:sz w:val="20"/>
          <w:szCs w:val="20"/>
        </w:rPr>
        <w:t>armer-based participatory systematization and knowledge exchange, as well as farmer-based systems for the production and exchange of planting material.</w:t>
      </w:r>
    </w:p>
    <w:p w14:paraId="25985BAC" w14:textId="77777777" w:rsidR="0028474E" w:rsidRPr="005516CD" w:rsidRDefault="0028474E"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Co-financed technical and investment support to other forms of tree management, such as agroforestry and reforestation, will be complemented by GEF-funded support to participatory systems for knowledge generation and development (Output 2.3), in order to ensure that these management practices incorporate relevant traditional knowledge wherever possible, that farmers have the ability to adapt their knowledge and practices in the light of evolving conditions, and that knowledge and experiences generated are communicated and scaled-up effectively. GEF resources will also help farmers to gain revenue from other BD-friendly tree-based systems on farm (Output 2.4), in order to maximize their attractiveness and sustainability; in complement to the baseline investments, GEF value-added will result in farmers managing an increased diversity of familiar native or naturalised tree species, which will favour native BD as well as generating economic and nutritional benefits for farmers. </w:t>
      </w:r>
    </w:p>
    <w:p w14:paraId="610192C6" w14:textId="77777777" w:rsidR="0028474E" w:rsidRPr="005516CD" w:rsidRDefault="0028474E"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A further key element of GEF value-added, missing from the baseline scenario, will be the development and operationalisation of landscape-level decision-making tools (Output 1.1), and socially- and institutionally sustainable mechanisms for natural resource governance (Output 1.2). The former will raise the level of project operations from farm to landscape-level, enabling landscape elements to be configured appropriately in relation to spatial aspects of connectivity, biological importance, production potential, vulnerability and flows of ecosystem services. These tools will also include a robust biodiversity monitoring protocol, in order to ensure that </w:t>
      </w:r>
      <w:r w:rsidR="004F334C" w:rsidRPr="005516CD">
        <w:rPr>
          <w:rFonts w:asciiTheme="majorHAnsi" w:eastAsia="Calibri" w:hAnsiTheme="majorHAnsi" w:cstheme="majorHAnsi"/>
          <w:sz w:val="20"/>
          <w:szCs w:val="20"/>
        </w:rPr>
        <w:t>global environmental benefits (</w:t>
      </w:r>
      <w:r w:rsidRPr="005516CD">
        <w:rPr>
          <w:rFonts w:asciiTheme="majorHAnsi" w:eastAsia="Calibri" w:hAnsiTheme="majorHAnsi" w:cstheme="majorHAnsi"/>
          <w:sz w:val="20"/>
          <w:szCs w:val="20"/>
        </w:rPr>
        <w:t>GEBs</w:t>
      </w:r>
      <w:r w:rsidR="004F334C" w:rsidRPr="005516CD">
        <w:rPr>
          <w:rFonts w:asciiTheme="majorHAnsi" w:eastAsia="Calibri" w:hAnsiTheme="majorHAnsi" w:cstheme="majorHAnsi"/>
          <w:sz w:val="20"/>
          <w:szCs w:val="20"/>
        </w:rPr>
        <w:t>)</w:t>
      </w:r>
      <w:r w:rsidRPr="005516CD">
        <w:rPr>
          <w:rFonts w:asciiTheme="majorHAnsi" w:eastAsia="Calibri" w:hAnsiTheme="majorHAnsi" w:cstheme="majorHAnsi"/>
          <w:sz w:val="20"/>
          <w:szCs w:val="20"/>
        </w:rPr>
        <w:t xml:space="preserve"> are optimised. The governance mechanisms, meanwhile, will help to ensure that interactions between actors across the landscape are compatible with its sustainable management (including the effective combat of unsustainable tree felling for charcoal, and wildfires) and the delivery of GEBs, while at the same time providing for social equity. </w:t>
      </w:r>
    </w:p>
    <w:p w14:paraId="1468A61A" w14:textId="77777777" w:rsidR="0028474E" w:rsidRPr="005516CD" w:rsidRDefault="0028474E" w:rsidP="006B27F4">
      <w:pPr>
        <w:pStyle w:val="ListParagraph"/>
        <w:keepNext/>
        <w:numPr>
          <w:ilvl w:val="6"/>
          <w:numId w:val="91"/>
        </w:numPr>
        <w:tabs>
          <w:tab w:val="num" w:pos="4680"/>
        </w:tabs>
        <w:autoSpaceDE w:val="0"/>
        <w:autoSpaceDN w:val="0"/>
        <w:adjustRightInd w:val="0"/>
        <w:ind w:left="851" w:right="96" w:hanging="851"/>
        <w:rPr>
          <w:rFonts w:asciiTheme="majorHAnsi" w:eastAsia="Calibri" w:hAnsiTheme="majorHAnsi" w:cstheme="majorHAnsi"/>
          <w:b/>
          <w:sz w:val="20"/>
          <w:szCs w:val="20"/>
        </w:rPr>
      </w:pPr>
      <w:bookmarkStart w:id="38" w:name="_Ref2006369"/>
      <w:r w:rsidRPr="005516CD">
        <w:rPr>
          <w:rFonts w:asciiTheme="majorHAnsi" w:eastAsia="Calibri" w:hAnsiTheme="majorHAnsi" w:cstheme="majorHAnsi"/>
          <w:b/>
          <w:sz w:val="20"/>
          <w:szCs w:val="20"/>
        </w:rPr>
        <w:t>GEF Alternative</w:t>
      </w:r>
      <w:bookmarkEnd w:id="38"/>
    </w:p>
    <w:p w14:paraId="0DB8E3B4" w14:textId="77777777" w:rsidR="0028474E" w:rsidRPr="005516CD" w:rsidRDefault="0028474E" w:rsidP="007B146B">
      <w:pPr>
        <w:autoSpaceDE w:val="0"/>
        <w:autoSpaceDN w:val="0"/>
        <w:adjustRightInd w:val="0"/>
        <w:spacing w:after="120"/>
        <w:ind w:right="96"/>
        <w:rPr>
          <w:rFonts w:asciiTheme="majorHAnsi" w:eastAsia="Calibri" w:hAnsiTheme="majorHAnsi" w:cstheme="majorHAnsi"/>
          <w:b/>
          <w:sz w:val="20"/>
          <w:szCs w:val="20"/>
        </w:rPr>
      </w:pPr>
      <w:r w:rsidRPr="005516CD">
        <w:rPr>
          <w:rFonts w:asciiTheme="majorHAnsi" w:eastAsia="Calibri" w:hAnsiTheme="majorHAnsi" w:cstheme="majorHAnsi"/>
          <w:b/>
          <w:noProof/>
          <w:sz w:val="20"/>
          <w:szCs w:val="20"/>
          <w:lang w:val="en-US" w:eastAsia="en-US"/>
        </w:rPr>
        <w:drawing>
          <wp:inline distT="0" distB="0" distL="0" distR="0" wp14:anchorId="7CDBA855" wp14:editId="11D5C7C8">
            <wp:extent cx="5692140" cy="2243368"/>
            <wp:effectExtent l="0" t="0" r="3810"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736625" cy="2260900"/>
                    </a:xfrm>
                    <a:prstGeom prst="rect">
                      <a:avLst/>
                    </a:prstGeom>
                    <a:noFill/>
                  </pic:spPr>
                </pic:pic>
              </a:graphicData>
            </a:graphic>
          </wp:inline>
        </w:drawing>
      </w:r>
    </w:p>
    <w:p w14:paraId="090422F9" w14:textId="77777777" w:rsidR="00E3573A" w:rsidRPr="005516CD" w:rsidRDefault="00E3573A"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eastAsia="Calibri" w:hAnsiTheme="majorHAnsi" w:cstheme="majorHAnsi"/>
          <w:sz w:val="20"/>
          <w:szCs w:val="20"/>
        </w:rPr>
        <w:t xml:space="preserve">The following table further clarifies baseline and alternative scenarios for relevant practices, and global environmental benefits which </w:t>
      </w:r>
      <w:r w:rsidRPr="005516CD">
        <w:rPr>
          <w:rFonts w:asciiTheme="majorHAnsi" w:hAnsiTheme="majorHAnsi" w:cstheme="majorHAnsi"/>
          <w:sz w:val="20"/>
          <w:szCs w:val="20"/>
        </w:rPr>
        <w:t>the</w:t>
      </w:r>
      <w:r w:rsidRPr="005516CD">
        <w:rPr>
          <w:rFonts w:asciiTheme="majorHAnsi" w:eastAsia="Calibri" w:hAnsiTheme="majorHAnsi" w:cstheme="majorHAnsi"/>
          <w:sz w:val="20"/>
          <w:szCs w:val="20"/>
        </w:rPr>
        <w:t xml:space="preserve"> project will generate. </w:t>
      </w:r>
    </w:p>
    <w:p w14:paraId="7EBE4EDE" w14:textId="77777777" w:rsidR="00E3573A" w:rsidRPr="005516CD" w:rsidRDefault="001E6E8C" w:rsidP="001E6E8C">
      <w:pPr>
        <w:spacing w:after="60"/>
        <w:ind w:right="96"/>
        <w:contextualSpacing/>
        <w:jc w:val="both"/>
        <w:rPr>
          <w:rFonts w:asciiTheme="majorHAnsi" w:hAnsiTheme="majorHAnsi" w:cstheme="majorHAnsi"/>
          <w:b/>
          <w:sz w:val="20"/>
          <w:szCs w:val="20"/>
        </w:rPr>
      </w:pPr>
      <w:proofErr w:type="spellStart"/>
      <w:r w:rsidRPr="005516CD">
        <w:rPr>
          <w:rFonts w:asciiTheme="majorHAnsi" w:hAnsiTheme="majorHAnsi" w:cstheme="majorHAnsi"/>
          <w:b/>
          <w:sz w:val="20"/>
          <w:szCs w:val="20"/>
        </w:rPr>
        <w:t>Tabe</w:t>
      </w:r>
      <w:proofErr w:type="spellEnd"/>
      <w:r w:rsidRPr="005516CD">
        <w:rPr>
          <w:rFonts w:asciiTheme="majorHAnsi" w:hAnsiTheme="majorHAnsi" w:cstheme="majorHAnsi"/>
          <w:b/>
          <w:sz w:val="20"/>
          <w:szCs w:val="20"/>
        </w:rPr>
        <w:t xml:space="preserve"> 14. </w:t>
      </w:r>
      <w:r w:rsidR="004246D8" w:rsidRPr="005516CD">
        <w:rPr>
          <w:rFonts w:asciiTheme="majorHAnsi" w:hAnsiTheme="majorHAnsi" w:cstheme="majorHAnsi"/>
          <w:b/>
          <w:sz w:val="20"/>
          <w:szCs w:val="20"/>
        </w:rPr>
        <w:t>Baseline and alternative scenarios, and resulting environmental benefits</w:t>
      </w:r>
    </w:p>
    <w:tbl>
      <w:tblPr>
        <w:tblStyle w:val="TableGrid"/>
        <w:tblW w:w="0" w:type="auto"/>
        <w:tblInd w:w="-5" w:type="dxa"/>
        <w:tblLook w:val="04A0" w:firstRow="1" w:lastRow="0" w:firstColumn="1" w:lastColumn="0" w:noHBand="0" w:noVBand="1"/>
      </w:tblPr>
      <w:tblGrid>
        <w:gridCol w:w="3686"/>
        <w:gridCol w:w="2835"/>
        <w:gridCol w:w="2494"/>
      </w:tblGrid>
      <w:tr w:rsidR="00E3573A" w:rsidRPr="005516CD" w14:paraId="08E7788C" w14:textId="77777777" w:rsidTr="00E3573A">
        <w:trPr>
          <w:tblHeader/>
        </w:trPr>
        <w:tc>
          <w:tcPr>
            <w:tcW w:w="3686" w:type="dxa"/>
            <w:shd w:val="clear" w:color="auto" w:fill="D9D9D9" w:themeFill="background1" w:themeFillShade="D9"/>
          </w:tcPr>
          <w:p w14:paraId="65E4A57D" w14:textId="77777777" w:rsidR="00E3573A" w:rsidRPr="005516CD" w:rsidRDefault="00E3573A" w:rsidP="007B146B">
            <w:pPr>
              <w:autoSpaceDE w:val="0"/>
              <w:autoSpaceDN w:val="0"/>
              <w:adjustRightInd w:val="0"/>
              <w:ind w:right="96"/>
              <w:jc w:val="center"/>
              <w:rPr>
                <w:rFonts w:asciiTheme="majorHAnsi" w:hAnsiTheme="majorHAnsi" w:cstheme="majorHAnsi"/>
                <w:b/>
                <w:bCs/>
                <w:sz w:val="20"/>
                <w:szCs w:val="20"/>
              </w:rPr>
            </w:pPr>
            <w:r w:rsidRPr="005516CD">
              <w:rPr>
                <w:rFonts w:asciiTheme="majorHAnsi" w:hAnsiTheme="majorHAnsi" w:cstheme="majorHAnsi"/>
                <w:b/>
                <w:bCs/>
                <w:sz w:val="20"/>
                <w:szCs w:val="20"/>
              </w:rPr>
              <w:t>Baseline scenario</w:t>
            </w:r>
          </w:p>
        </w:tc>
        <w:tc>
          <w:tcPr>
            <w:tcW w:w="2835" w:type="dxa"/>
            <w:shd w:val="clear" w:color="auto" w:fill="D9D9D9" w:themeFill="background1" w:themeFillShade="D9"/>
          </w:tcPr>
          <w:p w14:paraId="0FAD9C95" w14:textId="77777777" w:rsidR="00E3573A" w:rsidRPr="005516CD" w:rsidRDefault="00E3573A" w:rsidP="007B146B">
            <w:pPr>
              <w:autoSpaceDE w:val="0"/>
              <w:autoSpaceDN w:val="0"/>
              <w:adjustRightInd w:val="0"/>
              <w:ind w:right="96"/>
              <w:jc w:val="center"/>
              <w:rPr>
                <w:rFonts w:asciiTheme="majorHAnsi" w:hAnsiTheme="majorHAnsi" w:cstheme="majorHAnsi"/>
                <w:b/>
                <w:bCs/>
                <w:sz w:val="20"/>
                <w:szCs w:val="20"/>
              </w:rPr>
            </w:pPr>
            <w:r w:rsidRPr="005516CD">
              <w:rPr>
                <w:rFonts w:asciiTheme="majorHAnsi" w:hAnsiTheme="majorHAnsi" w:cstheme="majorHAnsi"/>
                <w:b/>
                <w:bCs/>
                <w:sz w:val="20"/>
                <w:szCs w:val="20"/>
              </w:rPr>
              <w:t>Alternatives to be put in place by the project</w:t>
            </w:r>
          </w:p>
        </w:tc>
        <w:tc>
          <w:tcPr>
            <w:tcW w:w="2494" w:type="dxa"/>
            <w:shd w:val="clear" w:color="auto" w:fill="D9D9D9" w:themeFill="background1" w:themeFillShade="D9"/>
          </w:tcPr>
          <w:p w14:paraId="125CB063" w14:textId="77777777" w:rsidR="00E3573A" w:rsidRPr="005516CD" w:rsidRDefault="00E3573A" w:rsidP="007B146B">
            <w:pPr>
              <w:autoSpaceDE w:val="0"/>
              <w:autoSpaceDN w:val="0"/>
              <w:adjustRightInd w:val="0"/>
              <w:ind w:right="96"/>
              <w:jc w:val="center"/>
              <w:rPr>
                <w:rFonts w:asciiTheme="majorHAnsi" w:hAnsiTheme="majorHAnsi" w:cstheme="majorHAnsi"/>
                <w:b/>
                <w:bCs/>
                <w:sz w:val="20"/>
                <w:szCs w:val="20"/>
              </w:rPr>
            </w:pPr>
            <w:r w:rsidRPr="005516CD">
              <w:rPr>
                <w:rFonts w:asciiTheme="majorHAnsi" w:hAnsiTheme="majorHAnsi" w:cstheme="majorHAnsi"/>
                <w:b/>
                <w:bCs/>
                <w:sz w:val="20"/>
                <w:szCs w:val="20"/>
              </w:rPr>
              <w:t>Global Environmental Benefits</w:t>
            </w:r>
          </w:p>
        </w:tc>
      </w:tr>
      <w:tr w:rsidR="00E3573A" w:rsidRPr="005516CD" w14:paraId="190696DD" w14:textId="77777777" w:rsidTr="00E3573A">
        <w:tc>
          <w:tcPr>
            <w:tcW w:w="3686" w:type="dxa"/>
          </w:tcPr>
          <w:p w14:paraId="33083747" w14:textId="77777777" w:rsidR="00E3573A" w:rsidRPr="005516CD" w:rsidRDefault="00E3573A" w:rsidP="007B146B">
            <w:pPr>
              <w:rPr>
                <w:rFonts w:asciiTheme="majorHAnsi" w:hAnsiTheme="majorHAnsi" w:cstheme="majorHAnsi"/>
                <w:sz w:val="20"/>
                <w:szCs w:val="20"/>
              </w:rPr>
            </w:pPr>
            <w:r w:rsidRPr="005516CD">
              <w:rPr>
                <w:rFonts w:asciiTheme="majorHAnsi" w:hAnsiTheme="majorHAnsi" w:cstheme="majorHAnsi"/>
                <w:sz w:val="20"/>
                <w:szCs w:val="20"/>
              </w:rPr>
              <w:t>Shade coffee farms will be poorly managed, increasingly unviable and replaced by less BD/LD friendly alternatives such annual crop production and grazing, which will prevent the tree component from re-establishing itself.</w:t>
            </w:r>
          </w:p>
        </w:tc>
        <w:tc>
          <w:tcPr>
            <w:tcW w:w="2835" w:type="dxa"/>
            <w:vMerge w:val="restart"/>
          </w:tcPr>
          <w:p w14:paraId="5D3D5CE8" w14:textId="77777777" w:rsidR="00E3573A" w:rsidRPr="005516CD" w:rsidRDefault="00E3573A" w:rsidP="006B27F4">
            <w:pPr>
              <w:numPr>
                <w:ilvl w:val="0"/>
                <w:numId w:val="89"/>
              </w:numPr>
              <w:ind w:left="162" w:hanging="180"/>
              <w:contextualSpacing/>
              <w:rPr>
                <w:rFonts w:asciiTheme="majorHAnsi" w:hAnsiTheme="majorHAnsi" w:cstheme="majorHAnsi"/>
                <w:sz w:val="20"/>
                <w:szCs w:val="20"/>
              </w:rPr>
            </w:pPr>
            <w:r w:rsidRPr="005516CD">
              <w:rPr>
                <w:rFonts w:asciiTheme="majorHAnsi" w:hAnsiTheme="majorHAnsi" w:cstheme="majorHAnsi"/>
                <w:sz w:val="20"/>
                <w:szCs w:val="20"/>
              </w:rPr>
              <w:t>Market-based instruments to facilitate the delivery of environmental benefits</w:t>
            </w:r>
          </w:p>
          <w:p w14:paraId="16222060" w14:textId="77777777" w:rsidR="00E3573A" w:rsidRPr="005516CD" w:rsidRDefault="00E3573A" w:rsidP="006B27F4">
            <w:pPr>
              <w:numPr>
                <w:ilvl w:val="0"/>
                <w:numId w:val="89"/>
              </w:numPr>
              <w:ind w:left="162" w:hanging="180"/>
              <w:contextualSpacing/>
              <w:rPr>
                <w:rFonts w:asciiTheme="majorHAnsi" w:hAnsiTheme="majorHAnsi" w:cstheme="majorHAnsi"/>
                <w:sz w:val="20"/>
                <w:szCs w:val="20"/>
              </w:rPr>
            </w:pPr>
            <w:r w:rsidRPr="005516CD">
              <w:rPr>
                <w:rFonts w:asciiTheme="majorHAnsi" w:hAnsiTheme="majorHAnsi" w:cstheme="majorHAnsi"/>
                <w:sz w:val="20"/>
                <w:szCs w:val="20"/>
              </w:rPr>
              <w:t>Improved service delivery systems for technical assistance</w:t>
            </w:r>
          </w:p>
          <w:p w14:paraId="3640D286" w14:textId="77777777" w:rsidR="00E3573A" w:rsidRPr="005516CD" w:rsidRDefault="00E3573A" w:rsidP="006B27F4">
            <w:pPr>
              <w:numPr>
                <w:ilvl w:val="0"/>
                <w:numId w:val="89"/>
              </w:numPr>
              <w:ind w:left="162" w:hanging="180"/>
              <w:contextualSpacing/>
              <w:rPr>
                <w:rFonts w:asciiTheme="majorHAnsi" w:hAnsiTheme="majorHAnsi" w:cstheme="majorHAnsi"/>
                <w:sz w:val="20"/>
                <w:szCs w:val="20"/>
              </w:rPr>
            </w:pPr>
            <w:r w:rsidRPr="005516CD">
              <w:rPr>
                <w:rFonts w:asciiTheme="majorHAnsi" w:hAnsiTheme="majorHAnsi" w:cstheme="majorHAnsi"/>
                <w:sz w:val="20"/>
                <w:szCs w:val="20"/>
              </w:rPr>
              <w:t>Strengthened decision making tools to optimize the configuration of landscape elements</w:t>
            </w:r>
          </w:p>
        </w:tc>
        <w:tc>
          <w:tcPr>
            <w:tcW w:w="2494" w:type="dxa"/>
            <w:vMerge w:val="restart"/>
          </w:tcPr>
          <w:p w14:paraId="6FD93BBD" w14:textId="77777777" w:rsidR="00E3573A" w:rsidRPr="005516CD" w:rsidRDefault="007A4CC4" w:rsidP="006B27F4">
            <w:pPr>
              <w:numPr>
                <w:ilvl w:val="0"/>
                <w:numId w:val="89"/>
              </w:numPr>
              <w:spacing w:after="120"/>
              <w:ind w:left="164" w:hanging="181"/>
              <w:rPr>
                <w:rFonts w:asciiTheme="majorHAnsi" w:hAnsiTheme="majorHAnsi" w:cstheme="majorHAnsi"/>
                <w:color w:val="000000"/>
                <w:sz w:val="20"/>
                <w:szCs w:val="20"/>
              </w:rPr>
            </w:pPr>
            <w:r w:rsidRPr="005516CD">
              <w:rPr>
                <w:rFonts w:asciiTheme="majorHAnsi" w:hAnsiTheme="majorHAnsi" w:cstheme="majorHAnsi"/>
                <w:color w:val="000000"/>
                <w:sz w:val="20"/>
                <w:szCs w:val="20"/>
              </w:rPr>
              <w:t xml:space="preserve">Biodiversity: increased habitat value in tree-based production systems and connectivity at landscape level, for globally important (Red List and endemic) species. </w:t>
            </w:r>
          </w:p>
          <w:p w14:paraId="7BD5B26D" w14:textId="77777777" w:rsidR="007A4CC4" w:rsidRPr="005516CD" w:rsidRDefault="007A4CC4" w:rsidP="006B27F4">
            <w:pPr>
              <w:numPr>
                <w:ilvl w:val="0"/>
                <w:numId w:val="89"/>
              </w:numPr>
              <w:spacing w:after="120"/>
              <w:ind w:left="164" w:hanging="181"/>
              <w:rPr>
                <w:rFonts w:asciiTheme="majorHAnsi" w:hAnsiTheme="majorHAnsi" w:cstheme="majorHAnsi"/>
                <w:color w:val="000000"/>
                <w:sz w:val="20"/>
                <w:szCs w:val="20"/>
              </w:rPr>
            </w:pPr>
            <w:r w:rsidRPr="005516CD">
              <w:rPr>
                <w:rFonts w:asciiTheme="majorHAnsi" w:hAnsiTheme="majorHAnsi" w:cstheme="majorHAnsi"/>
                <w:color w:val="000000"/>
                <w:sz w:val="20"/>
                <w:szCs w:val="20"/>
              </w:rPr>
              <w:t>Land degradation: improved productive resilience of tree-based production systems due to management and diversification, of annual cropping and pastures due to agroforestry systems, and of degraded areas through restoration.</w:t>
            </w:r>
          </w:p>
          <w:p w14:paraId="502AE7AC" w14:textId="77777777" w:rsidR="00E3573A" w:rsidRPr="005516CD" w:rsidRDefault="007A4CC4" w:rsidP="006B27F4">
            <w:pPr>
              <w:numPr>
                <w:ilvl w:val="0"/>
                <w:numId w:val="89"/>
              </w:numPr>
              <w:ind w:left="162" w:hanging="180"/>
              <w:contextualSpacing/>
              <w:rPr>
                <w:rFonts w:asciiTheme="majorHAnsi" w:hAnsiTheme="majorHAnsi" w:cstheme="majorHAnsi"/>
                <w:color w:val="000000"/>
                <w:sz w:val="20"/>
                <w:szCs w:val="20"/>
              </w:rPr>
            </w:pPr>
            <w:r w:rsidRPr="005516CD">
              <w:rPr>
                <w:rFonts w:asciiTheme="majorHAnsi" w:hAnsiTheme="majorHAnsi" w:cstheme="majorHAnsi"/>
                <w:color w:val="000000"/>
                <w:sz w:val="20"/>
                <w:szCs w:val="20"/>
              </w:rPr>
              <w:t xml:space="preserve">Climate change: reduction in rates of loss of carbon sinks in perennial-based production systems (due to degradation and conversion to annual cropping) and increased carbon capture due to establishment of agroforestry systems and restoration of degraded areas. </w:t>
            </w:r>
          </w:p>
        </w:tc>
      </w:tr>
      <w:tr w:rsidR="00E3573A" w:rsidRPr="005516CD" w14:paraId="095C014A" w14:textId="77777777" w:rsidTr="00E3573A">
        <w:tc>
          <w:tcPr>
            <w:tcW w:w="3686" w:type="dxa"/>
          </w:tcPr>
          <w:p w14:paraId="2CD66CE9" w14:textId="77777777" w:rsidR="00E3573A" w:rsidRPr="005516CD" w:rsidRDefault="00E3573A" w:rsidP="007B146B">
            <w:pPr>
              <w:rPr>
                <w:rFonts w:asciiTheme="majorHAnsi" w:hAnsiTheme="majorHAnsi" w:cstheme="majorHAnsi"/>
                <w:sz w:val="20"/>
                <w:szCs w:val="20"/>
              </w:rPr>
            </w:pPr>
            <w:r w:rsidRPr="005516CD">
              <w:rPr>
                <w:rFonts w:asciiTheme="majorHAnsi" w:hAnsiTheme="majorHAnsi" w:cstheme="majorHAnsi"/>
                <w:sz w:val="20"/>
                <w:szCs w:val="20"/>
              </w:rPr>
              <w:t xml:space="preserve">Investments in promoting agronomic, productive and commercial aspects of tree-based production systems will not be effective in generating GEBs </w:t>
            </w:r>
          </w:p>
        </w:tc>
        <w:tc>
          <w:tcPr>
            <w:tcW w:w="2835" w:type="dxa"/>
            <w:vMerge/>
          </w:tcPr>
          <w:p w14:paraId="391CEB34" w14:textId="77777777" w:rsidR="00E3573A" w:rsidRPr="005516CD" w:rsidRDefault="00E3573A" w:rsidP="007B146B">
            <w:pPr>
              <w:autoSpaceDE w:val="0"/>
              <w:autoSpaceDN w:val="0"/>
              <w:adjustRightInd w:val="0"/>
              <w:spacing w:after="120"/>
              <w:ind w:right="96"/>
              <w:jc w:val="both"/>
              <w:rPr>
                <w:rFonts w:asciiTheme="majorHAnsi" w:hAnsiTheme="majorHAnsi" w:cstheme="majorHAnsi"/>
                <w:sz w:val="20"/>
                <w:szCs w:val="20"/>
              </w:rPr>
            </w:pPr>
          </w:p>
        </w:tc>
        <w:tc>
          <w:tcPr>
            <w:tcW w:w="2494" w:type="dxa"/>
            <w:vMerge/>
          </w:tcPr>
          <w:p w14:paraId="25780B73" w14:textId="77777777" w:rsidR="00E3573A" w:rsidRPr="005516CD" w:rsidRDefault="00E3573A" w:rsidP="007B146B">
            <w:pPr>
              <w:autoSpaceDE w:val="0"/>
              <w:autoSpaceDN w:val="0"/>
              <w:adjustRightInd w:val="0"/>
              <w:spacing w:after="120"/>
              <w:ind w:right="96"/>
              <w:jc w:val="both"/>
              <w:rPr>
                <w:rFonts w:asciiTheme="majorHAnsi" w:hAnsiTheme="majorHAnsi" w:cstheme="majorHAnsi"/>
                <w:sz w:val="20"/>
                <w:szCs w:val="20"/>
              </w:rPr>
            </w:pPr>
          </w:p>
        </w:tc>
      </w:tr>
      <w:tr w:rsidR="00E3573A" w:rsidRPr="005516CD" w14:paraId="564A979B" w14:textId="77777777" w:rsidTr="00E3573A">
        <w:tc>
          <w:tcPr>
            <w:tcW w:w="3686" w:type="dxa"/>
          </w:tcPr>
          <w:p w14:paraId="29AA2470" w14:textId="77777777" w:rsidR="00E3573A" w:rsidRPr="005516CD" w:rsidRDefault="00E3573A" w:rsidP="007B146B">
            <w:pPr>
              <w:rPr>
                <w:rFonts w:asciiTheme="majorHAnsi" w:hAnsiTheme="majorHAnsi" w:cstheme="majorHAnsi"/>
                <w:sz w:val="20"/>
                <w:szCs w:val="20"/>
              </w:rPr>
            </w:pPr>
            <w:r w:rsidRPr="005516CD">
              <w:rPr>
                <w:rFonts w:asciiTheme="majorHAnsi" w:hAnsiTheme="majorHAnsi" w:cstheme="majorHAnsi"/>
                <w:sz w:val="20"/>
                <w:szCs w:val="20"/>
              </w:rPr>
              <w:t>Promotion of other tree species is likely to be carried out using conventional tree planting practices with questionable sustainability and little generation of GEBs.</w:t>
            </w:r>
          </w:p>
        </w:tc>
        <w:tc>
          <w:tcPr>
            <w:tcW w:w="2835" w:type="dxa"/>
          </w:tcPr>
          <w:p w14:paraId="7F44AB22" w14:textId="77777777" w:rsidR="00E3573A" w:rsidRPr="005516CD" w:rsidRDefault="00E3573A" w:rsidP="006B27F4">
            <w:pPr>
              <w:numPr>
                <w:ilvl w:val="0"/>
                <w:numId w:val="89"/>
              </w:numPr>
              <w:ind w:left="162" w:hanging="180"/>
              <w:contextualSpacing/>
              <w:rPr>
                <w:rFonts w:asciiTheme="majorHAnsi" w:hAnsiTheme="majorHAnsi" w:cstheme="majorHAnsi"/>
                <w:sz w:val="20"/>
                <w:szCs w:val="20"/>
              </w:rPr>
            </w:pPr>
            <w:r w:rsidRPr="005516CD">
              <w:rPr>
                <w:rFonts w:asciiTheme="majorHAnsi" w:hAnsiTheme="majorHAnsi" w:cstheme="majorHAnsi"/>
                <w:sz w:val="20"/>
                <w:szCs w:val="20"/>
              </w:rPr>
              <w:t>Participatory systems for knowledge generation and development</w:t>
            </w:r>
          </w:p>
          <w:p w14:paraId="08663E60" w14:textId="77777777" w:rsidR="00E3573A" w:rsidRPr="005516CD" w:rsidRDefault="00E3573A" w:rsidP="006B27F4">
            <w:pPr>
              <w:numPr>
                <w:ilvl w:val="0"/>
                <w:numId w:val="89"/>
              </w:numPr>
              <w:ind w:left="162" w:hanging="180"/>
              <w:contextualSpacing/>
              <w:rPr>
                <w:rFonts w:asciiTheme="majorHAnsi" w:hAnsiTheme="majorHAnsi" w:cstheme="majorHAnsi"/>
                <w:sz w:val="20"/>
                <w:szCs w:val="20"/>
              </w:rPr>
            </w:pPr>
            <w:r w:rsidRPr="005516CD">
              <w:rPr>
                <w:rFonts w:asciiTheme="majorHAnsi" w:hAnsiTheme="majorHAnsi" w:cstheme="majorHAnsi"/>
                <w:sz w:val="20"/>
                <w:szCs w:val="20"/>
              </w:rPr>
              <w:t>Improved financing mechanisms for tree-based production systems</w:t>
            </w:r>
          </w:p>
          <w:p w14:paraId="5573A8A3" w14:textId="77777777" w:rsidR="00E3573A" w:rsidRPr="005516CD" w:rsidRDefault="00E3573A" w:rsidP="006B27F4">
            <w:pPr>
              <w:numPr>
                <w:ilvl w:val="0"/>
                <w:numId w:val="89"/>
              </w:numPr>
              <w:ind w:left="162" w:hanging="180"/>
              <w:contextualSpacing/>
              <w:rPr>
                <w:rFonts w:asciiTheme="majorHAnsi" w:hAnsiTheme="majorHAnsi" w:cstheme="majorHAnsi"/>
                <w:sz w:val="20"/>
                <w:szCs w:val="20"/>
              </w:rPr>
            </w:pPr>
            <w:r w:rsidRPr="005516CD">
              <w:rPr>
                <w:rFonts w:asciiTheme="majorHAnsi" w:hAnsiTheme="majorHAnsi" w:cstheme="majorHAnsi"/>
                <w:sz w:val="20"/>
                <w:szCs w:val="20"/>
              </w:rPr>
              <w:t>Capacities for generating revenue from other tree-based systems on farm</w:t>
            </w:r>
          </w:p>
        </w:tc>
        <w:tc>
          <w:tcPr>
            <w:tcW w:w="2494" w:type="dxa"/>
            <w:vMerge/>
          </w:tcPr>
          <w:p w14:paraId="51196528" w14:textId="77777777" w:rsidR="00E3573A" w:rsidRPr="005516CD" w:rsidRDefault="00E3573A" w:rsidP="007B146B">
            <w:pPr>
              <w:autoSpaceDE w:val="0"/>
              <w:autoSpaceDN w:val="0"/>
              <w:adjustRightInd w:val="0"/>
              <w:spacing w:after="120"/>
              <w:ind w:right="96"/>
              <w:jc w:val="both"/>
              <w:rPr>
                <w:rFonts w:asciiTheme="majorHAnsi" w:hAnsiTheme="majorHAnsi" w:cstheme="majorHAnsi"/>
                <w:sz w:val="20"/>
                <w:szCs w:val="20"/>
              </w:rPr>
            </w:pPr>
          </w:p>
        </w:tc>
      </w:tr>
      <w:tr w:rsidR="00E3573A" w:rsidRPr="005516CD" w14:paraId="3F33865E" w14:textId="77777777" w:rsidTr="00E3573A">
        <w:tc>
          <w:tcPr>
            <w:tcW w:w="3686" w:type="dxa"/>
          </w:tcPr>
          <w:p w14:paraId="06A6FA9E" w14:textId="77777777" w:rsidR="00E3573A" w:rsidRPr="005516CD" w:rsidRDefault="00E3573A" w:rsidP="007B146B">
            <w:pPr>
              <w:rPr>
                <w:rFonts w:asciiTheme="majorHAnsi" w:hAnsiTheme="majorHAnsi" w:cstheme="majorHAnsi"/>
                <w:sz w:val="20"/>
                <w:szCs w:val="20"/>
              </w:rPr>
            </w:pPr>
            <w:r w:rsidRPr="005516CD">
              <w:rPr>
                <w:rFonts w:asciiTheme="majorHAnsi" w:hAnsiTheme="majorHAnsi" w:cstheme="majorHAnsi"/>
                <w:sz w:val="20"/>
                <w:szCs w:val="20"/>
              </w:rPr>
              <w:t>Promotion of green value chains (for e.g. mango, cashew, ricin, c</w:t>
            </w:r>
            <w:r w:rsidR="00A504BA" w:rsidRPr="005516CD">
              <w:rPr>
                <w:rFonts w:asciiTheme="majorHAnsi" w:hAnsiTheme="majorHAnsi" w:cstheme="majorHAnsi"/>
                <w:sz w:val="20"/>
                <w:szCs w:val="20"/>
              </w:rPr>
              <w:t>o</w:t>
            </w:r>
            <w:r w:rsidRPr="005516CD">
              <w:rPr>
                <w:rFonts w:asciiTheme="majorHAnsi" w:hAnsiTheme="majorHAnsi" w:cstheme="majorHAnsi"/>
                <w:sz w:val="20"/>
                <w:szCs w:val="20"/>
              </w:rPr>
              <w:t>c</w:t>
            </w:r>
            <w:r w:rsidR="00A504BA" w:rsidRPr="005516CD">
              <w:rPr>
                <w:rFonts w:asciiTheme="majorHAnsi" w:hAnsiTheme="majorHAnsi" w:cstheme="majorHAnsi"/>
                <w:sz w:val="20"/>
                <w:szCs w:val="20"/>
              </w:rPr>
              <w:t>o</w:t>
            </w:r>
            <w:r w:rsidRPr="005516CD">
              <w:rPr>
                <w:rFonts w:asciiTheme="majorHAnsi" w:hAnsiTheme="majorHAnsi" w:cstheme="majorHAnsi"/>
                <w:sz w:val="20"/>
                <w:szCs w:val="20"/>
              </w:rPr>
              <w:t>a and vetiver) will not necessarily favour the generation of GEBs, as these crops are typically grown in management systems with limited structural or compositional diversity.</w:t>
            </w:r>
          </w:p>
        </w:tc>
        <w:tc>
          <w:tcPr>
            <w:tcW w:w="2835" w:type="dxa"/>
          </w:tcPr>
          <w:p w14:paraId="4EE922B0" w14:textId="77777777" w:rsidR="00E3573A" w:rsidRPr="005516CD" w:rsidRDefault="00E3573A" w:rsidP="006B27F4">
            <w:pPr>
              <w:numPr>
                <w:ilvl w:val="0"/>
                <w:numId w:val="89"/>
              </w:numPr>
              <w:ind w:left="162" w:hanging="180"/>
              <w:contextualSpacing/>
              <w:rPr>
                <w:rFonts w:asciiTheme="majorHAnsi" w:hAnsiTheme="majorHAnsi" w:cstheme="majorHAnsi"/>
                <w:sz w:val="20"/>
                <w:szCs w:val="20"/>
              </w:rPr>
            </w:pPr>
            <w:r w:rsidRPr="005516CD">
              <w:rPr>
                <w:rFonts w:asciiTheme="majorHAnsi" w:hAnsiTheme="majorHAnsi" w:cstheme="majorHAnsi"/>
                <w:sz w:val="20"/>
                <w:szCs w:val="20"/>
              </w:rPr>
              <w:t>Support to development of industry-wide sustainability standards and environmental certification/branding, with emphasis on combining environmental and productive sustainability</w:t>
            </w:r>
          </w:p>
        </w:tc>
        <w:tc>
          <w:tcPr>
            <w:tcW w:w="2494" w:type="dxa"/>
            <w:vMerge/>
          </w:tcPr>
          <w:p w14:paraId="60E4A8FB" w14:textId="77777777" w:rsidR="00E3573A" w:rsidRPr="005516CD" w:rsidRDefault="00E3573A" w:rsidP="007B146B">
            <w:pPr>
              <w:autoSpaceDE w:val="0"/>
              <w:autoSpaceDN w:val="0"/>
              <w:adjustRightInd w:val="0"/>
              <w:spacing w:after="120"/>
              <w:ind w:right="96"/>
              <w:jc w:val="both"/>
              <w:rPr>
                <w:rFonts w:asciiTheme="majorHAnsi" w:hAnsiTheme="majorHAnsi" w:cstheme="majorHAnsi"/>
                <w:sz w:val="20"/>
                <w:szCs w:val="20"/>
              </w:rPr>
            </w:pPr>
          </w:p>
        </w:tc>
      </w:tr>
      <w:tr w:rsidR="00E3573A" w:rsidRPr="005516CD" w14:paraId="6ECCDEC1" w14:textId="77777777" w:rsidTr="00E3573A">
        <w:tc>
          <w:tcPr>
            <w:tcW w:w="3686" w:type="dxa"/>
          </w:tcPr>
          <w:p w14:paraId="36B68E2E" w14:textId="77777777" w:rsidR="00E3573A" w:rsidRPr="005516CD" w:rsidRDefault="00E3573A" w:rsidP="007B146B">
            <w:pPr>
              <w:rPr>
                <w:rFonts w:asciiTheme="majorHAnsi" w:hAnsiTheme="majorHAnsi" w:cstheme="majorHAnsi"/>
                <w:sz w:val="20"/>
                <w:szCs w:val="20"/>
              </w:rPr>
            </w:pPr>
            <w:r w:rsidRPr="005516CD">
              <w:rPr>
                <w:rFonts w:asciiTheme="majorHAnsi" w:hAnsiTheme="majorHAnsi" w:cstheme="majorHAnsi"/>
                <w:sz w:val="20"/>
                <w:szCs w:val="20"/>
              </w:rPr>
              <w:t>Remnants of natural ecosystems will continue to be affected by wood harvesting for charcoal, construction (especially post-disaster reconstruction) and agriculture expansion, and the continued use of fire as a tool for land clearance and for the control of weeds and pests</w:t>
            </w:r>
          </w:p>
        </w:tc>
        <w:tc>
          <w:tcPr>
            <w:tcW w:w="2835" w:type="dxa"/>
          </w:tcPr>
          <w:p w14:paraId="14793FDF" w14:textId="77777777" w:rsidR="00E3573A" w:rsidRPr="005516CD" w:rsidRDefault="00E3573A" w:rsidP="006B27F4">
            <w:pPr>
              <w:numPr>
                <w:ilvl w:val="0"/>
                <w:numId w:val="89"/>
              </w:numPr>
              <w:ind w:left="162" w:hanging="180"/>
              <w:contextualSpacing/>
              <w:rPr>
                <w:rFonts w:asciiTheme="majorHAnsi" w:hAnsiTheme="majorHAnsi" w:cstheme="majorHAnsi"/>
                <w:sz w:val="20"/>
                <w:szCs w:val="20"/>
              </w:rPr>
            </w:pPr>
            <w:r w:rsidRPr="005516CD">
              <w:rPr>
                <w:rFonts w:asciiTheme="majorHAnsi" w:hAnsiTheme="majorHAnsi" w:cstheme="majorHAnsi"/>
                <w:sz w:val="20"/>
                <w:szCs w:val="20"/>
              </w:rPr>
              <w:t>Strengthening of socially- and institutionally sustainable mechanisms for governance in support of tree-rich production systems, as a complement to weak State capacities</w:t>
            </w:r>
          </w:p>
        </w:tc>
        <w:tc>
          <w:tcPr>
            <w:tcW w:w="2494" w:type="dxa"/>
            <w:vMerge/>
          </w:tcPr>
          <w:p w14:paraId="0A941A98" w14:textId="77777777" w:rsidR="00E3573A" w:rsidRPr="005516CD" w:rsidRDefault="00E3573A" w:rsidP="007B146B">
            <w:pPr>
              <w:autoSpaceDE w:val="0"/>
              <w:autoSpaceDN w:val="0"/>
              <w:adjustRightInd w:val="0"/>
              <w:spacing w:after="120"/>
              <w:ind w:right="96"/>
              <w:jc w:val="both"/>
              <w:rPr>
                <w:rFonts w:asciiTheme="majorHAnsi" w:hAnsiTheme="majorHAnsi" w:cstheme="majorHAnsi"/>
                <w:sz w:val="20"/>
                <w:szCs w:val="20"/>
              </w:rPr>
            </w:pPr>
          </w:p>
        </w:tc>
      </w:tr>
    </w:tbl>
    <w:p w14:paraId="448A9264" w14:textId="77777777" w:rsidR="00E17E78" w:rsidRPr="005516CD" w:rsidRDefault="00E17E78" w:rsidP="007B146B"/>
    <w:p w14:paraId="131EDEF9" w14:textId="77777777" w:rsidR="00E17E78" w:rsidRPr="005516CD" w:rsidRDefault="00E17E78"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The achievement of the expected outcomes, in terms of harmonised landscape- planning, cross-sectoral governance, effective value chain instruments supporting sustainable production, access to technical and financial support, increased farmer capacities and effective knowledge management, and the consequent delivery of diverse environmental and social benefits, are subject to a number of assumptions being met:</w:t>
      </w:r>
    </w:p>
    <w:p w14:paraId="225CA55D" w14:textId="77777777" w:rsidR="00E17E78" w:rsidRPr="005516CD" w:rsidRDefault="00E17E78" w:rsidP="006B27F4">
      <w:pPr>
        <w:pStyle w:val="ListParagraph"/>
        <w:numPr>
          <w:ilvl w:val="0"/>
          <w:numId w:val="88"/>
        </w:numPr>
        <w:tabs>
          <w:tab w:val="left" w:pos="426"/>
        </w:tabs>
        <w:spacing w:after="120"/>
        <w:ind w:right="96"/>
        <w:jc w:val="both"/>
        <w:rPr>
          <w:rFonts w:asciiTheme="majorHAnsi" w:eastAsia="Calibri" w:hAnsiTheme="majorHAnsi" w:cstheme="majorHAnsi"/>
          <w:sz w:val="20"/>
          <w:szCs w:val="20"/>
          <w:lang w:val="en-GB"/>
        </w:rPr>
      </w:pPr>
      <w:r w:rsidRPr="005516CD">
        <w:rPr>
          <w:rFonts w:asciiTheme="majorHAnsi" w:eastAsia="Calibri" w:hAnsiTheme="majorHAnsi" w:cstheme="majorHAnsi"/>
          <w:sz w:val="20"/>
          <w:szCs w:val="20"/>
        </w:rPr>
        <w:t>Actors in central and local governments must recognize and prioritize the importance of incorporating considerations of environmental sustainability (including BD conservation) in land use planning instruments, given the medium- and long-term benefits of this relative to shorter term goals focused solely on productivity.</w:t>
      </w:r>
    </w:p>
    <w:p w14:paraId="5740AF62" w14:textId="77777777" w:rsidR="00E17E78" w:rsidRPr="005516CD" w:rsidRDefault="00E17E78" w:rsidP="006B27F4">
      <w:pPr>
        <w:pStyle w:val="ListParagraph"/>
        <w:numPr>
          <w:ilvl w:val="0"/>
          <w:numId w:val="88"/>
        </w:numPr>
        <w:tabs>
          <w:tab w:val="left" w:pos="426"/>
        </w:tabs>
        <w:spacing w:after="120"/>
        <w:ind w:right="96"/>
        <w:jc w:val="both"/>
        <w:rPr>
          <w:rFonts w:asciiTheme="majorHAnsi" w:eastAsia="Calibri" w:hAnsiTheme="majorHAnsi" w:cstheme="majorHAnsi"/>
          <w:sz w:val="20"/>
          <w:szCs w:val="20"/>
          <w:lang w:val="en-GB"/>
        </w:rPr>
      </w:pPr>
      <w:r w:rsidRPr="005516CD">
        <w:rPr>
          <w:rFonts w:asciiTheme="majorHAnsi" w:eastAsia="Calibri" w:hAnsiTheme="majorHAnsi" w:cstheme="majorHAnsi"/>
          <w:sz w:val="20"/>
          <w:szCs w:val="20"/>
          <w:lang w:val="en-GB"/>
        </w:rPr>
        <w:t>Adequate conditions of social cohesion and receptiveness to addressing inter-stakeholder issues must exist at local level: although sporadic instances of civil unrest do occur in Haiti, social structures in rural communities tend to be sufficiently well developed to provide a basis on which natural resource governance mechanisms can be established or strengthened.</w:t>
      </w:r>
    </w:p>
    <w:p w14:paraId="67953132" w14:textId="77777777" w:rsidR="00E17E78" w:rsidRPr="005516CD" w:rsidRDefault="00E17E78" w:rsidP="006B27F4">
      <w:pPr>
        <w:pStyle w:val="ListParagraph"/>
        <w:numPr>
          <w:ilvl w:val="0"/>
          <w:numId w:val="88"/>
        </w:numPr>
        <w:tabs>
          <w:tab w:val="left" w:pos="426"/>
        </w:tabs>
        <w:spacing w:after="120"/>
        <w:ind w:right="96"/>
        <w:jc w:val="both"/>
        <w:rPr>
          <w:rFonts w:asciiTheme="majorHAnsi" w:eastAsia="Calibri" w:hAnsiTheme="majorHAnsi" w:cstheme="majorHAnsi"/>
          <w:sz w:val="20"/>
          <w:szCs w:val="20"/>
          <w:lang w:val="en-GB"/>
        </w:rPr>
      </w:pPr>
      <w:r w:rsidRPr="005516CD">
        <w:rPr>
          <w:rFonts w:asciiTheme="majorHAnsi" w:eastAsia="Calibri" w:hAnsiTheme="majorHAnsi" w:cstheme="majorHAnsi"/>
          <w:sz w:val="20"/>
          <w:szCs w:val="20"/>
          <w:lang w:val="en-GB"/>
        </w:rPr>
        <w:t>Adequate and reliable demand must exist for products (such as c</w:t>
      </w:r>
      <w:r w:rsidR="00A504BA" w:rsidRPr="005516CD">
        <w:rPr>
          <w:rFonts w:asciiTheme="majorHAnsi" w:eastAsia="Calibri" w:hAnsiTheme="majorHAnsi" w:cstheme="majorHAnsi"/>
          <w:sz w:val="20"/>
          <w:szCs w:val="20"/>
          <w:lang w:val="en-GB"/>
        </w:rPr>
        <w:t>o</w:t>
      </w:r>
      <w:r w:rsidRPr="005516CD">
        <w:rPr>
          <w:rFonts w:asciiTheme="majorHAnsi" w:eastAsia="Calibri" w:hAnsiTheme="majorHAnsi" w:cstheme="majorHAnsi"/>
          <w:sz w:val="20"/>
          <w:szCs w:val="20"/>
          <w:lang w:val="en-GB"/>
        </w:rPr>
        <w:t>c</w:t>
      </w:r>
      <w:r w:rsidR="00A504BA" w:rsidRPr="005516CD">
        <w:rPr>
          <w:rFonts w:asciiTheme="majorHAnsi" w:eastAsia="Calibri" w:hAnsiTheme="majorHAnsi" w:cstheme="majorHAnsi"/>
          <w:sz w:val="20"/>
          <w:szCs w:val="20"/>
          <w:lang w:val="en-GB"/>
        </w:rPr>
        <w:t>o</w:t>
      </w:r>
      <w:r w:rsidRPr="005516CD">
        <w:rPr>
          <w:rFonts w:asciiTheme="majorHAnsi" w:eastAsia="Calibri" w:hAnsiTheme="majorHAnsi" w:cstheme="majorHAnsi"/>
          <w:sz w:val="20"/>
          <w:szCs w:val="20"/>
          <w:lang w:val="en-GB"/>
        </w:rPr>
        <w:t xml:space="preserve">a and coffee) from BD-friendly production systems: while the scale of this international demand is subject in part to factors outside of the project control, highly successful experiences have been generated in many countries of Latin America and the Caribbean with linking farmers to premium markets which reward environmental sustainability (such as Rainforest Alliance certified and Bird-Friendly coffee).  </w:t>
      </w:r>
    </w:p>
    <w:p w14:paraId="618D28E6" w14:textId="77777777" w:rsidR="0028474E" w:rsidRPr="005516CD" w:rsidRDefault="0028474E" w:rsidP="006B27F4">
      <w:pPr>
        <w:numPr>
          <w:ilvl w:val="0"/>
          <w:numId w:val="87"/>
        </w:numPr>
        <w:tabs>
          <w:tab w:val="clear" w:pos="720"/>
          <w:tab w:val="num" w:pos="-284"/>
          <w:tab w:val="left" w:pos="426"/>
        </w:tabs>
        <w:spacing w:after="120"/>
        <w:ind w:left="0" w:right="96" w:firstLine="0"/>
        <w:jc w:val="both"/>
        <w:rPr>
          <w:lang w:val="en-US"/>
        </w:rPr>
        <w:sectPr w:rsidR="0028474E" w:rsidRPr="005516CD">
          <w:footerReference w:type="default" r:id="rId27"/>
          <w:pgSz w:w="11900" w:h="16840"/>
          <w:pgMar w:top="1440" w:right="1440" w:bottom="1440" w:left="1440" w:header="708" w:footer="432" w:gutter="0"/>
          <w:cols w:space="720"/>
        </w:sectPr>
      </w:pPr>
    </w:p>
    <w:p w14:paraId="7F66E24E" w14:textId="77777777" w:rsidR="0028474E" w:rsidRPr="005516CD" w:rsidRDefault="0028474E" w:rsidP="006B27F4">
      <w:pPr>
        <w:pStyle w:val="ListParagraph"/>
        <w:keepNext/>
        <w:numPr>
          <w:ilvl w:val="6"/>
          <w:numId w:val="91"/>
        </w:numPr>
        <w:tabs>
          <w:tab w:val="num" w:pos="4680"/>
        </w:tabs>
        <w:autoSpaceDE w:val="0"/>
        <w:autoSpaceDN w:val="0"/>
        <w:adjustRightInd w:val="0"/>
        <w:ind w:left="851" w:right="96" w:hanging="851"/>
        <w:rPr>
          <w:rFonts w:asciiTheme="majorHAnsi" w:eastAsia="Calibri" w:hAnsiTheme="majorHAnsi" w:cstheme="majorHAnsi"/>
          <w:b/>
          <w:sz w:val="20"/>
          <w:szCs w:val="20"/>
        </w:rPr>
      </w:pPr>
      <w:bookmarkStart w:id="39" w:name="_Ref527963414"/>
      <w:bookmarkStart w:id="40" w:name="_Ref470622786"/>
      <w:r w:rsidRPr="005516CD">
        <w:rPr>
          <w:rFonts w:asciiTheme="majorHAnsi" w:eastAsia="Calibri" w:hAnsiTheme="majorHAnsi" w:cstheme="majorHAnsi"/>
          <w:b/>
          <w:sz w:val="20"/>
          <w:szCs w:val="20"/>
        </w:rPr>
        <w:t>Project Theory of Change</w:t>
      </w:r>
      <w:bookmarkEnd w:id="39"/>
    </w:p>
    <w:p w14:paraId="2904D9FA" w14:textId="77777777" w:rsidR="0028474E" w:rsidRPr="005516CD" w:rsidRDefault="004246D8" w:rsidP="007B146B">
      <w:pPr>
        <w:pStyle w:val="Body"/>
        <w:keepNext/>
        <w:keepLines/>
        <w:ind w:left="-11"/>
        <w:jc w:val="left"/>
        <w:rPr>
          <w:rStyle w:val="Hyperlink3"/>
          <w:b/>
        </w:rPr>
      </w:pPr>
      <w:r w:rsidRPr="005516CD">
        <w:rPr>
          <w:rStyle w:val="Hyperlink3"/>
          <w:b/>
          <w:noProof/>
          <w:lang w:eastAsia="en-US"/>
        </w:rPr>
        <w:drawing>
          <wp:inline distT="0" distB="0" distL="0" distR="0" wp14:anchorId="515E03B8" wp14:editId="1EC18F4D">
            <wp:extent cx="9076267" cy="5150927"/>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9107693" cy="5168762"/>
                    </a:xfrm>
                    <a:prstGeom prst="rect">
                      <a:avLst/>
                    </a:prstGeom>
                    <a:noFill/>
                  </pic:spPr>
                </pic:pic>
              </a:graphicData>
            </a:graphic>
          </wp:inline>
        </w:drawing>
      </w:r>
    </w:p>
    <w:bookmarkEnd w:id="40"/>
    <w:p w14:paraId="3A2B073D" w14:textId="77777777" w:rsidR="0028474E" w:rsidRPr="005516CD" w:rsidRDefault="0028474E" w:rsidP="007B146B">
      <w:pPr>
        <w:pStyle w:val="Body"/>
        <w:tabs>
          <w:tab w:val="left" w:pos="426"/>
        </w:tabs>
        <w:spacing w:after="120"/>
        <w:rPr>
          <w:lang w:val="en-US"/>
        </w:rPr>
        <w:sectPr w:rsidR="0028474E" w:rsidRPr="005516CD" w:rsidSect="00624FC2">
          <w:headerReference w:type="even" r:id="rId29"/>
          <w:headerReference w:type="default" r:id="rId30"/>
          <w:footerReference w:type="default" r:id="rId31"/>
          <w:headerReference w:type="first" r:id="rId32"/>
          <w:pgSz w:w="16840" w:h="11900" w:orient="landscape"/>
          <w:pgMar w:top="1440" w:right="1440" w:bottom="1440" w:left="1440" w:header="708" w:footer="432" w:gutter="0"/>
          <w:cols w:space="720"/>
          <w:docGrid w:linePitch="326"/>
        </w:sectPr>
      </w:pPr>
    </w:p>
    <w:p w14:paraId="1FC18A93" w14:textId="77777777" w:rsidR="0054189D" w:rsidRPr="005516CD" w:rsidRDefault="0054189D" w:rsidP="007B146B">
      <w:pPr>
        <w:tabs>
          <w:tab w:val="left" w:pos="426"/>
        </w:tabs>
        <w:spacing w:after="120"/>
        <w:ind w:right="96"/>
        <w:jc w:val="both"/>
        <w:rPr>
          <w:rFonts w:asciiTheme="majorHAnsi" w:hAnsiTheme="majorHAnsi" w:cstheme="majorHAnsi"/>
          <w:b/>
          <w:i/>
          <w:color w:val="000000" w:themeColor="text1"/>
          <w:sz w:val="20"/>
          <w:szCs w:val="20"/>
          <w:lang w:val="en-US"/>
        </w:rPr>
      </w:pPr>
      <w:bookmarkStart w:id="41" w:name="_Hlk519502419"/>
      <w:r w:rsidRPr="005516CD">
        <w:rPr>
          <w:rFonts w:asciiTheme="majorHAnsi" w:hAnsiTheme="majorHAnsi" w:cstheme="majorHAnsi"/>
          <w:b/>
          <w:i/>
          <w:color w:val="000000" w:themeColor="text1"/>
          <w:sz w:val="20"/>
          <w:szCs w:val="20"/>
          <w:lang w:val="en-US"/>
        </w:rPr>
        <w:t>Resilience</w:t>
      </w:r>
    </w:p>
    <w:p w14:paraId="5EEDF3F4" w14:textId="77777777" w:rsidR="0054189D" w:rsidRPr="005516CD" w:rsidRDefault="0054189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emphasis of the project on productive diversification in tree-based production systems </w:t>
      </w:r>
      <w:r w:rsidR="00670E92" w:rsidRPr="005516CD">
        <w:rPr>
          <w:rFonts w:asciiTheme="majorHAnsi" w:hAnsiTheme="majorHAnsi" w:cstheme="majorHAnsi"/>
          <w:sz w:val="20"/>
          <w:szCs w:val="20"/>
        </w:rPr>
        <w:t>reflects</w:t>
      </w:r>
      <w:r w:rsidRPr="005516CD">
        <w:rPr>
          <w:rFonts w:asciiTheme="majorHAnsi" w:hAnsiTheme="majorHAnsi" w:cstheme="majorHAnsi"/>
          <w:sz w:val="20"/>
          <w:szCs w:val="20"/>
        </w:rPr>
        <w:t xml:space="preserve"> the results of analyses of the implications of the effects of climate change</w:t>
      </w:r>
      <w:r w:rsidR="00670E92" w:rsidRPr="005516CD">
        <w:rPr>
          <w:rFonts w:asciiTheme="majorHAnsi" w:hAnsiTheme="majorHAnsi" w:cstheme="majorHAnsi"/>
          <w:sz w:val="20"/>
          <w:szCs w:val="20"/>
        </w:rPr>
        <w:t xml:space="preserve"> and recommendations of corresponding resilience strategies</w:t>
      </w:r>
      <w:r w:rsidR="00670E92" w:rsidRPr="005516CD">
        <w:rPr>
          <w:rStyle w:val="FootnoteReference"/>
          <w:rFonts w:asciiTheme="majorHAnsi" w:hAnsiTheme="majorHAnsi" w:cstheme="majorHAnsi"/>
          <w:sz w:val="20"/>
          <w:szCs w:val="20"/>
        </w:rPr>
        <w:footnoteReference w:id="46"/>
      </w:r>
      <w:r w:rsidR="00670E92" w:rsidRPr="005516CD">
        <w:rPr>
          <w:rFonts w:asciiTheme="majorHAnsi" w:hAnsiTheme="majorHAnsi" w:cstheme="majorHAnsi"/>
          <w:sz w:val="20"/>
          <w:szCs w:val="20"/>
        </w:rPr>
        <w:t>:</w:t>
      </w:r>
    </w:p>
    <w:p w14:paraId="69B4CD93" w14:textId="77777777" w:rsidR="0054189D" w:rsidRPr="005516CD" w:rsidRDefault="0054189D"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Haiti’s agricultural production may be strongly</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affected by sea-level rise and more frequent extreme</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weather events (e.g., hurricanes) hitting coastal</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areas.</w:t>
      </w:r>
    </w:p>
    <w:p w14:paraId="583F7CDB" w14:textId="77777777" w:rsidR="0054189D" w:rsidRPr="005516CD" w:rsidRDefault="0054189D"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The quality and yields of coffee in regions where it </w:t>
      </w:r>
      <w:proofErr w:type="gramStart"/>
      <w:r w:rsidRPr="005516CD">
        <w:rPr>
          <w:rFonts w:asciiTheme="majorHAnsi" w:hAnsiTheme="majorHAnsi" w:cstheme="majorHAnsi"/>
          <w:sz w:val="20"/>
          <w:szCs w:val="20"/>
        </w:rPr>
        <w:t>is</w:t>
      </w:r>
      <w:proofErr w:type="gramEnd"/>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currently produced (especially at lower elevations)</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may decline as a result of lower rainfall and higher</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night and daytime temperatures.</w:t>
      </w:r>
    </w:p>
    <w:p w14:paraId="16A5D273" w14:textId="77777777" w:rsidR="0054189D" w:rsidRPr="005516CD" w:rsidRDefault="0054189D"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A projected upward shift in the areas where coffee is</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suitable will increase the risk of high-altitude forests</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and protected areas being converted to cropland.</w:t>
      </w:r>
    </w:p>
    <w:p w14:paraId="7287470A" w14:textId="77777777" w:rsidR="0054189D" w:rsidRPr="005516CD" w:rsidRDefault="0054189D"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Key ecosystem services provided by coffee must be</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protected through short- and long-term risk</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management strategies (e.g., crop diversification</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and full crop substitution).</w:t>
      </w:r>
    </w:p>
    <w:p w14:paraId="4ABD2C7D" w14:textId="77777777" w:rsidR="0054189D" w:rsidRPr="005516CD" w:rsidRDefault="0054189D"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In areas where climate change will make coffee only</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slightly less suitable, farmers should adapt their</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production by investing in irrigation systems,</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improving shade management, and adopting</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drought-tolerant coffee varieties.</w:t>
      </w:r>
    </w:p>
    <w:p w14:paraId="566099F1" w14:textId="77777777" w:rsidR="0054189D" w:rsidRPr="005516CD" w:rsidRDefault="0054189D"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In areas where coffee production will cease to be</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suitable, landowners should begin diversifying</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agricultural systems, with the aim of eventually</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switching to crops, such as cocoa, that are expected</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to remain highly suitable for cultivation throughout</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the country.</w:t>
      </w:r>
    </w:p>
    <w:p w14:paraId="52FE86EB" w14:textId="77777777" w:rsidR="0054189D" w:rsidRPr="005516CD" w:rsidRDefault="0054189D"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Mango will also remain highly suitable for cultivation</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in Haiti and could, therefore, replace coffee and dry</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beans, which will become less suitable in areas</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between 500 and 1,000 </w:t>
      </w:r>
      <w:proofErr w:type="spellStart"/>
      <w:r w:rsidRPr="005516CD">
        <w:rPr>
          <w:rFonts w:asciiTheme="majorHAnsi" w:hAnsiTheme="majorHAnsi" w:cstheme="majorHAnsi"/>
          <w:sz w:val="20"/>
          <w:szCs w:val="20"/>
        </w:rPr>
        <w:t>masl</w:t>
      </w:r>
      <w:proofErr w:type="spellEnd"/>
      <w:r w:rsidRPr="005516CD">
        <w:rPr>
          <w:rFonts w:asciiTheme="majorHAnsi" w:hAnsiTheme="majorHAnsi" w:cstheme="majorHAnsi"/>
          <w:sz w:val="20"/>
          <w:szCs w:val="20"/>
        </w:rPr>
        <w:t xml:space="preserve"> by 2050.</w:t>
      </w:r>
    </w:p>
    <w:p w14:paraId="098AD372" w14:textId="77777777" w:rsidR="0054189D" w:rsidRPr="005516CD" w:rsidRDefault="0054189D"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Sorghum and yam are also good options for crop</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diversification, since they are highly likely to become</w:t>
      </w:r>
      <w:r w:rsidR="00670E92" w:rsidRPr="005516CD">
        <w:rPr>
          <w:rFonts w:asciiTheme="majorHAnsi" w:hAnsiTheme="majorHAnsi" w:cstheme="majorHAnsi"/>
          <w:sz w:val="20"/>
          <w:szCs w:val="20"/>
        </w:rPr>
        <w:t xml:space="preserve"> </w:t>
      </w:r>
      <w:r w:rsidRPr="005516CD">
        <w:rPr>
          <w:rFonts w:asciiTheme="majorHAnsi" w:hAnsiTheme="majorHAnsi" w:cstheme="majorHAnsi"/>
          <w:sz w:val="20"/>
          <w:szCs w:val="20"/>
        </w:rPr>
        <w:t>more suitable for future conditions in Haiti.</w:t>
      </w:r>
    </w:p>
    <w:p w14:paraId="2DDE695F" w14:textId="77777777" w:rsidR="00670E92" w:rsidRPr="005516CD" w:rsidRDefault="00670E92"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eastAsia="Calibri" w:hAnsiTheme="majorHAnsi" w:cstheme="majorHAnsi"/>
          <w:b/>
          <w:sz w:val="20"/>
          <w:szCs w:val="20"/>
        </w:rPr>
      </w:pPr>
      <w:r w:rsidRPr="005516CD">
        <w:rPr>
          <w:rFonts w:asciiTheme="majorHAnsi" w:eastAsia="Calibri" w:hAnsiTheme="majorHAnsi" w:cstheme="majorHAnsi"/>
          <w:b/>
          <w:sz w:val="20"/>
          <w:szCs w:val="20"/>
        </w:rPr>
        <w:t>Results of a species distribution model to assess changes in coffee and mango suitability under future climates in Haiti. Red areas show reductions in suitability, while green areas show increases by 2050 (CIAT).</w:t>
      </w:r>
    </w:p>
    <w:p w14:paraId="487D3AC0" w14:textId="77777777" w:rsidR="00670E92" w:rsidRPr="005516CD" w:rsidRDefault="00670E92" w:rsidP="00670E92">
      <w:p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inline distT="0" distB="0" distL="0" distR="0" wp14:anchorId="02A32E34" wp14:editId="49304154">
            <wp:extent cx="5727700" cy="2066290"/>
            <wp:effectExtent l="0" t="0" r="635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27700" cy="2066290"/>
                    </a:xfrm>
                    <a:prstGeom prst="rect">
                      <a:avLst/>
                    </a:prstGeom>
                    <a:noFill/>
                    <a:ln>
                      <a:noFill/>
                    </a:ln>
                  </pic:spPr>
                </pic:pic>
              </a:graphicData>
            </a:graphic>
          </wp:inline>
        </w:drawing>
      </w:r>
    </w:p>
    <w:p w14:paraId="0743BE68" w14:textId="77777777" w:rsidR="00670E92" w:rsidRPr="005516CD" w:rsidRDefault="00670E92"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These climate suitability analyses for specific crops show that cocoa is, in general, highly suitable for production in Haiti and is likely to remain so, despite long-term changes in the climate.</w:t>
      </w:r>
    </w:p>
    <w:p w14:paraId="4CEC496A" w14:textId="77777777" w:rsidR="00125D87" w:rsidRPr="005516CD" w:rsidRDefault="00125D87" w:rsidP="007B146B">
      <w:pPr>
        <w:tabs>
          <w:tab w:val="left" w:pos="426"/>
        </w:tabs>
        <w:spacing w:after="120"/>
        <w:ind w:right="96"/>
        <w:jc w:val="both"/>
        <w:rPr>
          <w:rFonts w:asciiTheme="majorHAnsi" w:hAnsiTheme="majorHAnsi" w:cstheme="majorHAnsi"/>
          <w:b/>
          <w:i/>
          <w:color w:val="000000" w:themeColor="text1"/>
          <w:sz w:val="20"/>
          <w:szCs w:val="20"/>
          <w:lang w:val="en-US"/>
        </w:rPr>
      </w:pPr>
      <w:r w:rsidRPr="005516CD">
        <w:rPr>
          <w:rFonts w:asciiTheme="majorHAnsi" w:hAnsiTheme="majorHAnsi" w:cstheme="majorHAnsi"/>
          <w:b/>
          <w:i/>
          <w:color w:val="000000" w:themeColor="text1"/>
          <w:sz w:val="20"/>
          <w:szCs w:val="20"/>
          <w:lang w:val="en-US"/>
        </w:rPr>
        <w:t>Biodiversity conservation strategies:</w:t>
      </w:r>
    </w:p>
    <w:p w14:paraId="1FC932BD" w14:textId="77777777" w:rsidR="008F24DE" w:rsidRPr="005516CD" w:rsidRDefault="00BB7414"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2"/>
        </w:rPr>
      </w:pPr>
      <w:r w:rsidRPr="005516CD">
        <w:rPr>
          <w:rFonts w:asciiTheme="majorHAnsi" w:hAnsiTheme="majorHAnsi" w:cstheme="majorHAnsi"/>
          <w:sz w:val="20"/>
          <w:szCs w:val="20"/>
        </w:rPr>
        <w:t xml:space="preserve">The project strategies will deliver biodiversity benefits through </w:t>
      </w:r>
      <w:proofErr w:type="spellStart"/>
      <w:r w:rsidRPr="005516CD">
        <w:rPr>
          <w:rFonts w:asciiTheme="majorHAnsi" w:hAnsiTheme="majorHAnsi" w:cstheme="majorHAnsi"/>
          <w:sz w:val="20"/>
          <w:szCs w:val="20"/>
        </w:rPr>
        <w:t>i</w:t>
      </w:r>
      <w:proofErr w:type="spellEnd"/>
      <w:r w:rsidRPr="005516CD">
        <w:rPr>
          <w:rFonts w:asciiTheme="majorHAnsi" w:hAnsiTheme="majorHAnsi" w:cstheme="majorHAnsi"/>
          <w:sz w:val="20"/>
          <w:szCs w:val="20"/>
        </w:rPr>
        <w:t>) improving the habitat conditions of the agroecosystem and ii) improving landscape-wide connectivity.</w:t>
      </w:r>
      <w:r w:rsidR="008F24DE" w:rsidRPr="005516CD">
        <w:rPr>
          <w:rFonts w:asciiTheme="majorHAnsi" w:hAnsiTheme="majorHAnsi" w:cstheme="majorHAnsi"/>
          <w:sz w:val="20"/>
          <w:szCs w:val="20"/>
        </w:rPr>
        <w:t xml:space="preserve"> </w:t>
      </w:r>
      <w:r w:rsidR="008F24DE" w:rsidRPr="005516CD">
        <w:rPr>
          <w:rFonts w:asciiTheme="majorHAnsi" w:eastAsia="Calibri" w:hAnsiTheme="majorHAnsi" w:cstheme="majorHAnsi"/>
          <w:sz w:val="20"/>
          <w:szCs w:val="22"/>
        </w:rPr>
        <w:t>In accordance with concepts of island biogeography</w:t>
      </w:r>
      <w:r w:rsidR="008F24DE" w:rsidRPr="005516CD">
        <w:rPr>
          <w:rStyle w:val="FootnoteReference"/>
          <w:rFonts w:asciiTheme="majorHAnsi" w:eastAsia="Calibri" w:hAnsiTheme="majorHAnsi" w:cstheme="majorHAnsi"/>
          <w:sz w:val="20"/>
          <w:szCs w:val="22"/>
        </w:rPr>
        <w:footnoteReference w:id="47"/>
      </w:r>
      <w:r w:rsidR="008F24DE" w:rsidRPr="005516CD">
        <w:rPr>
          <w:rFonts w:asciiTheme="majorHAnsi" w:eastAsia="Calibri" w:hAnsiTheme="majorHAnsi" w:cstheme="majorHAnsi"/>
          <w:sz w:val="20"/>
          <w:szCs w:val="22"/>
        </w:rPr>
        <w:t xml:space="preserve">, improvements in connectivity between currently fragmented “islands” of species occurrence in remnant habitat outliers will contribute to the resilience of species’ conservation status and range by facilitating the influx of new individuals to compensate for local population declines or extinctions due to pressures affecting these outliers (as well as increasing the overall habitat area available). </w:t>
      </w:r>
    </w:p>
    <w:p w14:paraId="04AC3E3A" w14:textId="77777777" w:rsidR="00125D87" w:rsidRPr="005516CD" w:rsidRDefault="009B63A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hills of the northern part of Haiti form part of the Caribbean Biological Corridor; they are of vital importance for connectivity between the more intact forests of the Dominican Republic to the east </w:t>
      </w:r>
      <w:r w:rsidR="000E7D1F" w:rsidRPr="005516CD">
        <w:rPr>
          <w:rFonts w:asciiTheme="majorHAnsi" w:hAnsiTheme="majorHAnsi" w:cstheme="majorHAnsi"/>
          <w:sz w:val="20"/>
          <w:szCs w:val="20"/>
        </w:rPr>
        <w:t xml:space="preserve">(dominated by the Global 200 </w:t>
      </w:r>
      <w:proofErr w:type="spellStart"/>
      <w:r w:rsidR="000E7D1F" w:rsidRPr="005516CD">
        <w:rPr>
          <w:rFonts w:asciiTheme="majorHAnsi" w:hAnsiTheme="majorHAnsi" w:cstheme="majorHAnsi"/>
          <w:sz w:val="20"/>
          <w:szCs w:val="20"/>
        </w:rPr>
        <w:t>Hispaniolan</w:t>
      </w:r>
      <w:proofErr w:type="spellEnd"/>
      <w:r w:rsidR="000E7D1F" w:rsidRPr="005516CD">
        <w:rPr>
          <w:rFonts w:asciiTheme="majorHAnsi" w:hAnsiTheme="majorHAnsi" w:cstheme="majorHAnsi"/>
          <w:sz w:val="20"/>
          <w:szCs w:val="20"/>
        </w:rPr>
        <w:t xml:space="preserve"> moist forests ecoregion) </w:t>
      </w:r>
      <w:r w:rsidRPr="005516CD">
        <w:rPr>
          <w:rFonts w:asciiTheme="majorHAnsi" w:hAnsiTheme="majorHAnsi" w:cstheme="majorHAnsi"/>
          <w:sz w:val="20"/>
          <w:szCs w:val="20"/>
        </w:rPr>
        <w:t xml:space="preserve">and Cuba to the west. </w:t>
      </w:r>
    </w:p>
    <w:p w14:paraId="5EDBE812" w14:textId="77777777" w:rsidR="000E7D1F" w:rsidRPr="005516CD" w:rsidRDefault="000E7D1F"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eastAsia="Calibri" w:hAnsiTheme="majorHAnsi" w:cstheme="majorHAnsi"/>
          <w:b/>
          <w:sz w:val="20"/>
          <w:szCs w:val="20"/>
        </w:rPr>
      </w:pPr>
      <w:r w:rsidRPr="005516CD">
        <w:rPr>
          <w:rFonts w:asciiTheme="majorHAnsi" w:eastAsia="Calibri" w:hAnsiTheme="majorHAnsi" w:cstheme="majorHAnsi"/>
          <w:b/>
          <w:sz w:val="20"/>
          <w:szCs w:val="20"/>
        </w:rPr>
        <w:t>Location of the Caribbean Biological Corridor</w:t>
      </w:r>
    </w:p>
    <w:p w14:paraId="3562F2CD" w14:textId="77777777" w:rsidR="000E7D1F" w:rsidRPr="005516CD" w:rsidRDefault="000E7D1F" w:rsidP="007B146B">
      <w:pPr>
        <w:tabs>
          <w:tab w:val="left" w:pos="426"/>
        </w:tabs>
        <w:spacing w:after="120"/>
        <w:ind w:right="96"/>
        <w:jc w:val="center"/>
        <w:rPr>
          <w:rFonts w:asciiTheme="majorHAnsi" w:hAnsiTheme="majorHAnsi" w:cstheme="majorHAnsi"/>
          <w:sz w:val="20"/>
          <w:szCs w:val="20"/>
        </w:rPr>
      </w:pPr>
      <w:r w:rsidRPr="005516CD">
        <w:rPr>
          <w:rFonts w:eastAsiaTheme="minorEastAsia"/>
          <w:noProof/>
          <w:lang w:val="en-US" w:eastAsia="en-US"/>
        </w:rPr>
        <w:drawing>
          <wp:inline distT="0" distB="0" distL="0" distR="0" wp14:anchorId="5B471573" wp14:editId="510EB6C4">
            <wp:extent cx="4278630" cy="2228199"/>
            <wp:effectExtent l="0" t="0" r="7620" b="1270"/>
            <wp:docPr id="1073741988" name="Picture 1073741988" descr="CBC-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CBC-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292075" cy="2235201"/>
                    </a:xfrm>
                    <a:prstGeom prst="rect">
                      <a:avLst/>
                    </a:prstGeom>
                    <a:noFill/>
                  </pic:spPr>
                </pic:pic>
              </a:graphicData>
            </a:graphic>
          </wp:inline>
        </w:drawing>
      </w:r>
    </w:p>
    <w:p w14:paraId="30096A68" w14:textId="77777777" w:rsidR="000E7D1F" w:rsidRPr="005516CD" w:rsidRDefault="00BB741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predominant direction in which there is potential for the promotion of island-wide connectivity is approximately WNW – ESE, along the length of the mountainous axis linking the Massif du Nord in Haiti </w:t>
      </w:r>
      <w:r w:rsidR="00FF7804" w:rsidRPr="005516CD">
        <w:rPr>
          <w:rFonts w:asciiTheme="majorHAnsi" w:hAnsiTheme="majorHAnsi" w:cstheme="majorHAnsi"/>
          <w:sz w:val="20"/>
          <w:szCs w:val="20"/>
        </w:rPr>
        <w:t xml:space="preserve">to the densely forested Cordillera Central mountain range in the centre/west of the Dominican Republic. </w:t>
      </w:r>
    </w:p>
    <w:p w14:paraId="7443D9A4" w14:textId="77777777" w:rsidR="001B628D" w:rsidRPr="005516CD" w:rsidRDefault="001B628D"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eastAsia="Calibri" w:hAnsiTheme="majorHAnsi" w:cstheme="majorHAnsi"/>
          <w:b/>
          <w:sz w:val="20"/>
          <w:szCs w:val="20"/>
        </w:rPr>
      </w:pPr>
      <w:r w:rsidRPr="005516CD">
        <w:rPr>
          <w:rFonts w:asciiTheme="majorHAnsi" w:eastAsia="Calibri" w:hAnsiTheme="majorHAnsi" w:cstheme="majorHAnsi"/>
          <w:b/>
          <w:sz w:val="20"/>
          <w:szCs w:val="20"/>
        </w:rPr>
        <w:t>Principal needs/potential for regional biological connectivity</w:t>
      </w:r>
    </w:p>
    <w:p w14:paraId="6A015BD1" w14:textId="77777777" w:rsidR="00BB7414" w:rsidRPr="005516CD" w:rsidRDefault="001B628D" w:rsidP="007B146B">
      <w:pPr>
        <w:tabs>
          <w:tab w:val="left" w:pos="426"/>
        </w:tabs>
        <w:spacing w:after="120"/>
        <w:ind w:right="96"/>
        <w:jc w:val="center"/>
        <w:rPr>
          <w:rFonts w:asciiTheme="majorHAnsi" w:hAnsiTheme="majorHAnsi" w:cstheme="majorHAnsi"/>
          <w:sz w:val="20"/>
          <w:szCs w:val="20"/>
        </w:rPr>
      </w:pPr>
      <w:r w:rsidRPr="005516CD">
        <w:rPr>
          <w:noProof/>
          <w:bdr w:val="nil"/>
          <w:lang w:val="en-US" w:eastAsia="en-US"/>
        </w:rPr>
        <mc:AlternateContent>
          <mc:Choice Requires="wps">
            <w:drawing>
              <wp:anchor distT="0" distB="0" distL="114300" distR="114300" simplePos="0" relativeHeight="251763712" behindDoc="0" locked="0" layoutInCell="1" allowOverlap="1" wp14:anchorId="3C865CD0" wp14:editId="09A368B7">
                <wp:simplePos x="0" y="0"/>
                <wp:positionH relativeFrom="column">
                  <wp:posOffset>1416685</wp:posOffset>
                </wp:positionH>
                <wp:positionV relativeFrom="paragraph">
                  <wp:posOffset>1597660</wp:posOffset>
                </wp:positionV>
                <wp:extent cx="1440180" cy="220980"/>
                <wp:effectExtent l="19050" t="76200" r="26670" b="83820"/>
                <wp:wrapNone/>
                <wp:docPr id="1073741844" name="Arrow: Left-Right 1073741844"/>
                <wp:cNvGraphicFramePr/>
                <a:graphic xmlns:a="http://schemas.openxmlformats.org/drawingml/2006/main">
                  <a:graphicData uri="http://schemas.microsoft.com/office/word/2010/wordprocessingShape">
                    <wps:wsp>
                      <wps:cNvSpPr/>
                      <wps:spPr>
                        <a:xfrm rot="198579">
                          <a:off x="0" y="0"/>
                          <a:ext cx="1440180" cy="220980"/>
                        </a:xfrm>
                        <a:prstGeom prst="leftRightArrow">
                          <a:avLst/>
                        </a:prstGeom>
                        <a:noFill/>
                        <a:ln w="28575" cap="flat">
                          <a:solidFill>
                            <a:schemeClr val="bg1"/>
                          </a:solidFill>
                          <a:prstDash val="solid"/>
                          <a:miter lim="8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45719" tIns="45719" rIns="45719" bIns="45719" numCol="1" spcCol="38100" rtlCol="0" fromWordArt="0" anchor="ctr" anchorCtr="0" forceAA="0" compatLnSpc="1">
                        <a:prstTxWarp prst="textNoShape">
                          <a:avLst/>
                        </a:prstTxWarp>
                        <a:spAutoFit/>
                      </wps:bodyPr>
                    </wps:wsp>
                  </a:graphicData>
                </a:graphic>
              </wp:anchor>
            </w:drawing>
          </mc:Choice>
          <mc:Fallback>
            <w:pict>
              <v:shapetype w14:anchorId="594CD91F"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Arrow: Left-Right 1073741844" o:spid="_x0000_s1026" type="#_x0000_t69" style="position:absolute;margin-left:111.55pt;margin-top:125.8pt;width:113.4pt;height:17.4pt;rotation:216901fd;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" adj="1657" filled="f" strokecolor="white [3212]" strokeweight="2.25pt">
                <v:textbox style="mso-fit-shape-to-text:t" inset="1.27mm,1.27mm,1.27mm,1.27mm"/>
              </v:shape>
            </w:pict>
          </mc:Fallback>
        </mc:AlternateContent>
      </w:r>
      <w:r w:rsidR="00BB7414" w:rsidRPr="005516CD">
        <w:rPr>
          <w:noProof/>
          <w:bdr w:val="nil"/>
          <w:lang w:val="en-US" w:eastAsia="en-US"/>
        </w:rPr>
        <mc:AlternateContent>
          <mc:Choice Requires="wps">
            <w:drawing>
              <wp:anchor distT="0" distB="0" distL="114300" distR="114300" simplePos="0" relativeHeight="251711488" behindDoc="0" locked="0" layoutInCell="1" allowOverlap="1" wp14:anchorId="5CF4DD17" wp14:editId="38D2A66E">
                <wp:simplePos x="0" y="0"/>
                <wp:positionH relativeFrom="column">
                  <wp:posOffset>1715770</wp:posOffset>
                </wp:positionH>
                <wp:positionV relativeFrom="paragraph">
                  <wp:posOffset>918209</wp:posOffset>
                </wp:positionV>
                <wp:extent cx="733452" cy="168234"/>
                <wp:effectExtent l="0" t="190500" r="0" b="194310"/>
                <wp:wrapNone/>
                <wp:docPr id="1073741992" name="Arrow: Left-Right 1073741992"/>
                <wp:cNvGraphicFramePr/>
                <a:graphic xmlns:a="http://schemas.openxmlformats.org/drawingml/2006/main">
                  <a:graphicData uri="http://schemas.microsoft.com/office/word/2010/wordprocessingShape">
                    <wps:wsp>
                      <wps:cNvSpPr/>
                      <wps:spPr>
                        <a:xfrm rot="2487883">
                          <a:off x="0" y="0"/>
                          <a:ext cx="733452" cy="168234"/>
                        </a:xfrm>
                        <a:prstGeom prst="leftRightArrow">
                          <a:avLst/>
                        </a:prstGeom>
                        <a:noFill/>
                        <a:ln w="28575" cap="flat">
                          <a:solidFill>
                            <a:schemeClr val="bg1"/>
                          </a:solidFill>
                          <a:prstDash val="solid"/>
                          <a:miter lim="8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45719" tIns="45719" rIns="45719" bIns="45719" numCol="1" spcCol="38100" rtlCol="0" fromWordArt="0" anchor="ctr"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35A89707" id="Arrow: Left-Right 1073741992" o:spid="_x0000_s1026" type="#_x0000_t69" style="position:absolute;margin-left:135.1pt;margin-top:72.3pt;width:57.75pt;height:13.25pt;rotation:2717432fd;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" adj="2477" filled="f" strokecolor="white [3212]" strokeweight="2.25pt">
                <v:textbox style="mso-fit-shape-to-text:t" inset="1.27mm,1.27mm,1.27mm,1.27mm"/>
              </v:shape>
            </w:pict>
          </mc:Fallback>
        </mc:AlternateContent>
      </w:r>
      <w:r w:rsidR="00BB7414" w:rsidRPr="005516CD">
        <w:rPr>
          <w:noProof/>
          <w:bdr w:val="nil"/>
          <w:lang w:val="en-US" w:eastAsia="en-US"/>
        </w:rPr>
        <mc:AlternateContent>
          <mc:Choice Requires="wps">
            <w:drawing>
              <wp:anchor distT="0" distB="0" distL="114300" distR="114300" simplePos="0" relativeHeight="251709440" behindDoc="0" locked="0" layoutInCell="1" allowOverlap="1" wp14:anchorId="04479318" wp14:editId="48E2BDFC">
                <wp:simplePos x="0" y="0"/>
                <wp:positionH relativeFrom="column">
                  <wp:posOffset>1638300</wp:posOffset>
                </wp:positionH>
                <wp:positionV relativeFrom="paragraph">
                  <wp:posOffset>652780</wp:posOffset>
                </wp:positionV>
                <wp:extent cx="1440180" cy="220980"/>
                <wp:effectExtent l="0" t="228600" r="0" b="236220"/>
                <wp:wrapNone/>
                <wp:docPr id="1073741991" name="Arrow: Left-Right 1073741991"/>
                <wp:cNvGraphicFramePr/>
                <a:graphic xmlns:a="http://schemas.openxmlformats.org/drawingml/2006/main">
                  <a:graphicData uri="http://schemas.microsoft.com/office/word/2010/wordprocessingShape">
                    <wps:wsp>
                      <wps:cNvSpPr/>
                      <wps:spPr>
                        <a:xfrm rot="1172747">
                          <a:off x="0" y="0"/>
                          <a:ext cx="1440180" cy="220980"/>
                        </a:xfrm>
                        <a:prstGeom prst="leftRightArrow">
                          <a:avLst/>
                        </a:prstGeom>
                        <a:noFill/>
                        <a:ln w="28575" cap="flat">
                          <a:solidFill>
                            <a:schemeClr val="bg1"/>
                          </a:solidFill>
                          <a:prstDash val="solid"/>
                          <a:miter lim="8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45719" tIns="45719" rIns="45719" bIns="45719" numCol="1" spcCol="38100" rtlCol="0" fromWordArt="0" anchor="ctr" anchorCtr="0" forceAA="0" compatLnSpc="1">
                        <a:prstTxWarp prst="textNoShape">
                          <a:avLst/>
                        </a:prstTxWarp>
                        <a:spAutoFit/>
                      </wps:bodyPr>
                    </wps:wsp>
                  </a:graphicData>
                </a:graphic>
              </wp:anchor>
            </w:drawing>
          </mc:Choice>
          <mc:Fallback>
            <w:pict>
              <v:shape w14:anchorId="3960A9B6" id="Arrow: Left-Right 1073741991" o:spid="_x0000_s1026" type="#_x0000_t69" style="position:absolute;margin-left:129pt;margin-top:51.4pt;width:113.4pt;height:17.4pt;rotation:1280952fd;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" adj="1657" filled="f" strokecolor="white [3212]" strokeweight="2.25pt">
                <v:textbox style="mso-fit-shape-to-text:t" inset="1.27mm,1.27mm,1.27mm,1.27mm"/>
              </v:shape>
            </w:pict>
          </mc:Fallback>
        </mc:AlternateContent>
      </w:r>
      <w:r w:rsidR="00BB7414" w:rsidRPr="005516CD">
        <w:rPr>
          <w:noProof/>
          <w:lang w:val="en-US" w:eastAsia="en-US"/>
        </w:rPr>
        <w:drawing>
          <wp:inline distT="0" distB="0" distL="0" distR="0" wp14:anchorId="3D9F4437" wp14:editId="2208B964">
            <wp:extent cx="5609586" cy="2537460"/>
            <wp:effectExtent l="0" t="0" r="0" b="0"/>
            <wp:docPr id="1073741990" name="Picture 1073741990" descr="Image result for topographic map of hispanio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topographic map of hispaniola"/>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629852" cy="2546627"/>
                    </a:xfrm>
                    <a:prstGeom prst="rect">
                      <a:avLst/>
                    </a:prstGeom>
                    <a:noFill/>
                    <a:ln>
                      <a:noFill/>
                    </a:ln>
                  </pic:spPr>
                </pic:pic>
              </a:graphicData>
            </a:graphic>
          </wp:inline>
        </w:drawing>
      </w:r>
    </w:p>
    <w:p w14:paraId="512C48DA" w14:textId="77777777" w:rsidR="00ED25E0" w:rsidRPr="005516CD" w:rsidRDefault="00FF78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In particular, there is potential for the middle-altitude agroecosystem belt, that runs along much of the length of the northern slopes of Haiti’s Massif du Nord, to deliver regional connectivity functions</w:t>
      </w:r>
      <w:r w:rsidR="00ED25E0"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 </w:t>
      </w:r>
      <w:r w:rsidR="00ED25E0" w:rsidRPr="005516CD">
        <w:rPr>
          <w:rFonts w:asciiTheme="majorHAnsi" w:hAnsiTheme="majorHAnsi" w:cstheme="majorHAnsi"/>
          <w:sz w:val="20"/>
          <w:szCs w:val="20"/>
        </w:rPr>
        <w:t xml:space="preserve">although much more disturbed and fragmented than the vegetation found in much of the Dominican Republic, this belt contains significant levels of tree cover, in the form of fallows, home gardens and coffee and cacao plantation,  that provide potentially favourable conditions of habitat and connectivity </w:t>
      </w:r>
      <w:r w:rsidRPr="005516CD">
        <w:rPr>
          <w:rFonts w:asciiTheme="majorHAnsi" w:hAnsiTheme="majorHAnsi" w:cstheme="majorHAnsi"/>
          <w:sz w:val="20"/>
          <w:szCs w:val="20"/>
        </w:rPr>
        <w:t xml:space="preserve">for species that </w:t>
      </w:r>
      <w:r w:rsidR="00ED25E0" w:rsidRPr="005516CD">
        <w:rPr>
          <w:rFonts w:asciiTheme="majorHAnsi" w:hAnsiTheme="majorHAnsi" w:cstheme="majorHAnsi"/>
          <w:sz w:val="20"/>
          <w:szCs w:val="20"/>
        </w:rPr>
        <w:t xml:space="preserve">require some degree of tree cover yet are </w:t>
      </w:r>
      <w:r w:rsidRPr="005516CD">
        <w:rPr>
          <w:rFonts w:asciiTheme="majorHAnsi" w:hAnsiTheme="majorHAnsi" w:cstheme="majorHAnsi"/>
          <w:sz w:val="20"/>
          <w:szCs w:val="20"/>
        </w:rPr>
        <w:t xml:space="preserve">able to </w:t>
      </w:r>
      <w:r w:rsidR="00ED25E0" w:rsidRPr="005516CD">
        <w:rPr>
          <w:rFonts w:asciiTheme="majorHAnsi" w:hAnsiTheme="majorHAnsi" w:cstheme="majorHAnsi"/>
          <w:sz w:val="20"/>
          <w:szCs w:val="20"/>
        </w:rPr>
        <w:t xml:space="preserve">tolerate ecosystem disturbance. </w:t>
      </w:r>
    </w:p>
    <w:p w14:paraId="2AF3AA90" w14:textId="0B2CB902" w:rsidR="000741FC" w:rsidRPr="005516CD" w:rsidRDefault="001B628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A schematic representation of the broad-brush configuration of the target landscapes is shown in</w:t>
      </w:r>
      <w:r w:rsidR="00305853" w:rsidRPr="005516CD">
        <w:rPr>
          <w:rFonts w:asciiTheme="majorHAnsi" w:hAnsiTheme="majorHAnsi" w:cstheme="majorHAnsi"/>
          <w:sz w:val="20"/>
          <w:szCs w:val="20"/>
        </w:rPr>
        <w:t xml:space="preserve"> </w:t>
      </w:r>
      <w:r w:rsidR="00305853" w:rsidRPr="005516CD">
        <w:rPr>
          <w:rFonts w:asciiTheme="majorHAnsi" w:hAnsiTheme="majorHAnsi" w:cstheme="majorHAnsi"/>
          <w:sz w:val="20"/>
          <w:szCs w:val="20"/>
        </w:rPr>
        <w:fldChar w:fldCharType="begin"/>
      </w:r>
      <w:r w:rsidR="00305853" w:rsidRPr="005516CD">
        <w:rPr>
          <w:rFonts w:asciiTheme="majorHAnsi" w:hAnsiTheme="majorHAnsi" w:cstheme="majorHAnsi"/>
          <w:sz w:val="20"/>
          <w:szCs w:val="20"/>
        </w:rPr>
        <w:instrText xml:space="preserve"> REF _Ref2050207 \r \h </w:instrText>
      </w:r>
      <w:r w:rsidR="005516CD">
        <w:rPr>
          <w:rFonts w:asciiTheme="majorHAnsi" w:hAnsiTheme="majorHAnsi" w:cstheme="majorHAnsi"/>
          <w:sz w:val="20"/>
          <w:szCs w:val="20"/>
        </w:rPr>
        <w:instrText xml:space="preserve"> \* MERGEFORMAT </w:instrText>
      </w:r>
      <w:r w:rsidR="00305853" w:rsidRPr="005516CD">
        <w:rPr>
          <w:rFonts w:asciiTheme="majorHAnsi" w:hAnsiTheme="majorHAnsi" w:cstheme="majorHAnsi"/>
          <w:sz w:val="20"/>
          <w:szCs w:val="20"/>
        </w:rPr>
      </w:r>
      <w:r w:rsidR="00305853"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Figure 16</w:t>
      </w:r>
      <w:r w:rsidR="00305853" w:rsidRPr="005516CD">
        <w:rPr>
          <w:rFonts w:asciiTheme="majorHAnsi" w:hAnsiTheme="majorHAnsi" w:cstheme="majorHAnsi"/>
          <w:sz w:val="20"/>
          <w:szCs w:val="20"/>
        </w:rPr>
        <w:fldChar w:fldCharType="end"/>
      </w:r>
      <w:r w:rsidRPr="005516CD">
        <w:rPr>
          <w:rFonts w:asciiTheme="majorHAnsi" w:hAnsiTheme="majorHAnsi" w:cstheme="majorHAnsi"/>
          <w:sz w:val="20"/>
          <w:szCs w:val="20"/>
        </w:rPr>
        <w:t xml:space="preserve">. </w:t>
      </w:r>
      <w:r w:rsidR="004D3DAF" w:rsidRPr="005516CD">
        <w:rPr>
          <w:rFonts w:asciiTheme="majorHAnsi" w:hAnsiTheme="majorHAnsi" w:cstheme="majorHAnsi"/>
          <w:sz w:val="20"/>
          <w:szCs w:val="20"/>
        </w:rPr>
        <w:t xml:space="preserve">There are no significant areas of intact vegetation remaining in the landscape, with the potential to act as refugia for forest-dependent biota, on which to concentrate conservation actions, and between which to promote specific biological corridors at local level. Rather, the project will aim to improve the habitat value of the </w:t>
      </w:r>
      <w:r w:rsidR="00272EA5" w:rsidRPr="005516CD">
        <w:rPr>
          <w:rFonts w:asciiTheme="majorHAnsi" w:hAnsiTheme="majorHAnsi" w:cstheme="majorHAnsi"/>
          <w:sz w:val="20"/>
          <w:szCs w:val="20"/>
        </w:rPr>
        <w:t>middle-altitude agroecosystem belt as a whole, enabling it to function as a regional level corridor.</w:t>
      </w:r>
      <w:r w:rsidR="004D3DAF" w:rsidRPr="005516CD">
        <w:rPr>
          <w:rFonts w:asciiTheme="majorHAnsi" w:hAnsiTheme="majorHAnsi" w:cstheme="majorHAnsi"/>
          <w:sz w:val="20"/>
          <w:szCs w:val="20"/>
        </w:rPr>
        <w:t xml:space="preserve"> </w:t>
      </w:r>
    </w:p>
    <w:p w14:paraId="60E32835" w14:textId="77777777" w:rsidR="001B628D" w:rsidRPr="005516CD" w:rsidRDefault="001B628D"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hAnsiTheme="majorHAnsi" w:cstheme="majorHAnsi"/>
          <w:b/>
          <w:sz w:val="20"/>
          <w:szCs w:val="20"/>
        </w:rPr>
      </w:pPr>
      <w:bookmarkStart w:id="42" w:name="_Ref2050207"/>
      <w:bookmarkStart w:id="43" w:name="_Ref519595606"/>
      <w:r w:rsidRPr="005516CD">
        <w:rPr>
          <w:rFonts w:asciiTheme="majorHAnsi" w:hAnsiTheme="majorHAnsi" w:cstheme="majorHAnsi"/>
          <w:b/>
          <w:sz w:val="20"/>
          <w:szCs w:val="20"/>
        </w:rPr>
        <w:t>Broad-brush schematic representation of target landscapes</w:t>
      </w:r>
      <w:bookmarkEnd w:id="42"/>
    </w:p>
    <w:bookmarkEnd w:id="43"/>
    <w:p w14:paraId="058A678D" w14:textId="77777777" w:rsidR="001B628D" w:rsidRPr="005516CD" w:rsidRDefault="001B628D" w:rsidP="007B146B">
      <w:p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inline distT="0" distB="0" distL="0" distR="0" wp14:anchorId="43BCE8C6" wp14:editId="413ADDA7">
            <wp:extent cx="5727700" cy="4234383"/>
            <wp:effectExtent l="0" t="0" r="6350" b="0"/>
            <wp:docPr id="1073741843" name="Picture 1073741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27700" cy="4234383"/>
                    </a:xfrm>
                    <a:prstGeom prst="rect">
                      <a:avLst/>
                    </a:prstGeom>
                    <a:noFill/>
                    <a:ln>
                      <a:noFill/>
                    </a:ln>
                  </pic:spPr>
                </pic:pic>
              </a:graphicData>
            </a:graphic>
          </wp:inline>
        </w:drawing>
      </w:r>
    </w:p>
    <w:p w14:paraId="29B34E16" w14:textId="77777777" w:rsidR="00026679" w:rsidRPr="005516CD" w:rsidRDefault="006A5ADE" w:rsidP="006B27F4">
      <w:pPr>
        <w:pStyle w:val="ListParagraph"/>
        <w:keepNext/>
        <w:numPr>
          <w:ilvl w:val="6"/>
          <w:numId w:val="91"/>
        </w:numPr>
        <w:tabs>
          <w:tab w:val="num" w:pos="4680"/>
        </w:tabs>
        <w:autoSpaceDE w:val="0"/>
        <w:autoSpaceDN w:val="0"/>
        <w:adjustRightInd w:val="0"/>
        <w:spacing w:after="120"/>
        <w:ind w:left="851" w:right="96" w:hanging="851"/>
        <w:rPr>
          <w:rFonts w:asciiTheme="majorHAnsi" w:hAnsiTheme="majorHAnsi" w:cstheme="majorHAnsi"/>
          <w:b/>
          <w:sz w:val="20"/>
          <w:szCs w:val="20"/>
        </w:rPr>
      </w:pPr>
      <w:r w:rsidRPr="005516CD">
        <w:rPr>
          <w:rFonts w:asciiTheme="majorHAnsi" w:hAnsiTheme="majorHAnsi" w:cstheme="majorHAnsi"/>
          <w:b/>
          <w:sz w:val="20"/>
          <w:szCs w:val="20"/>
        </w:rPr>
        <w:t>Typical landscape cross-section</w:t>
      </w:r>
      <w:r w:rsidR="004C12F9" w:rsidRPr="005516CD">
        <w:rPr>
          <w:rFonts w:asciiTheme="majorHAnsi" w:hAnsiTheme="majorHAnsi" w:cstheme="majorHAnsi"/>
          <w:b/>
          <w:sz w:val="20"/>
          <w:szCs w:val="20"/>
        </w:rPr>
        <w:t xml:space="preserve"> (source: Google Maps)</w:t>
      </w:r>
    </w:p>
    <w:p w14:paraId="5EC76EDE" w14:textId="77777777" w:rsidR="00026679" w:rsidRPr="005516CD" w:rsidRDefault="00AA25CD" w:rsidP="007B146B">
      <w:pPr>
        <w:tabs>
          <w:tab w:val="left" w:pos="426"/>
        </w:tabs>
        <w:spacing w:after="120"/>
        <w:ind w:right="96"/>
        <w:jc w:val="center"/>
        <w:rPr>
          <w:rFonts w:asciiTheme="majorHAnsi" w:hAnsiTheme="majorHAnsi" w:cstheme="majorHAnsi"/>
          <w:sz w:val="20"/>
          <w:szCs w:val="20"/>
        </w:rPr>
      </w:pPr>
      <w:r w:rsidRPr="005516CD">
        <w:rPr>
          <w:noProof/>
          <w:bdr w:val="nil"/>
          <w:lang w:val="en-US" w:eastAsia="en-US"/>
        </w:rPr>
        <mc:AlternateContent>
          <mc:Choice Requires="wps">
            <w:drawing>
              <wp:anchor distT="0" distB="0" distL="114300" distR="114300" simplePos="0" relativeHeight="251790336" behindDoc="0" locked="0" layoutInCell="1" allowOverlap="1" wp14:anchorId="0A5634D3" wp14:editId="28353E5F">
                <wp:simplePos x="0" y="0"/>
                <wp:positionH relativeFrom="column">
                  <wp:posOffset>1614719</wp:posOffset>
                </wp:positionH>
                <wp:positionV relativeFrom="paragraph">
                  <wp:posOffset>1304890</wp:posOffset>
                </wp:positionV>
                <wp:extent cx="2904180" cy="792559"/>
                <wp:effectExtent l="0" t="342900" r="0" b="350520"/>
                <wp:wrapNone/>
                <wp:docPr id="12" name="Arrow: Left-Right 12"/>
                <wp:cNvGraphicFramePr/>
                <a:graphic xmlns:a="http://schemas.openxmlformats.org/drawingml/2006/main">
                  <a:graphicData uri="http://schemas.microsoft.com/office/word/2010/wordprocessingShape">
                    <wps:wsp>
                      <wps:cNvSpPr/>
                      <wps:spPr>
                        <a:xfrm rot="1084581">
                          <a:off x="0" y="0"/>
                          <a:ext cx="2904180" cy="792559"/>
                        </a:xfrm>
                        <a:prstGeom prst="leftRightArrow">
                          <a:avLst/>
                        </a:prstGeom>
                        <a:noFill/>
                        <a:ln w="28575" cap="flat">
                          <a:solidFill>
                            <a:schemeClr val="bg1"/>
                          </a:solidFill>
                          <a:prstDash val="solid"/>
                          <a:miter lim="800000"/>
                        </a:ln>
                        <a:effectLst/>
                        <a:sp3d/>
                      </wps:spPr>
                      <wps:style>
                        <a:lnRef idx="0">
                          <a:scrgbClr r="0" g="0" b="0"/>
                        </a:lnRef>
                        <a:fillRef idx="0">
                          <a:scrgbClr r="0" g="0" b="0"/>
                        </a:fillRef>
                        <a:effectRef idx="0">
                          <a:scrgbClr r="0" g="0" b="0"/>
                        </a:effectRef>
                        <a:fontRef idx="none"/>
                      </wps:style>
                      <wps:bodyPr rot="0" spcFirstLastPara="1" vertOverflow="overflow" horzOverflow="overflow" vert="horz" wrap="square" lIns="45719" tIns="45719" rIns="45719" bIns="45719" numCol="1" spcCol="3810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57D029" id="Arrow: Left-Right 12" o:spid="_x0000_s1026" type="#_x0000_t69" style="position:absolute;margin-left:127.15pt;margin-top:102.75pt;width:228.7pt;height:62.4pt;rotation:1184652fd;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" adj="2947" filled="f" strokecolor="white [3212]" strokeweight="2.25pt">
                <v:textbox inset="1.27mm,1.27mm,1.27mm,1.27mm"/>
              </v:shape>
            </w:pict>
          </mc:Fallback>
        </mc:AlternateContent>
      </w:r>
      <w:r w:rsidR="005901F5" w:rsidRPr="005516CD">
        <w:rPr>
          <w:rFonts w:asciiTheme="majorHAnsi" w:hAnsiTheme="majorHAnsi" w:cstheme="majorHAnsi"/>
          <w:noProof/>
          <w:sz w:val="20"/>
          <w:szCs w:val="20"/>
          <w:bdr w:val="nil"/>
          <w:lang w:val="en-US" w:eastAsia="en-US"/>
        </w:rPr>
        <mc:AlternateContent>
          <mc:Choice Requires="wps">
            <w:drawing>
              <wp:anchor distT="0" distB="0" distL="114300" distR="114300" simplePos="0" relativeHeight="251768832" behindDoc="0" locked="0" layoutInCell="1" allowOverlap="1" wp14:anchorId="1DA69370" wp14:editId="1A72E9C2">
                <wp:simplePos x="0" y="0"/>
                <wp:positionH relativeFrom="column">
                  <wp:posOffset>1096010</wp:posOffset>
                </wp:positionH>
                <wp:positionV relativeFrom="paragraph">
                  <wp:posOffset>3154045</wp:posOffset>
                </wp:positionV>
                <wp:extent cx="1753870" cy="283845"/>
                <wp:effectExtent l="0" t="0" r="0" b="1905"/>
                <wp:wrapNone/>
                <wp:docPr id="1073741848" name="Text Box 1073741848"/>
                <wp:cNvGraphicFramePr/>
                <a:graphic xmlns:a="http://schemas.openxmlformats.org/drawingml/2006/main">
                  <a:graphicData uri="http://schemas.microsoft.com/office/word/2010/wordprocessingShape">
                    <wps:wsp>
                      <wps:cNvSpPr txBox="1"/>
                      <wps:spPr>
                        <a:xfrm>
                          <a:off x="0" y="0"/>
                          <a:ext cx="1753870" cy="283845"/>
                        </a:xfrm>
                        <a:prstGeom prst="rect">
                          <a:avLst/>
                        </a:prstGeom>
                        <a:noFill/>
                        <a:ln w="6350">
                          <a:noFill/>
                        </a:ln>
                        <a:effectLst/>
                        <a:sp3d/>
                      </wps:spPr>
                      <wps:style>
                        <a:lnRef idx="0">
                          <a:scrgbClr r="0" g="0" b="0"/>
                        </a:lnRef>
                        <a:fillRef idx="0">
                          <a:scrgbClr r="0" g="0" b="0"/>
                        </a:fillRef>
                        <a:effectRef idx="0">
                          <a:scrgbClr r="0" g="0" b="0"/>
                        </a:effectRef>
                        <a:fontRef idx="none"/>
                      </wps:style>
                      <wps:txbx>
                        <w:txbxContent>
                          <w:p w14:paraId="4AF83AC5" w14:textId="77777777" w:rsidR="00013DC5" w:rsidRPr="005901F5" w:rsidRDefault="00013DC5" w:rsidP="005901F5">
                            <w:pPr>
                              <w:jc w:val="center"/>
                              <w:rPr>
                                <w:rFonts w:asciiTheme="majorHAnsi" w:hAnsiTheme="majorHAnsi" w:cstheme="majorHAnsi"/>
                                <w:color w:val="FFFFFF" w:themeColor="background1"/>
                              </w:rPr>
                            </w:pPr>
                            <w:r>
                              <w:rPr>
                                <w:rFonts w:asciiTheme="majorHAnsi" w:hAnsiTheme="majorHAnsi" w:cstheme="majorHAnsi"/>
                                <w:color w:val="FFFFFF" w:themeColor="background1"/>
                              </w:rPr>
                              <w:t>Coastal plains</w:t>
                            </w:r>
                          </w:p>
                        </w:txbxContent>
                      </wps:txbx>
                      <wps:bodyPr rot="0" spcFirstLastPara="1" vertOverflow="overflow" horzOverflow="overflow" vert="horz" wrap="square" lIns="45719" tIns="45719" rIns="45719" bIns="45719"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DA69370" id="Text Box 1073741848" o:spid="_x0000_s1033" type="#_x0000_t202" style="position:absolute;left:0;text-align:left;margin-left:86.3pt;margin-top:248.35pt;width:138.1pt;height:22.35pt;z-index:2517688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" filled="f" stroked="f" strokeweight=".5pt">
                <v:textbox style="mso-fit-shape-to-text:t" inset="1.27mm,1.27mm,1.27mm,1.27mm">
                  <w:txbxContent>
                    <w:p w14:paraId="4AF83AC5" w14:textId="77777777" w:rsidR="00013DC5" w:rsidRPr="005901F5" w:rsidRDefault="00013DC5" w:rsidP="005901F5">
                      <w:pPr>
                        <w:jc w:val="center"/>
                        <w:rPr>
                          <w:rFonts w:asciiTheme="majorHAnsi" w:hAnsiTheme="majorHAnsi" w:cstheme="majorHAnsi"/>
                          <w:color w:val="FFFFFF" w:themeColor="background1"/>
                        </w:rPr>
                      </w:pPr>
                      <w:r>
                        <w:rPr>
                          <w:rFonts w:asciiTheme="majorHAnsi" w:hAnsiTheme="majorHAnsi" w:cstheme="majorHAnsi"/>
                          <w:color w:val="FFFFFF" w:themeColor="background1"/>
                        </w:rPr>
                        <w:t>Coastal plains</w:t>
                      </w:r>
                    </w:p>
                  </w:txbxContent>
                </v:textbox>
              </v:shape>
            </w:pict>
          </mc:Fallback>
        </mc:AlternateContent>
      </w:r>
      <w:r w:rsidR="005901F5" w:rsidRPr="005516CD">
        <w:rPr>
          <w:rFonts w:asciiTheme="majorHAnsi" w:hAnsiTheme="majorHAnsi" w:cstheme="majorHAnsi"/>
          <w:noProof/>
          <w:sz w:val="20"/>
          <w:szCs w:val="20"/>
          <w:bdr w:val="nil"/>
          <w:lang w:val="en-US" w:eastAsia="en-US"/>
        </w:rPr>
        <mc:AlternateContent>
          <mc:Choice Requires="wps">
            <w:drawing>
              <wp:anchor distT="0" distB="0" distL="114300" distR="114300" simplePos="0" relativeHeight="251766784" behindDoc="0" locked="0" layoutInCell="1" allowOverlap="1" wp14:anchorId="457E888D" wp14:editId="2249513B">
                <wp:simplePos x="0" y="0"/>
                <wp:positionH relativeFrom="column">
                  <wp:posOffset>2284730</wp:posOffset>
                </wp:positionH>
                <wp:positionV relativeFrom="paragraph">
                  <wp:posOffset>1493520</wp:posOffset>
                </wp:positionV>
                <wp:extent cx="1753870" cy="469900"/>
                <wp:effectExtent l="0" t="228600" r="17780" b="234950"/>
                <wp:wrapNone/>
                <wp:docPr id="1073741847" name="Text Box 1073741847"/>
                <wp:cNvGraphicFramePr/>
                <a:graphic xmlns:a="http://schemas.openxmlformats.org/drawingml/2006/main">
                  <a:graphicData uri="http://schemas.microsoft.com/office/word/2010/wordprocessingShape">
                    <wps:wsp>
                      <wps:cNvSpPr txBox="1"/>
                      <wps:spPr>
                        <a:xfrm rot="1006983">
                          <a:off x="0" y="0"/>
                          <a:ext cx="1753870" cy="469900"/>
                        </a:xfrm>
                        <a:prstGeom prst="rect">
                          <a:avLst/>
                        </a:prstGeom>
                        <a:noFill/>
                        <a:ln w="6350">
                          <a:noFill/>
                        </a:ln>
                        <a:effectLst/>
                        <a:sp3d/>
                      </wps:spPr>
                      <wps:style>
                        <a:lnRef idx="0">
                          <a:scrgbClr r="0" g="0" b="0"/>
                        </a:lnRef>
                        <a:fillRef idx="0">
                          <a:scrgbClr r="0" g="0" b="0"/>
                        </a:fillRef>
                        <a:effectRef idx="0">
                          <a:scrgbClr r="0" g="0" b="0"/>
                        </a:effectRef>
                        <a:fontRef idx="none"/>
                      </wps:style>
                      <wps:txbx>
                        <w:txbxContent>
                          <w:p w14:paraId="2A358A3D" w14:textId="77777777" w:rsidR="00013DC5" w:rsidRPr="005901F5" w:rsidRDefault="00013DC5" w:rsidP="005901F5">
                            <w:pPr>
                              <w:jc w:val="center"/>
                              <w:rPr>
                                <w:rFonts w:asciiTheme="majorHAnsi" w:hAnsiTheme="majorHAnsi" w:cstheme="majorHAnsi"/>
                                <w:color w:val="FFFFFF" w:themeColor="background1"/>
                              </w:rPr>
                            </w:pPr>
                            <w:r>
                              <w:rPr>
                                <w:rFonts w:asciiTheme="majorHAnsi" w:hAnsiTheme="majorHAnsi" w:cstheme="majorHAnsi"/>
                                <w:color w:val="FFFFFF" w:themeColor="background1"/>
                              </w:rPr>
                              <w:t>Middle altitude agroecosystem mosaic</w:t>
                            </w:r>
                          </w:p>
                        </w:txbxContent>
                      </wps:txbx>
                      <wps:bodyPr rot="0" spcFirstLastPara="1" vertOverflow="overflow" horzOverflow="overflow" vert="horz" wrap="square" lIns="45719" tIns="45719" rIns="45719" bIns="45719"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57E888D" id="Text Box 1073741847" o:spid="_x0000_s1034" type="#_x0000_t202" style="position:absolute;left:0;text-align:left;margin-left:179.9pt;margin-top:117.6pt;width:138.1pt;height:37pt;rotation:1099894fd;z-index:2517667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" filled="f" stroked="f" strokeweight=".5pt">
                <v:textbox style="mso-fit-shape-to-text:t" inset="1.27mm,1.27mm,1.27mm,1.27mm">
                  <w:txbxContent>
                    <w:p w14:paraId="2A358A3D" w14:textId="77777777" w:rsidR="00013DC5" w:rsidRPr="005901F5" w:rsidRDefault="00013DC5" w:rsidP="005901F5">
                      <w:pPr>
                        <w:jc w:val="center"/>
                        <w:rPr>
                          <w:rFonts w:asciiTheme="majorHAnsi" w:hAnsiTheme="majorHAnsi" w:cstheme="majorHAnsi"/>
                          <w:color w:val="FFFFFF" w:themeColor="background1"/>
                        </w:rPr>
                      </w:pPr>
                      <w:r>
                        <w:rPr>
                          <w:rFonts w:asciiTheme="majorHAnsi" w:hAnsiTheme="majorHAnsi" w:cstheme="majorHAnsi"/>
                          <w:color w:val="FFFFFF" w:themeColor="background1"/>
                        </w:rPr>
                        <w:t>Middle altitude agroecosystem mosaic</w:t>
                      </w:r>
                    </w:p>
                  </w:txbxContent>
                </v:textbox>
              </v:shape>
            </w:pict>
          </mc:Fallback>
        </mc:AlternateContent>
      </w:r>
      <w:r w:rsidR="0082219C" w:rsidRPr="005516CD">
        <w:rPr>
          <w:rFonts w:asciiTheme="majorHAnsi" w:hAnsiTheme="majorHAnsi" w:cstheme="majorHAnsi"/>
          <w:noProof/>
          <w:sz w:val="20"/>
          <w:szCs w:val="20"/>
          <w:bdr w:val="nil"/>
          <w:lang w:val="en-US" w:eastAsia="en-US"/>
        </w:rPr>
        <mc:AlternateContent>
          <mc:Choice Requires="wps">
            <w:drawing>
              <wp:anchor distT="0" distB="0" distL="114300" distR="114300" simplePos="0" relativeHeight="251764736" behindDoc="0" locked="0" layoutInCell="1" allowOverlap="1" wp14:anchorId="71BE0D43" wp14:editId="230FB276">
                <wp:simplePos x="0" y="0"/>
                <wp:positionH relativeFrom="column">
                  <wp:posOffset>2490471</wp:posOffset>
                </wp:positionH>
                <wp:positionV relativeFrom="paragraph">
                  <wp:posOffset>594360</wp:posOffset>
                </wp:positionV>
                <wp:extent cx="1753870" cy="283845"/>
                <wp:effectExtent l="0" t="209550" r="0" b="211455"/>
                <wp:wrapNone/>
                <wp:docPr id="1073741846" name="Text Box 1073741846"/>
                <wp:cNvGraphicFramePr/>
                <a:graphic xmlns:a="http://schemas.openxmlformats.org/drawingml/2006/main">
                  <a:graphicData uri="http://schemas.microsoft.com/office/word/2010/wordprocessingShape">
                    <wps:wsp>
                      <wps:cNvSpPr txBox="1"/>
                      <wps:spPr>
                        <a:xfrm rot="929216">
                          <a:off x="0" y="0"/>
                          <a:ext cx="1753870" cy="283845"/>
                        </a:xfrm>
                        <a:prstGeom prst="rect">
                          <a:avLst/>
                        </a:prstGeom>
                        <a:noFill/>
                        <a:ln w="6350">
                          <a:noFill/>
                        </a:ln>
                        <a:effectLst/>
                        <a:sp3d/>
                      </wps:spPr>
                      <wps:style>
                        <a:lnRef idx="0">
                          <a:scrgbClr r="0" g="0" b="0"/>
                        </a:lnRef>
                        <a:fillRef idx="0">
                          <a:scrgbClr r="0" g="0" b="0"/>
                        </a:fillRef>
                        <a:effectRef idx="0">
                          <a:scrgbClr r="0" g="0" b="0"/>
                        </a:effectRef>
                        <a:fontRef idx="none"/>
                      </wps:style>
                      <wps:txbx>
                        <w:txbxContent>
                          <w:p w14:paraId="53CC72A6" w14:textId="77777777" w:rsidR="00013DC5" w:rsidRPr="005901F5" w:rsidRDefault="00013DC5" w:rsidP="005901F5">
                            <w:pPr>
                              <w:jc w:val="center"/>
                              <w:rPr>
                                <w:rFonts w:asciiTheme="majorHAnsi" w:hAnsiTheme="majorHAnsi" w:cstheme="majorHAnsi"/>
                                <w:color w:val="FFFFFF" w:themeColor="background1"/>
                              </w:rPr>
                            </w:pPr>
                            <w:r w:rsidRPr="005901F5">
                              <w:rPr>
                                <w:rFonts w:asciiTheme="majorHAnsi" w:hAnsiTheme="majorHAnsi" w:cstheme="majorHAnsi"/>
                                <w:color w:val="FFFFFF" w:themeColor="background1"/>
                              </w:rPr>
                              <w:t xml:space="preserve">Denuded </w:t>
                            </w:r>
                            <w:r>
                              <w:rPr>
                                <w:rFonts w:asciiTheme="majorHAnsi" w:hAnsiTheme="majorHAnsi" w:cstheme="majorHAnsi"/>
                                <w:color w:val="FFFFFF" w:themeColor="background1"/>
                              </w:rPr>
                              <w:t>mountain tops</w:t>
                            </w:r>
                          </w:p>
                        </w:txbxContent>
                      </wps:txbx>
                      <wps:bodyPr rot="0" spcFirstLastPara="1" vertOverflow="overflow" horzOverflow="overflow" vert="horz" wrap="square" lIns="45719" tIns="45719" rIns="45719" bIns="45719" numCol="1" spcCol="3810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1BE0D43" id="Text Box 1073741846" o:spid="_x0000_s1035" type="#_x0000_t202" style="position:absolute;left:0;text-align:left;margin-left:196.1pt;margin-top:46.8pt;width:138.1pt;height:22.35pt;rotation:1014952fd;z-index:251764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" filled="f" stroked="f" strokeweight=".5pt">
                <v:textbox style="mso-fit-shape-to-text:t" inset="1.27mm,1.27mm,1.27mm,1.27mm">
                  <w:txbxContent>
                    <w:p w14:paraId="53CC72A6" w14:textId="77777777" w:rsidR="00013DC5" w:rsidRPr="005901F5" w:rsidRDefault="00013DC5" w:rsidP="005901F5">
                      <w:pPr>
                        <w:jc w:val="center"/>
                        <w:rPr>
                          <w:rFonts w:asciiTheme="majorHAnsi" w:hAnsiTheme="majorHAnsi" w:cstheme="majorHAnsi"/>
                          <w:color w:val="FFFFFF" w:themeColor="background1"/>
                        </w:rPr>
                      </w:pPr>
                      <w:r w:rsidRPr="005901F5">
                        <w:rPr>
                          <w:rFonts w:asciiTheme="majorHAnsi" w:hAnsiTheme="majorHAnsi" w:cstheme="majorHAnsi"/>
                          <w:color w:val="FFFFFF" w:themeColor="background1"/>
                        </w:rPr>
                        <w:t xml:space="preserve">Denuded </w:t>
                      </w:r>
                      <w:r>
                        <w:rPr>
                          <w:rFonts w:asciiTheme="majorHAnsi" w:hAnsiTheme="majorHAnsi" w:cstheme="majorHAnsi"/>
                          <w:color w:val="FFFFFF" w:themeColor="background1"/>
                        </w:rPr>
                        <w:t>mountain tops</w:t>
                      </w:r>
                    </w:p>
                  </w:txbxContent>
                </v:textbox>
              </v:shape>
            </w:pict>
          </mc:Fallback>
        </mc:AlternateContent>
      </w:r>
      <w:r w:rsidR="00026679" w:rsidRPr="005516CD">
        <w:rPr>
          <w:rFonts w:asciiTheme="majorHAnsi" w:hAnsiTheme="majorHAnsi" w:cstheme="majorHAnsi"/>
          <w:noProof/>
          <w:sz w:val="20"/>
          <w:szCs w:val="20"/>
          <w:lang w:val="en-US" w:eastAsia="en-US"/>
        </w:rPr>
        <w:drawing>
          <wp:inline distT="0" distB="0" distL="0" distR="0" wp14:anchorId="2C3E1ABB" wp14:editId="659444CF">
            <wp:extent cx="4015740" cy="3787140"/>
            <wp:effectExtent l="0" t="0" r="3810" b="3810"/>
            <wp:docPr id="1073741845" name="Picture 1073741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015740" cy="3787140"/>
                    </a:xfrm>
                    <a:prstGeom prst="rect">
                      <a:avLst/>
                    </a:prstGeom>
                    <a:noFill/>
                    <a:ln>
                      <a:noFill/>
                    </a:ln>
                  </pic:spPr>
                </pic:pic>
              </a:graphicData>
            </a:graphic>
          </wp:inline>
        </w:drawing>
      </w:r>
    </w:p>
    <w:p w14:paraId="23F5226D" w14:textId="77777777" w:rsidR="001B628D" w:rsidRPr="005516CD" w:rsidRDefault="001B628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maintenance or increases in the numbers of trees on farm and in associated land units such as ravines and stream </w:t>
      </w:r>
      <w:r w:rsidRPr="005516CD">
        <w:rPr>
          <w:rFonts w:asciiTheme="majorHAnsi" w:eastAsia="Calibri" w:hAnsiTheme="majorHAnsi" w:cstheme="majorHAnsi"/>
          <w:sz w:val="20"/>
          <w:szCs w:val="22"/>
        </w:rPr>
        <w:t>sides</w:t>
      </w:r>
      <w:r w:rsidRPr="005516CD">
        <w:rPr>
          <w:rFonts w:asciiTheme="majorHAnsi" w:hAnsiTheme="majorHAnsi" w:cstheme="majorHAnsi"/>
          <w:sz w:val="20"/>
          <w:szCs w:val="20"/>
        </w:rPr>
        <w:t>, and modifications or diversification of the types of species present, will contribute to improving the conservation status of endemic, globally rare and/or threatened species by:</w:t>
      </w:r>
    </w:p>
    <w:p w14:paraId="0E367908" w14:textId="77777777" w:rsidR="001B628D" w:rsidRPr="005516CD" w:rsidRDefault="001B628D" w:rsidP="006B27F4">
      <w:pPr>
        <w:numPr>
          <w:ilvl w:val="0"/>
          <w:numId w:val="88"/>
        </w:numPr>
        <w:spacing w:after="120"/>
        <w:ind w:left="426" w:right="96"/>
        <w:jc w:val="both"/>
        <w:rPr>
          <w:rFonts w:asciiTheme="majorHAnsi" w:hAnsiTheme="majorHAnsi" w:cstheme="majorHAnsi"/>
          <w:sz w:val="20"/>
          <w:szCs w:val="20"/>
        </w:rPr>
      </w:pPr>
      <w:r w:rsidRPr="005516CD">
        <w:rPr>
          <w:rFonts w:asciiTheme="majorHAnsi" w:eastAsia="Calibri" w:hAnsiTheme="majorHAnsi" w:cstheme="majorHAnsi"/>
          <w:sz w:val="20"/>
          <w:szCs w:val="20"/>
        </w:rPr>
        <w:t>Promoting</w:t>
      </w:r>
      <w:r w:rsidRPr="005516CD">
        <w:rPr>
          <w:rFonts w:asciiTheme="majorHAnsi" w:hAnsiTheme="majorHAnsi" w:cstheme="majorHAnsi"/>
          <w:sz w:val="20"/>
          <w:szCs w:val="20"/>
        </w:rPr>
        <w:t xml:space="preserve"> connectivity between populations which are becoming increasingly isolated due to fragmentation of their original habitat into ever-smaller and more widely-separated fragments; reversal of this situation, by creating conditions that help them move and interact between landscapes, will contribute to their </w:t>
      </w:r>
      <w:proofErr w:type="gramStart"/>
      <w:r w:rsidRPr="005516CD">
        <w:rPr>
          <w:rFonts w:asciiTheme="majorHAnsi" w:hAnsiTheme="majorHAnsi" w:cstheme="majorHAnsi"/>
          <w:sz w:val="20"/>
          <w:szCs w:val="20"/>
        </w:rPr>
        <w:t>long term</w:t>
      </w:r>
      <w:proofErr w:type="gramEnd"/>
      <w:r w:rsidRPr="005516CD">
        <w:rPr>
          <w:rFonts w:asciiTheme="majorHAnsi" w:hAnsiTheme="majorHAnsi" w:cstheme="majorHAnsi"/>
          <w:sz w:val="20"/>
          <w:szCs w:val="20"/>
        </w:rPr>
        <w:t xml:space="preserve"> genetic viability;</w:t>
      </w:r>
    </w:p>
    <w:p w14:paraId="5ACDDBAE" w14:textId="77777777" w:rsidR="001B628D" w:rsidRPr="005516CD" w:rsidRDefault="001B628D" w:rsidP="006B27F4">
      <w:pPr>
        <w:numPr>
          <w:ilvl w:val="0"/>
          <w:numId w:val="88"/>
        </w:numPr>
        <w:spacing w:after="120"/>
        <w:ind w:left="426" w:right="96"/>
        <w:jc w:val="both"/>
        <w:rPr>
          <w:rFonts w:asciiTheme="majorHAnsi" w:hAnsiTheme="majorHAnsi" w:cstheme="majorHAnsi"/>
          <w:sz w:val="20"/>
          <w:szCs w:val="20"/>
        </w:rPr>
      </w:pPr>
      <w:r w:rsidRPr="005516CD">
        <w:rPr>
          <w:rFonts w:asciiTheme="majorHAnsi" w:hAnsiTheme="majorHAnsi" w:cstheme="majorHAnsi"/>
          <w:sz w:val="20"/>
          <w:szCs w:val="20"/>
        </w:rPr>
        <w:t xml:space="preserve">Promoting </w:t>
      </w:r>
      <w:r w:rsidRPr="005516CD">
        <w:rPr>
          <w:rFonts w:asciiTheme="majorHAnsi" w:eastAsia="Calibri" w:hAnsiTheme="majorHAnsi" w:cstheme="majorHAnsi"/>
          <w:sz w:val="20"/>
          <w:szCs w:val="20"/>
        </w:rPr>
        <w:t>upstream</w:t>
      </w:r>
      <w:r w:rsidRPr="005516CD">
        <w:rPr>
          <w:rFonts w:asciiTheme="majorHAnsi" w:hAnsiTheme="majorHAnsi" w:cstheme="majorHAnsi"/>
          <w:sz w:val="20"/>
          <w:szCs w:val="20"/>
        </w:rPr>
        <w:t>-downstream connectivity, for example by protecting or increasing ravine-side vegetation, will facilitate the movement of elements of (especially aquatic) fauna, on a daily or seasonal basis, between altitude zones.</w:t>
      </w:r>
    </w:p>
    <w:p w14:paraId="26718FC2" w14:textId="77777777" w:rsidR="001B628D" w:rsidRPr="005516CD" w:rsidRDefault="001B628D" w:rsidP="006B27F4">
      <w:pPr>
        <w:numPr>
          <w:ilvl w:val="0"/>
          <w:numId w:val="88"/>
        </w:numPr>
        <w:spacing w:after="120"/>
        <w:ind w:left="426" w:right="96"/>
        <w:jc w:val="both"/>
        <w:rPr>
          <w:rFonts w:asciiTheme="majorHAnsi" w:hAnsiTheme="majorHAnsi" w:cstheme="majorHAnsi"/>
          <w:sz w:val="20"/>
          <w:szCs w:val="20"/>
        </w:rPr>
      </w:pPr>
      <w:r w:rsidRPr="005516CD">
        <w:rPr>
          <w:rFonts w:asciiTheme="majorHAnsi" w:hAnsiTheme="majorHAnsi" w:cstheme="majorHAnsi"/>
          <w:sz w:val="20"/>
          <w:szCs w:val="20"/>
        </w:rPr>
        <w:t xml:space="preserve">Promoting favourable habitat conditions in production landscapes (for example by increasing numbers of food species for birds and bats and ensuring suitable microclimates for amphibians) will increase the effective range size, and therefore numbers and success, of species that are otherwise inhibited from venturing out of </w:t>
      </w:r>
      <w:proofErr w:type="spellStart"/>
      <w:r w:rsidRPr="005516CD">
        <w:rPr>
          <w:rFonts w:asciiTheme="majorHAnsi" w:hAnsiTheme="majorHAnsi" w:cstheme="majorHAnsi"/>
          <w:sz w:val="20"/>
          <w:szCs w:val="20"/>
        </w:rPr>
        <w:t>every</w:t>
      </w:r>
      <w:proofErr w:type="spellEnd"/>
      <w:r w:rsidRPr="005516CD">
        <w:rPr>
          <w:rFonts w:asciiTheme="majorHAnsi" w:hAnsiTheme="majorHAnsi" w:cstheme="majorHAnsi"/>
          <w:sz w:val="20"/>
          <w:szCs w:val="20"/>
        </w:rPr>
        <w:t xml:space="preserve">-shrinking ecosystem remnants due to hostile anthropomorphic conditions. </w:t>
      </w:r>
    </w:p>
    <w:p w14:paraId="6DA4CE61" w14:textId="77777777" w:rsidR="001B628D" w:rsidRPr="005516CD" w:rsidRDefault="001B628D" w:rsidP="006B27F4">
      <w:pPr>
        <w:numPr>
          <w:ilvl w:val="0"/>
          <w:numId w:val="88"/>
        </w:numPr>
        <w:spacing w:after="120"/>
        <w:ind w:left="426" w:right="96"/>
        <w:jc w:val="both"/>
        <w:rPr>
          <w:rFonts w:asciiTheme="majorHAnsi" w:hAnsiTheme="majorHAnsi" w:cstheme="majorHAnsi"/>
          <w:sz w:val="20"/>
          <w:szCs w:val="20"/>
        </w:rPr>
      </w:pPr>
      <w:r w:rsidRPr="005516CD">
        <w:rPr>
          <w:rFonts w:asciiTheme="majorHAnsi" w:hAnsiTheme="majorHAnsi" w:cstheme="majorHAnsi"/>
          <w:color w:val="000000"/>
          <w:sz w:val="20"/>
          <w:szCs w:val="20"/>
        </w:rPr>
        <w:t>Promoting</w:t>
      </w:r>
      <w:r w:rsidRPr="005516CD">
        <w:rPr>
          <w:rFonts w:asciiTheme="majorHAnsi" w:hAnsiTheme="majorHAnsi" w:cstheme="majorHAnsi"/>
          <w:sz w:val="20"/>
          <w:szCs w:val="20"/>
        </w:rPr>
        <w:t xml:space="preserve"> agroforestry-based systems will increase ecological and productive sustainability, reducing the need for periodic </w:t>
      </w:r>
      <w:r w:rsidRPr="005516CD">
        <w:rPr>
          <w:rFonts w:asciiTheme="majorHAnsi" w:eastAsia="Calibri" w:hAnsiTheme="majorHAnsi" w:cstheme="majorHAnsi"/>
          <w:sz w:val="20"/>
          <w:szCs w:val="20"/>
        </w:rPr>
        <w:t>abandonment</w:t>
      </w:r>
      <w:r w:rsidRPr="005516CD">
        <w:rPr>
          <w:rFonts w:asciiTheme="majorHAnsi" w:hAnsiTheme="majorHAnsi" w:cstheme="majorHAnsi"/>
          <w:sz w:val="20"/>
          <w:szCs w:val="20"/>
        </w:rPr>
        <w:t xml:space="preserve"> of exhausted plots, and thereby contributing to landscape stabilization and reducing the advance of the agricultural frontier into remnant ecosystems.</w:t>
      </w:r>
    </w:p>
    <w:p w14:paraId="668E5553" w14:textId="77777777" w:rsidR="005B0548" w:rsidRPr="005516CD" w:rsidRDefault="005B0548"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bookmarkStart w:id="44" w:name="_Ref525139384"/>
      <w:r w:rsidRPr="005516CD">
        <w:rPr>
          <w:rFonts w:asciiTheme="majorHAnsi" w:hAnsiTheme="majorHAnsi" w:cstheme="majorHAnsi"/>
          <w:sz w:val="20"/>
          <w:szCs w:val="20"/>
        </w:rPr>
        <w:t>Species which have potential to benefit from this approach include the following</w:t>
      </w:r>
      <w:r w:rsidR="00573B3C" w:rsidRPr="005516CD">
        <w:rPr>
          <w:rFonts w:asciiTheme="majorHAnsi" w:hAnsiTheme="majorHAnsi" w:cstheme="majorHAnsi"/>
          <w:sz w:val="20"/>
          <w:szCs w:val="20"/>
        </w:rPr>
        <w:t xml:space="preserve"> (see Additional Annex A for more detail)</w:t>
      </w:r>
      <w:r w:rsidRPr="005516CD">
        <w:rPr>
          <w:rFonts w:asciiTheme="majorHAnsi" w:hAnsiTheme="majorHAnsi" w:cstheme="majorHAnsi"/>
          <w:sz w:val="20"/>
          <w:szCs w:val="20"/>
        </w:rPr>
        <w:t>:</w:t>
      </w:r>
      <w:bookmarkEnd w:id="44"/>
    </w:p>
    <w:p w14:paraId="7D6C352E" w14:textId="77777777" w:rsidR="005B0548" w:rsidRPr="005516CD" w:rsidRDefault="001E763B" w:rsidP="006B27F4">
      <w:pPr>
        <w:pStyle w:val="ListParagraph"/>
        <w:numPr>
          <w:ilvl w:val="0"/>
          <w:numId w:val="95"/>
        </w:numPr>
        <w:tabs>
          <w:tab w:val="left" w:pos="567"/>
        </w:tabs>
        <w:spacing w:after="120"/>
        <w:ind w:left="567" w:right="96"/>
        <w:jc w:val="both"/>
        <w:rPr>
          <w:rFonts w:asciiTheme="majorHAnsi" w:hAnsiTheme="majorHAnsi" w:cstheme="majorHAnsi"/>
          <w:sz w:val="20"/>
          <w:szCs w:val="20"/>
        </w:rPr>
      </w:pPr>
      <w:r w:rsidRPr="005516CD">
        <w:rPr>
          <w:noProof/>
          <w:lang w:eastAsia="en-US"/>
        </w:rPr>
        <w:drawing>
          <wp:anchor distT="0" distB="0" distL="114300" distR="114300" simplePos="0" relativeHeight="251737088" behindDoc="1" locked="0" layoutInCell="1" allowOverlap="1" wp14:anchorId="0420A0FB" wp14:editId="72CC603F">
            <wp:simplePos x="0" y="0"/>
            <wp:positionH relativeFrom="column">
              <wp:posOffset>3151505</wp:posOffset>
            </wp:positionH>
            <wp:positionV relativeFrom="paragraph">
              <wp:posOffset>58420</wp:posOffset>
            </wp:positionV>
            <wp:extent cx="2471420" cy="1386840"/>
            <wp:effectExtent l="19050" t="19050" r="24130" b="22860"/>
            <wp:wrapTight wrapText="bothSides">
              <wp:wrapPolygon edited="0">
                <wp:start x="-166" y="-297"/>
                <wp:lineTo x="-166" y="21659"/>
                <wp:lineTo x="21644" y="21659"/>
                <wp:lineTo x="21644" y="-297"/>
                <wp:lineTo x="-166" y="-297"/>
              </wp:wrapPolygon>
            </wp:wrapTight>
            <wp:docPr id="1073742015" name="Picture 1073742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71420" cy="138684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5B0548" w:rsidRPr="005516CD">
        <w:rPr>
          <w:rFonts w:asciiTheme="majorHAnsi" w:hAnsiTheme="majorHAnsi" w:cstheme="majorHAnsi"/>
          <w:sz w:val="20"/>
          <w:szCs w:val="20"/>
        </w:rPr>
        <w:t xml:space="preserve">The Critically Endangered, </w:t>
      </w:r>
      <w:proofErr w:type="spellStart"/>
      <w:r w:rsidR="005B0548" w:rsidRPr="005516CD">
        <w:rPr>
          <w:rFonts w:asciiTheme="majorHAnsi" w:hAnsiTheme="majorHAnsi" w:cstheme="majorHAnsi"/>
          <w:sz w:val="20"/>
          <w:szCs w:val="20"/>
        </w:rPr>
        <w:t>Hispaniolan</w:t>
      </w:r>
      <w:proofErr w:type="spellEnd"/>
      <w:r w:rsidR="005B0548" w:rsidRPr="005516CD">
        <w:rPr>
          <w:rFonts w:asciiTheme="majorHAnsi" w:hAnsiTheme="majorHAnsi" w:cstheme="majorHAnsi"/>
          <w:sz w:val="20"/>
          <w:szCs w:val="20"/>
        </w:rPr>
        <w:t xml:space="preserve"> endemic </w:t>
      </w:r>
      <w:r w:rsidR="005B0548" w:rsidRPr="005516CD">
        <w:rPr>
          <w:rFonts w:asciiTheme="majorHAnsi" w:hAnsiTheme="majorHAnsi" w:cstheme="majorHAnsi"/>
          <w:b/>
          <w:sz w:val="20"/>
          <w:szCs w:val="20"/>
        </w:rPr>
        <w:t>Schmidt's Robber Frog (</w:t>
      </w:r>
      <w:proofErr w:type="spellStart"/>
      <w:r w:rsidR="005B0548" w:rsidRPr="005516CD">
        <w:rPr>
          <w:rFonts w:asciiTheme="majorHAnsi" w:hAnsiTheme="majorHAnsi" w:cstheme="majorHAnsi"/>
          <w:b/>
          <w:i/>
          <w:sz w:val="20"/>
          <w:szCs w:val="20"/>
        </w:rPr>
        <w:t>Eleutherodactylus</w:t>
      </w:r>
      <w:proofErr w:type="spellEnd"/>
      <w:r w:rsidR="005B0548" w:rsidRPr="005516CD">
        <w:rPr>
          <w:rFonts w:asciiTheme="majorHAnsi" w:hAnsiTheme="majorHAnsi" w:cstheme="majorHAnsi"/>
          <w:b/>
          <w:i/>
          <w:sz w:val="20"/>
          <w:szCs w:val="20"/>
        </w:rPr>
        <w:t xml:space="preserve"> </w:t>
      </w:r>
      <w:proofErr w:type="spellStart"/>
      <w:r w:rsidR="005B0548" w:rsidRPr="005516CD">
        <w:rPr>
          <w:rFonts w:asciiTheme="majorHAnsi" w:hAnsiTheme="majorHAnsi" w:cstheme="majorHAnsi"/>
          <w:b/>
          <w:i/>
          <w:sz w:val="20"/>
          <w:szCs w:val="20"/>
        </w:rPr>
        <w:t>schmidti</w:t>
      </w:r>
      <w:proofErr w:type="spellEnd"/>
      <w:r w:rsidR="005B0548" w:rsidRPr="005516CD">
        <w:rPr>
          <w:rFonts w:asciiTheme="majorHAnsi" w:hAnsiTheme="majorHAnsi" w:cstheme="majorHAnsi"/>
          <w:b/>
          <w:sz w:val="20"/>
          <w:szCs w:val="20"/>
        </w:rPr>
        <w:t>)</w:t>
      </w:r>
      <w:r w:rsidR="000A473B" w:rsidRPr="005516CD">
        <w:rPr>
          <w:rFonts w:asciiTheme="majorHAnsi" w:hAnsiTheme="majorHAnsi" w:cstheme="majorHAnsi"/>
          <w:b/>
          <w:sz w:val="20"/>
          <w:szCs w:val="20"/>
        </w:rPr>
        <w:t>,</w:t>
      </w:r>
      <w:r w:rsidR="000A473B" w:rsidRPr="005516CD">
        <w:rPr>
          <w:rFonts w:asciiTheme="majorHAnsi" w:hAnsiTheme="majorHAnsi" w:cstheme="majorHAnsi"/>
          <w:sz w:val="20"/>
          <w:szCs w:val="20"/>
        </w:rPr>
        <w:t xml:space="preserve"> which has a restricted range, divided into two separate areas in the Cordillera Septentrional and Cordillera Central, in the Dominican Republic, and in the Massif du Nord, Haiti. This species is usually found beside streams in mesic closed-canopy rainforests and so may (subject to confirmation) potentially benefit from increases in tree-based production systems such as diverse cacao and coffee plantations.</w:t>
      </w:r>
    </w:p>
    <w:p w14:paraId="3B41125C" w14:textId="77777777" w:rsidR="000A473B" w:rsidRPr="005516CD" w:rsidRDefault="00BA0178" w:rsidP="006B27F4">
      <w:pPr>
        <w:pStyle w:val="ListParagraph"/>
        <w:numPr>
          <w:ilvl w:val="0"/>
          <w:numId w:val="95"/>
        </w:numPr>
        <w:tabs>
          <w:tab w:val="left" w:pos="567"/>
        </w:tabs>
        <w:spacing w:after="120"/>
        <w:ind w:left="567" w:right="96"/>
        <w:jc w:val="both"/>
        <w:rPr>
          <w:rFonts w:asciiTheme="majorHAnsi" w:hAnsiTheme="majorHAnsi" w:cstheme="majorHAnsi"/>
          <w:sz w:val="20"/>
          <w:szCs w:val="20"/>
        </w:rPr>
      </w:pPr>
      <w:r w:rsidRPr="005516CD">
        <w:rPr>
          <w:noProof/>
          <w:lang w:eastAsia="en-US"/>
        </w:rPr>
        <w:drawing>
          <wp:anchor distT="0" distB="0" distL="114300" distR="114300" simplePos="0" relativeHeight="251739136" behindDoc="1" locked="0" layoutInCell="1" allowOverlap="1" wp14:anchorId="25955164" wp14:editId="6C603095">
            <wp:simplePos x="0" y="0"/>
            <wp:positionH relativeFrom="column">
              <wp:posOffset>3169920</wp:posOffset>
            </wp:positionH>
            <wp:positionV relativeFrom="paragraph">
              <wp:posOffset>30480</wp:posOffset>
            </wp:positionV>
            <wp:extent cx="2453640" cy="1089660"/>
            <wp:effectExtent l="0" t="0" r="3810" b="0"/>
            <wp:wrapTight wrapText="bothSides">
              <wp:wrapPolygon edited="0">
                <wp:start x="0" y="0"/>
                <wp:lineTo x="0" y="21147"/>
                <wp:lineTo x="21466" y="21147"/>
                <wp:lineTo x="21466" y="0"/>
                <wp:lineTo x="0" y="0"/>
              </wp:wrapPolygon>
            </wp:wrapTight>
            <wp:docPr id="1073741824" name="Picture 10737418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453640" cy="1089660"/>
                    </a:xfrm>
                    <a:prstGeom prst="rect">
                      <a:avLst/>
                    </a:prstGeom>
                    <a:noFill/>
                    <a:ln>
                      <a:noFill/>
                    </a:ln>
                  </pic:spPr>
                </pic:pic>
              </a:graphicData>
            </a:graphic>
            <wp14:sizeRelH relativeFrom="page">
              <wp14:pctWidth>0</wp14:pctWidth>
            </wp14:sizeRelH>
            <wp14:sizeRelV relativeFrom="page">
              <wp14:pctHeight>0</wp14:pctHeight>
            </wp14:sizeRelV>
          </wp:anchor>
        </w:drawing>
      </w:r>
      <w:r w:rsidR="000A473B" w:rsidRPr="005516CD">
        <w:rPr>
          <w:rFonts w:asciiTheme="majorHAnsi" w:hAnsiTheme="majorHAnsi" w:cstheme="majorHAnsi"/>
          <w:sz w:val="20"/>
          <w:szCs w:val="20"/>
        </w:rPr>
        <w:t xml:space="preserve">The Vulnerable </w:t>
      </w:r>
      <w:proofErr w:type="spellStart"/>
      <w:r w:rsidR="000A473B" w:rsidRPr="005516CD">
        <w:rPr>
          <w:rFonts w:asciiTheme="majorHAnsi" w:hAnsiTheme="majorHAnsi" w:cstheme="majorHAnsi"/>
          <w:sz w:val="20"/>
          <w:szCs w:val="20"/>
        </w:rPr>
        <w:t>Hispaniolan</w:t>
      </w:r>
      <w:proofErr w:type="spellEnd"/>
      <w:r w:rsidR="000A473B" w:rsidRPr="005516CD">
        <w:rPr>
          <w:rFonts w:asciiTheme="majorHAnsi" w:hAnsiTheme="majorHAnsi" w:cstheme="majorHAnsi"/>
          <w:sz w:val="20"/>
          <w:szCs w:val="20"/>
        </w:rPr>
        <w:t xml:space="preserve"> endemic </w:t>
      </w:r>
      <w:r w:rsidR="000A473B" w:rsidRPr="005516CD">
        <w:rPr>
          <w:rFonts w:asciiTheme="majorHAnsi" w:hAnsiTheme="majorHAnsi" w:cstheme="majorHAnsi"/>
          <w:b/>
          <w:sz w:val="20"/>
          <w:szCs w:val="20"/>
        </w:rPr>
        <w:t xml:space="preserve">Los </w:t>
      </w:r>
      <w:proofErr w:type="spellStart"/>
      <w:r w:rsidR="000A473B" w:rsidRPr="005516CD">
        <w:rPr>
          <w:rFonts w:asciiTheme="majorHAnsi" w:hAnsiTheme="majorHAnsi" w:cstheme="majorHAnsi"/>
          <w:b/>
          <w:sz w:val="20"/>
          <w:szCs w:val="20"/>
        </w:rPr>
        <w:t>Bracitos</w:t>
      </w:r>
      <w:proofErr w:type="spellEnd"/>
      <w:r w:rsidR="000A473B" w:rsidRPr="005516CD">
        <w:rPr>
          <w:rFonts w:asciiTheme="majorHAnsi" w:hAnsiTheme="majorHAnsi" w:cstheme="majorHAnsi"/>
          <w:b/>
          <w:sz w:val="20"/>
          <w:szCs w:val="20"/>
        </w:rPr>
        <w:t xml:space="preserve"> Treefrog (</w:t>
      </w:r>
      <w:proofErr w:type="spellStart"/>
      <w:r w:rsidR="000A473B" w:rsidRPr="005516CD">
        <w:rPr>
          <w:rFonts w:asciiTheme="majorHAnsi" w:hAnsiTheme="majorHAnsi" w:cstheme="majorHAnsi"/>
          <w:b/>
          <w:i/>
          <w:sz w:val="20"/>
          <w:szCs w:val="20"/>
        </w:rPr>
        <w:t>Hypsiboas</w:t>
      </w:r>
      <w:proofErr w:type="spellEnd"/>
      <w:r w:rsidR="000A473B" w:rsidRPr="005516CD">
        <w:rPr>
          <w:rFonts w:asciiTheme="majorHAnsi" w:hAnsiTheme="majorHAnsi" w:cstheme="majorHAnsi"/>
          <w:b/>
          <w:i/>
          <w:sz w:val="20"/>
          <w:szCs w:val="20"/>
        </w:rPr>
        <w:t xml:space="preserve"> </w:t>
      </w:r>
      <w:proofErr w:type="spellStart"/>
      <w:r w:rsidR="000A473B" w:rsidRPr="005516CD">
        <w:rPr>
          <w:rFonts w:asciiTheme="majorHAnsi" w:hAnsiTheme="majorHAnsi" w:cstheme="majorHAnsi"/>
          <w:b/>
          <w:i/>
          <w:sz w:val="20"/>
          <w:szCs w:val="20"/>
        </w:rPr>
        <w:t>heilprini</w:t>
      </w:r>
      <w:proofErr w:type="spellEnd"/>
      <w:r w:rsidR="000A473B" w:rsidRPr="005516CD">
        <w:rPr>
          <w:rFonts w:asciiTheme="majorHAnsi" w:hAnsiTheme="majorHAnsi" w:cstheme="majorHAnsi"/>
          <w:b/>
          <w:sz w:val="20"/>
          <w:szCs w:val="20"/>
        </w:rPr>
        <w:t>)</w:t>
      </w:r>
      <w:r w:rsidR="007469F3" w:rsidRPr="005516CD">
        <w:rPr>
          <w:rFonts w:asciiTheme="majorHAnsi" w:hAnsiTheme="majorHAnsi" w:cstheme="majorHAnsi"/>
          <w:sz w:val="20"/>
          <w:szCs w:val="20"/>
        </w:rPr>
        <w:t xml:space="preserve">, which has a spotty and fragmented distribution throughout Hispaniola, from sea level up to 1,856 m </w:t>
      </w:r>
      <w:proofErr w:type="spellStart"/>
      <w:r w:rsidR="007469F3" w:rsidRPr="005516CD">
        <w:rPr>
          <w:rFonts w:asciiTheme="majorHAnsi" w:hAnsiTheme="majorHAnsi" w:cstheme="majorHAnsi"/>
          <w:sz w:val="20"/>
          <w:szCs w:val="20"/>
        </w:rPr>
        <w:t>asl</w:t>
      </w:r>
      <w:proofErr w:type="spellEnd"/>
      <w:r w:rsidR="007469F3" w:rsidRPr="005516CD">
        <w:rPr>
          <w:rFonts w:asciiTheme="majorHAnsi" w:hAnsiTheme="majorHAnsi" w:cstheme="majorHAnsi"/>
          <w:sz w:val="20"/>
          <w:szCs w:val="20"/>
        </w:rPr>
        <w:t>.</w:t>
      </w:r>
      <w:r w:rsidR="000A473B"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This is a stream-breeding amphibian found in high-quality mountain streams associated with well-conserved mesic broadleaf forests. It has also been found in areas with various land uses, such as cacao plantations, coffee plantations, pastures, crop agriculture, areas with livestock, and forestry activities. </w:t>
      </w:r>
      <w:r w:rsidRPr="005516CD">
        <w:rPr>
          <w:rFonts w:asciiTheme="majorHAnsi" w:hAnsiTheme="majorHAnsi" w:cstheme="majorHAnsi"/>
          <w:sz w:val="20"/>
          <w:szCs w:val="20"/>
          <w:lang w:val="en-GB"/>
        </w:rPr>
        <w:t>although this frog is found in habitat types that are contained within a variety of different land uses, it requires forests as the main habitat pockets to subsist within these different landscapes. In terms of micro-habitat occupation, males have been reported to call from rocks or low vegetation near and in water. It has been observed breeding in slow-moving water at Diego de Ocampo in April 2009 (G. Ross pers. comm. March 2011). Due to the fact that it is a mountain stream-dweller, it is considered to be more sensitive to habitat destruction than many other species.</w:t>
      </w:r>
      <w:r w:rsidRPr="005516CD">
        <w:t xml:space="preserve"> </w:t>
      </w:r>
    </w:p>
    <w:p w14:paraId="4A6A1595" w14:textId="77777777" w:rsidR="00464451" w:rsidRPr="005516CD" w:rsidRDefault="00464451" w:rsidP="006B27F4">
      <w:pPr>
        <w:pStyle w:val="ListParagraph"/>
        <w:numPr>
          <w:ilvl w:val="0"/>
          <w:numId w:val="95"/>
        </w:numPr>
        <w:tabs>
          <w:tab w:val="left" w:pos="567"/>
        </w:tabs>
        <w:spacing w:after="120"/>
        <w:ind w:left="567" w:right="96"/>
        <w:jc w:val="both"/>
        <w:rPr>
          <w:rFonts w:asciiTheme="majorHAnsi" w:hAnsiTheme="majorHAnsi" w:cstheme="majorHAnsi"/>
          <w:sz w:val="20"/>
          <w:szCs w:val="20"/>
        </w:rPr>
      </w:pPr>
      <w:r w:rsidRPr="005516CD">
        <w:rPr>
          <w:noProof/>
          <w:lang w:eastAsia="en-US"/>
        </w:rPr>
        <w:drawing>
          <wp:anchor distT="0" distB="0" distL="114300" distR="114300" simplePos="0" relativeHeight="251741184" behindDoc="1" locked="0" layoutInCell="1" allowOverlap="1" wp14:anchorId="4134BA5E" wp14:editId="1EDE73E7">
            <wp:simplePos x="0" y="0"/>
            <wp:positionH relativeFrom="column">
              <wp:posOffset>3169920</wp:posOffset>
            </wp:positionH>
            <wp:positionV relativeFrom="paragraph">
              <wp:posOffset>6985</wp:posOffset>
            </wp:positionV>
            <wp:extent cx="2491740" cy="1119505"/>
            <wp:effectExtent l="0" t="0" r="3810" b="4445"/>
            <wp:wrapTight wrapText="bothSides">
              <wp:wrapPolygon edited="0">
                <wp:start x="0" y="0"/>
                <wp:lineTo x="0" y="21318"/>
                <wp:lineTo x="21468" y="21318"/>
                <wp:lineTo x="21468" y="0"/>
                <wp:lineTo x="0" y="0"/>
              </wp:wrapPolygon>
            </wp:wrapTight>
            <wp:docPr id="1073741828" name="Picture 1073741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2491740" cy="1119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sz w:val="20"/>
          <w:szCs w:val="20"/>
        </w:rPr>
        <w:t xml:space="preserve">The Vulnerable,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 </w:t>
      </w:r>
      <w:hyperlink r:id="rId41" w:tooltip="view hispaniolan yellow treefrog profile" w:history="1">
        <w:proofErr w:type="spellStart"/>
        <w:r w:rsidRPr="005516CD">
          <w:rPr>
            <w:rStyle w:val="Hyperlink"/>
            <w:rFonts w:asciiTheme="majorHAnsi" w:hAnsiTheme="majorHAnsi" w:cstheme="majorHAnsi"/>
            <w:b/>
            <w:sz w:val="20"/>
            <w:szCs w:val="20"/>
            <w:u w:val="none"/>
            <w:lang w:val="en-GB"/>
          </w:rPr>
          <w:t>Hispaniolan</w:t>
        </w:r>
        <w:proofErr w:type="spellEnd"/>
        <w:r w:rsidRPr="005516CD">
          <w:rPr>
            <w:rStyle w:val="Hyperlink"/>
            <w:rFonts w:asciiTheme="majorHAnsi" w:hAnsiTheme="majorHAnsi" w:cstheme="majorHAnsi"/>
            <w:b/>
            <w:sz w:val="20"/>
            <w:szCs w:val="20"/>
            <w:u w:val="none"/>
            <w:lang w:val="en-GB"/>
          </w:rPr>
          <w:t xml:space="preserve"> Yellow Treefrog</w:t>
        </w:r>
      </w:hyperlink>
      <w:r w:rsidRPr="005516CD">
        <w:rPr>
          <w:rFonts w:asciiTheme="majorHAnsi" w:hAnsiTheme="majorHAnsi" w:cstheme="majorHAnsi"/>
          <w:b/>
          <w:sz w:val="20"/>
          <w:szCs w:val="20"/>
        </w:rPr>
        <w:t xml:space="preserve"> (</w:t>
      </w:r>
      <w:proofErr w:type="spellStart"/>
      <w:r w:rsidRPr="005516CD">
        <w:rPr>
          <w:rFonts w:asciiTheme="majorHAnsi" w:hAnsiTheme="majorHAnsi" w:cstheme="majorHAnsi"/>
          <w:b/>
          <w:i/>
          <w:sz w:val="20"/>
          <w:szCs w:val="20"/>
          <w:lang w:val="en-GB"/>
        </w:rPr>
        <w:t>Osteopilus</w:t>
      </w:r>
      <w:proofErr w:type="spellEnd"/>
      <w:r w:rsidRPr="005516CD">
        <w:rPr>
          <w:rFonts w:asciiTheme="majorHAnsi" w:hAnsiTheme="majorHAnsi" w:cstheme="majorHAnsi"/>
          <w:b/>
          <w:i/>
          <w:sz w:val="20"/>
          <w:szCs w:val="20"/>
          <w:lang w:val="en-GB"/>
        </w:rPr>
        <w:t xml:space="preserve"> </w:t>
      </w:r>
      <w:proofErr w:type="spellStart"/>
      <w:r w:rsidRPr="005516CD">
        <w:rPr>
          <w:rFonts w:asciiTheme="majorHAnsi" w:hAnsiTheme="majorHAnsi" w:cstheme="majorHAnsi"/>
          <w:b/>
          <w:i/>
          <w:sz w:val="20"/>
          <w:szCs w:val="20"/>
          <w:lang w:val="en-GB"/>
        </w:rPr>
        <w:t>pulchrilineatus</w:t>
      </w:r>
      <w:proofErr w:type="spellEnd"/>
      <w:r w:rsidRPr="005516CD">
        <w:rPr>
          <w:rFonts w:asciiTheme="majorHAnsi" w:hAnsiTheme="majorHAnsi" w:cstheme="majorHAnsi"/>
          <w:b/>
          <w:sz w:val="20"/>
          <w:szCs w:val="20"/>
          <w:lang w:val="en-GB"/>
        </w:rPr>
        <w:t xml:space="preserve">), </w:t>
      </w:r>
      <w:r w:rsidRPr="005516CD">
        <w:rPr>
          <w:rFonts w:asciiTheme="majorHAnsi" w:hAnsiTheme="majorHAnsi" w:cstheme="majorHAnsi"/>
          <w:sz w:val="20"/>
          <w:szCs w:val="20"/>
          <w:lang w:val="en-GB"/>
        </w:rPr>
        <w:t>which  has a highly fragmented distribution on Hispaniola, which suggests that it has  declined from a previously more uniform distribution. It occurs in mesic broadleaf forests, riparian forests including remnant forests, mangrove forests, grasslands, marshes and agricultural landscapes including rice plantations, coffee and cacao plantations. Although this frog is found in habitat types that are contained within a variety of different land uses, survey results suggest that it requires forests and/or wetlands as the main habitat pockets to subsist within these different landscapes.</w:t>
      </w:r>
      <w:r w:rsidRPr="005516CD">
        <w:t xml:space="preserve"> </w:t>
      </w:r>
    </w:p>
    <w:p w14:paraId="62CADDE0" w14:textId="77777777" w:rsidR="006D51D6" w:rsidRPr="005516CD" w:rsidRDefault="006D51D6" w:rsidP="006B27F4">
      <w:pPr>
        <w:pStyle w:val="ListParagraph"/>
        <w:numPr>
          <w:ilvl w:val="0"/>
          <w:numId w:val="95"/>
        </w:numPr>
        <w:tabs>
          <w:tab w:val="left" w:pos="567"/>
        </w:tabs>
        <w:spacing w:after="120"/>
        <w:ind w:left="567" w:right="96"/>
        <w:jc w:val="both"/>
        <w:rPr>
          <w:rFonts w:asciiTheme="majorHAnsi" w:hAnsiTheme="majorHAnsi" w:cstheme="majorHAnsi"/>
          <w:sz w:val="20"/>
          <w:szCs w:val="20"/>
        </w:rPr>
      </w:pPr>
      <w:r w:rsidRPr="005516CD">
        <w:rPr>
          <w:noProof/>
          <w:lang w:eastAsia="en-US"/>
        </w:rPr>
        <w:drawing>
          <wp:anchor distT="0" distB="0" distL="114300" distR="114300" simplePos="0" relativeHeight="251743232" behindDoc="1" locked="0" layoutInCell="1" allowOverlap="1" wp14:anchorId="571130E5" wp14:editId="498DA213">
            <wp:simplePos x="0" y="0"/>
            <wp:positionH relativeFrom="column">
              <wp:posOffset>3169920</wp:posOffset>
            </wp:positionH>
            <wp:positionV relativeFrom="paragraph">
              <wp:posOffset>24765</wp:posOffset>
            </wp:positionV>
            <wp:extent cx="2469515" cy="1111250"/>
            <wp:effectExtent l="0" t="0" r="6985" b="0"/>
            <wp:wrapTight wrapText="bothSides">
              <wp:wrapPolygon edited="0">
                <wp:start x="0" y="0"/>
                <wp:lineTo x="0" y="21106"/>
                <wp:lineTo x="21494" y="21106"/>
                <wp:lineTo x="21494" y="0"/>
                <wp:lineTo x="0" y="0"/>
              </wp:wrapPolygon>
            </wp:wrapTight>
            <wp:docPr id="1073741829" name="Picture 10737418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469515" cy="1111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sz w:val="20"/>
          <w:szCs w:val="20"/>
        </w:rPr>
        <w:t xml:space="preserve">The Vulnerable,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 </w:t>
      </w:r>
      <w:hyperlink r:id="rId43" w:tooltip="view hispaniolan giant treefrog profile" w:history="1">
        <w:proofErr w:type="spellStart"/>
        <w:r w:rsidRPr="005516CD">
          <w:rPr>
            <w:rStyle w:val="Hyperlink"/>
            <w:rFonts w:asciiTheme="majorHAnsi" w:hAnsiTheme="majorHAnsi" w:cstheme="majorHAnsi"/>
            <w:b/>
            <w:sz w:val="20"/>
            <w:szCs w:val="20"/>
            <w:u w:val="none"/>
            <w:lang w:val="en-GB"/>
          </w:rPr>
          <w:t>Hispaniolan</w:t>
        </w:r>
        <w:proofErr w:type="spellEnd"/>
        <w:r w:rsidRPr="005516CD">
          <w:rPr>
            <w:rStyle w:val="Hyperlink"/>
            <w:rFonts w:asciiTheme="majorHAnsi" w:hAnsiTheme="majorHAnsi" w:cstheme="majorHAnsi"/>
            <w:b/>
            <w:sz w:val="20"/>
            <w:szCs w:val="20"/>
            <w:u w:val="none"/>
            <w:lang w:val="en-GB"/>
          </w:rPr>
          <w:t xml:space="preserve"> Giant Treefrog</w:t>
        </w:r>
      </w:hyperlink>
      <w:r w:rsidRPr="005516CD">
        <w:rPr>
          <w:rFonts w:asciiTheme="majorHAnsi" w:hAnsiTheme="majorHAnsi" w:cstheme="majorHAnsi"/>
          <w:b/>
          <w:i/>
          <w:sz w:val="20"/>
          <w:szCs w:val="20"/>
          <w:lang w:val="en-GB"/>
        </w:rPr>
        <w:t xml:space="preserve"> (</w:t>
      </w:r>
      <w:proofErr w:type="spellStart"/>
      <w:r w:rsidRPr="005516CD">
        <w:rPr>
          <w:rFonts w:asciiTheme="majorHAnsi" w:hAnsiTheme="majorHAnsi" w:cstheme="majorHAnsi"/>
          <w:b/>
          <w:i/>
          <w:sz w:val="20"/>
          <w:szCs w:val="20"/>
          <w:lang w:val="en-GB"/>
        </w:rPr>
        <w:t>Osteopilus</w:t>
      </w:r>
      <w:proofErr w:type="spellEnd"/>
      <w:r w:rsidRPr="005516CD">
        <w:rPr>
          <w:rFonts w:asciiTheme="majorHAnsi" w:hAnsiTheme="majorHAnsi" w:cstheme="majorHAnsi"/>
          <w:b/>
          <w:i/>
          <w:sz w:val="20"/>
          <w:szCs w:val="20"/>
          <w:lang w:val="en-GB"/>
        </w:rPr>
        <w:t xml:space="preserve"> vastus</w:t>
      </w:r>
      <w:r w:rsidRPr="005516CD">
        <w:rPr>
          <w:rFonts w:asciiTheme="majorHAnsi" w:hAnsiTheme="majorHAnsi" w:cstheme="majorHAnsi"/>
          <w:b/>
          <w:sz w:val="20"/>
          <w:szCs w:val="20"/>
          <w:lang w:val="en-GB"/>
        </w:rPr>
        <w:t>)</w:t>
      </w:r>
      <w:r w:rsidRPr="005516CD">
        <w:rPr>
          <w:rFonts w:asciiTheme="majorHAnsi" w:hAnsiTheme="majorHAnsi" w:cstheme="majorHAnsi"/>
          <w:sz w:val="20"/>
          <w:szCs w:val="20"/>
          <w:lang w:val="en-GB"/>
        </w:rPr>
        <w:t xml:space="preserve">, whose very patchy distribution in Hispaniola similarly suggests that it has declined from a previously more uniform distribution. It is found in mesic broadleaf </w:t>
      </w:r>
      <w:proofErr w:type="gramStart"/>
      <w:r w:rsidRPr="005516CD">
        <w:rPr>
          <w:rFonts w:asciiTheme="majorHAnsi" w:hAnsiTheme="majorHAnsi" w:cstheme="majorHAnsi"/>
          <w:sz w:val="20"/>
          <w:szCs w:val="20"/>
          <w:lang w:val="en-GB"/>
        </w:rPr>
        <w:t>forests, and</w:t>
      </w:r>
      <w:proofErr w:type="gramEnd"/>
      <w:r w:rsidRPr="005516CD">
        <w:rPr>
          <w:rFonts w:asciiTheme="majorHAnsi" w:hAnsiTheme="majorHAnsi" w:cstheme="majorHAnsi"/>
          <w:sz w:val="20"/>
          <w:szCs w:val="20"/>
          <w:lang w:val="en-GB"/>
        </w:rPr>
        <w:t xml:space="preserve"> has more recently been recorded in cacao and coffee plantations, pastures, and other types of crop agriculture (e.g., avocados and yams). Within these different habitat </w:t>
      </w:r>
      <w:proofErr w:type="gramStart"/>
      <w:r w:rsidRPr="005516CD">
        <w:rPr>
          <w:rFonts w:asciiTheme="majorHAnsi" w:hAnsiTheme="majorHAnsi" w:cstheme="majorHAnsi"/>
          <w:sz w:val="20"/>
          <w:szCs w:val="20"/>
          <w:lang w:val="en-GB"/>
        </w:rPr>
        <w:t>types</w:t>
      </w:r>
      <w:proofErr w:type="gramEnd"/>
      <w:r w:rsidRPr="005516CD">
        <w:rPr>
          <w:rFonts w:asciiTheme="majorHAnsi" w:hAnsiTheme="majorHAnsi" w:cstheme="majorHAnsi"/>
          <w:sz w:val="20"/>
          <w:szCs w:val="20"/>
          <w:lang w:val="en-GB"/>
        </w:rPr>
        <w:t xml:space="preserve"> it can often be found along creeks and streams. Although this frog is found in habitat types that are contained within a variety of different land uses, survey results suggest that it requires forests as the main habitat pockets to subsist within these different landscapes.</w:t>
      </w:r>
      <w:r w:rsidRPr="005516CD">
        <w:t xml:space="preserve"> </w:t>
      </w:r>
    </w:p>
    <w:p w14:paraId="1BAED808" w14:textId="77777777" w:rsidR="00732FCC" w:rsidRPr="005516CD" w:rsidRDefault="0094511C" w:rsidP="006B27F4">
      <w:pPr>
        <w:pStyle w:val="ListParagraph"/>
        <w:numPr>
          <w:ilvl w:val="0"/>
          <w:numId w:val="95"/>
        </w:numPr>
        <w:tabs>
          <w:tab w:val="left" w:pos="567"/>
        </w:tabs>
        <w:spacing w:after="120"/>
        <w:ind w:left="567" w:right="96"/>
        <w:jc w:val="both"/>
        <w:rPr>
          <w:rFonts w:asciiTheme="majorHAnsi" w:hAnsiTheme="majorHAnsi" w:cstheme="majorHAnsi"/>
          <w:sz w:val="20"/>
          <w:szCs w:val="20"/>
        </w:rPr>
      </w:pPr>
      <w:r w:rsidRPr="005516CD">
        <w:rPr>
          <w:noProof/>
          <w:lang w:eastAsia="en-US"/>
        </w:rPr>
        <w:drawing>
          <wp:anchor distT="0" distB="0" distL="114300" distR="114300" simplePos="0" relativeHeight="251744256" behindDoc="1" locked="0" layoutInCell="1" allowOverlap="1" wp14:anchorId="598F876C" wp14:editId="724B0FE0">
            <wp:simplePos x="0" y="0"/>
            <wp:positionH relativeFrom="column">
              <wp:posOffset>3141980</wp:posOffset>
            </wp:positionH>
            <wp:positionV relativeFrom="paragraph">
              <wp:posOffset>6985</wp:posOffset>
            </wp:positionV>
            <wp:extent cx="2497455" cy="953770"/>
            <wp:effectExtent l="0" t="0" r="0" b="0"/>
            <wp:wrapTight wrapText="bothSides">
              <wp:wrapPolygon edited="0">
                <wp:start x="0" y="0"/>
                <wp:lineTo x="0" y="21140"/>
                <wp:lineTo x="21419" y="21140"/>
                <wp:lineTo x="21419" y="0"/>
                <wp:lineTo x="0" y="0"/>
              </wp:wrapPolygon>
            </wp:wrapTight>
            <wp:docPr id="1073741830" name="Picture 1073741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extLst>
                        <a:ext uri="{28A0092B-C50C-407E-A947-70E740481C1C}">
                          <a14:useLocalDpi xmlns:a14="http://schemas.microsoft.com/office/drawing/2010/main" val="0"/>
                        </a:ext>
                      </a:extLst>
                    </a:blip>
                    <a:stretch>
                      <a:fillRect/>
                    </a:stretch>
                  </pic:blipFill>
                  <pic:spPr>
                    <a:xfrm>
                      <a:off x="0" y="0"/>
                      <a:ext cx="2497455" cy="953770"/>
                    </a:xfrm>
                    <a:prstGeom prst="rect">
                      <a:avLst/>
                    </a:prstGeom>
                  </pic:spPr>
                </pic:pic>
              </a:graphicData>
            </a:graphic>
            <wp14:sizeRelH relativeFrom="page">
              <wp14:pctWidth>0</wp14:pctWidth>
            </wp14:sizeRelH>
            <wp14:sizeRelV relativeFrom="page">
              <wp14:pctHeight>0</wp14:pctHeight>
            </wp14:sizeRelV>
          </wp:anchor>
        </w:drawing>
      </w:r>
      <w:r w:rsidR="00732FCC" w:rsidRPr="005516CD">
        <w:rPr>
          <w:rFonts w:asciiTheme="majorHAnsi" w:hAnsiTheme="majorHAnsi" w:cstheme="majorHAnsi"/>
          <w:sz w:val="20"/>
          <w:szCs w:val="20"/>
          <w:lang w:val="en-GB"/>
        </w:rPr>
        <w:t xml:space="preserve">The </w:t>
      </w:r>
      <w:hyperlink r:id="rId45" w:tooltip="view giant hispaniolan galliwasp profile" w:history="1">
        <w:r w:rsidR="00732FCC" w:rsidRPr="005516CD">
          <w:rPr>
            <w:rStyle w:val="Hyperlink"/>
            <w:rFonts w:asciiTheme="majorHAnsi" w:hAnsiTheme="majorHAnsi" w:cstheme="majorHAnsi"/>
            <w:b/>
            <w:sz w:val="20"/>
            <w:szCs w:val="20"/>
            <w:u w:val="none"/>
            <w:lang w:val="en-GB"/>
          </w:rPr>
          <w:t xml:space="preserve">Giant </w:t>
        </w:r>
        <w:proofErr w:type="spellStart"/>
        <w:r w:rsidR="00732FCC" w:rsidRPr="005516CD">
          <w:rPr>
            <w:rStyle w:val="Hyperlink"/>
            <w:rFonts w:asciiTheme="majorHAnsi" w:hAnsiTheme="majorHAnsi" w:cstheme="majorHAnsi"/>
            <w:b/>
            <w:sz w:val="20"/>
            <w:szCs w:val="20"/>
            <w:u w:val="none"/>
            <w:lang w:val="en-GB"/>
          </w:rPr>
          <w:t>Hispaniolan</w:t>
        </w:r>
        <w:proofErr w:type="spellEnd"/>
        <w:r w:rsidR="00732FCC" w:rsidRPr="005516CD">
          <w:rPr>
            <w:rStyle w:val="Hyperlink"/>
            <w:rFonts w:asciiTheme="majorHAnsi" w:hAnsiTheme="majorHAnsi" w:cstheme="majorHAnsi"/>
            <w:b/>
            <w:sz w:val="20"/>
            <w:szCs w:val="20"/>
            <w:u w:val="none"/>
            <w:lang w:val="en-GB"/>
          </w:rPr>
          <w:t xml:space="preserve"> </w:t>
        </w:r>
        <w:proofErr w:type="spellStart"/>
        <w:r w:rsidR="00732FCC" w:rsidRPr="005516CD">
          <w:rPr>
            <w:rStyle w:val="Hyperlink"/>
            <w:rFonts w:asciiTheme="majorHAnsi" w:hAnsiTheme="majorHAnsi" w:cstheme="majorHAnsi"/>
            <w:b/>
            <w:sz w:val="20"/>
            <w:szCs w:val="20"/>
            <w:u w:val="none"/>
            <w:lang w:val="en-GB"/>
          </w:rPr>
          <w:t>Galliwasp</w:t>
        </w:r>
        <w:proofErr w:type="spellEnd"/>
      </w:hyperlink>
      <w:r w:rsidR="00732FCC" w:rsidRPr="005516CD">
        <w:rPr>
          <w:rFonts w:asciiTheme="majorHAnsi" w:hAnsiTheme="majorHAnsi" w:cstheme="majorHAnsi"/>
          <w:b/>
          <w:i/>
          <w:sz w:val="20"/>
          <w:szCs w:val="20"/>
          <w:lang w:val="en-GB"/>
        </w:rPr>
        <w:t xml:space="preserve"> </w:t>
      </w:r>
      <w:proofErr w:type="spellStart"/>
      <w:r w:rsidR="00732FCC" w:rsidRPr="005516CD">
        <w:rPr>
          <w:rFonts w:asciiTheme="majorHAnsi" w:hAnsiTheme="majorHAnsi" w:cstheme="majorHAnsi"/>
          <w:b/>
          <w:i/>
          <w:sz w:val="20"/>
          <w:szCs w:val="20"/>
          <w:lang w:val="en-GB"/>
        </w:rPr>
        <w:t>Celestus</w:t>
      </w:r>
      <w:proofErr w:type="spellEnd"/>
      <w:r w:rsidR="00732FCC" w:rsidRPr="005516CD">
        <w:rPr>
          <w:rFonts w:asciiTheme="majorHAnsi" w:hAnsiTheme="majorHAnsi" w:cstheme="majorHAnsi"/>
          <w:b/>
          <w:i/>
          <w:sz w:val="20"/>
          <w:szCs w:val="20"/>
          <w:lang w:val="en-GB"/>
        </w:rPr>
        <w:t xml:space="preserve"> warren</w:t>
      </w:r>
      <w:r w:rsidR="00732FCC" w:rsidRPr="005516CD">
        <w:rPr>
          <w:rFonts w:asciiTheme="majorHAnsi" w:hAnsiTheme="majorHAnsi" w:cstheme="majorHAnsi"/>
          <w:i/>
          <w:sz w:val="20"/>
          <w:szCs w:val="20"/>
          <w:lang w:val="en-GB"/>
        </w:rPr>
        <w:t xml:space="preserve"> </w:t>
      </w:r>
      <w:r w:rsidR="00732FCC" w:rsidRPr="005516CD">
        <w:rPr>
          <w:rFonts w:asciiTheme="majorHAnsi" w:hAnsiTheme="majorHAnsi" w:cstheme="majorHAnsi"/>
          <w:sz w:val="20"/>
          <w:szCs w:val="20"/>
          <w:lang w:val="en-GB"/>
        </w:rPr>
        <w:t xml:space="preserve">is a </w:t>
      </w:r>
      <w:r w:rsidR="00732FCC" w:rsidRPr="005516CD">
        <w:rPr>
          <w:rFonts w:asciiTheme="majorHAnsi" w:hAnsiTheme="majorHAnsi" w:cstheme="majorHAnsi"/>
          <w:sz w:val="20"/>
          <w:szCs w:val="20"/>
        </w:rPr>
        <w:t xml:space="preserve">Vulnerable, </w:t>
      </w:r>
      <w:proofErr w:type="spellStart"/>
      <w:r w:rsidR="00732FCC" w:rsidRPr="005516CD">
        <w:rPr>
          <w:rFonts w:asciiTheme="majorHAnsi" w:hAnsiTheme="majorHAnsi" w:cstheme="majorHAnsi"/>
          <w:sz w:val="20"/>
          <w:szCs w:val="20"/>
        </w:rPr>
        <w:t>Hispaniolan</w:t>
      </w:r>
      <w:proofErr w:type="spellEnd"/>
      <w:r w:rsidR="00732FCC" w:rsidRPr="005516CD">
        <w:rPr>
          <w:rFonts w:asciiTheme="majorHAnsi" w:hAnsiTheme="majorHAnsi" w:cstheme="majorHAnsi"/>
          <w:sz w:val="20"/>
          <w:szCs w:val="20"/>
        </w:rPr>
        <w:t xml:space="preserve"> endemic species of </w:t>
      </w:r>
      <w:proofErr w:type="spellStart"/>
      <w:r w:rsidR="00732FCC" w:rsidRPr="005516CD">
        <w:rPr>
          <w:rFonts w:asciiTheme="majorHAnsi" w:hAnsiTheme="majorHAnsi" w:cstheme="majorHAnsi"/>
          <w:sz w:val="20"/>
          <w:szCs w:val="20"/>
        </w:rPr>
        <w:t>anguid</w:t>
      </w:r>
      <w:proofErr w:type="spellEnd"/>
      <w:r w:rsidR="00732FCC" w:rsidRPr="005516CD">
        <w:rPr>
          <w:rFonts w:asciiTheme="majorHAnsi" w:hAnsiTheme="majorHAnsi" w:cstheme="majorHAnsi"/>
          <w:sz w:val="20"/>
          <w:szCs w:val="20"/>
        </w:rPr>
        <w:t xml:space="preserve"> li</w:t>
      </w:r>
      <w:r w:rsidR="001E763B" w:rsidRPr="005516CD">
        <w:rPr>
          <w:rFonts w:asciiTheme="majorHAnsi" w:hAnsiTheme="majorHAnsi" w:cstheme="majorHAnsi"/>
          <w:sz w:val="20"/>
          <w:szCs w:val="20"/>
        </w:rPr>
        <w:t xml:space="preserve">zard. </w:t>
      </w:r>
      <w:r w:rsidR="001E763B" w:rsidRPr="005516CD">
        <w:rPr>
          <w:rFonts w:asciiTheme="majorHAnsi" w:hAnsiTheme="majorHAnsi" w:cstheme="majorHAnsi"/>
          <w:sz w:val="20"/>
          <w:szCs w:val="20"/>
          <w:lang w:val="en-GB"/>
        </w:rPr>
        <w:t>It is presumed to be a burrowing species that occurs in mesic lowland broadleaf forest, dry forest, banana groves and cacao plantations. There is a large geographical disconnect between its reported areas of occurrence in the north of the Dominican Republic and northern Haiti. It is listed as Vulnerable due to its limited distribution (with an extent of occurrence of 14,646 km</w:t>
      </w:r>
      <w:r w:rsidR="001E763B" w:rsidRPr="005516CD">
        <w:rPr>
          <w:rFonts w:asciiTheme="majorHAnsi" w:hAnsiTheme="majorHAnsi" w:cstheme="majorHAnsi"/>
          <w:sz w:val="20"/>
          <w:szCs w:val="20"/>
          <w:vertAlign w:val="superscript"/>
          <w:lang w:val="en-GB"/>
        </w:rPr>
        <w:t>2</w:t>
      </w:r>
      <w:r w:rsidR="001E763B" w:rsidRPr="005516CD">
        <w:rPr>
          <w:rFonts w:asciiTheme="majorHAnsi" w:hAnsiTheme="majorHAnsi" w:cstheme="majorHAnsi"/>
          <w:sz w:val="20"/>
          <w:szCs w:val="20"/>
          <w:lang w:val="en-GB"/>
        </w:rPr>
        <w:t>), fragmented subpopulations and ongoing threats include expanding agricultural activities, charcoal production, predation by cats, dogs and mongooses, it is killed by local people who mistakenly consider these lizards to be venomous, and it is on the illegal pet trade. It is only found in one small protected area.</w:t>
      </w:r>
      <w:r w:rsidR="001E763B" w:rsidRPr="005516CD">
        <w:rPr>
          <w:noProof/>
        </w:rPr>
        <w:t xml:space="preserve"> </w:t>
      </w:r>
    </w:p>
    <w:p w14:paraId="1DA275D6" w14:textId="77777777" w:rsidR="0094511C" w:rsidRPr="005516CD" w:rsidRDefault="00CC0C86" w:rsidP="006B27F4">
      <w:pPr>
        <w:pStyle w:val="ListParagraph"/>
        <w:numPr>
          <w:ilvl w:val="0"/>
          <w:numId w:val="95"/>
        </w:numPr>
        <w:tabs>
          <w:tab w:val="left" w:pos="567"/>
        </w:tabs>
        <w:spacing w:after="120"/>
        <w:ind w:left="567" w:right="96"/>
        <w:jc w:val="both"/>
        <w:rPr>
          <w:rFonts w:asciiTheme="majorHAnsi" w:hAnsiTheme="majorHAnsi" w:cstheme="majorHAnsi"/>
          <w:sz w:val="20"/>
          <w:szCs w:val="20"/>
        </w:rPr>
      </w:pPr>
      <w:r w:rsidRPr="005516CD">
        <w:rPr>
          <w:noProof/>
          <w:lang w:eastAsia="en-US"/>
        </w:rPr>
        <w:drawing>
          <wp:anchor distT="0" distB="0" distL="114300" distR="114300" simplePos="0" relativeHeight="251746304" behindDoc="1" locked="0" layoutInCell="1" allowOverlap="1" wp14:anchorId="44ACF5D1" wp14:editId="3A5F2D11">
            <wp:simplePos x="0" y="0"/>
            <wp:positionH relativeFrom="column">
              <wp:posOffset>3177540</wp:posOffset>
            </wp:positionH>
            <wp:positionV relativeFrom="paragraph">
              <wp:posOffset>32385</wp:posOffset>
            </wp:positionV>
            <wp:extent cx="2493645" cy="1172845"/>
            <wp:effectExtent l="0" t="0" r="1905" b="8255"/>
            <wp:wrapTight wrapText="bothSides">
              <wp:wrapPolygon edited="0">
                <wp:start x="0" y="0"/>
                <wp:lineTo x="0" y="21401"/>
                <wp:lineTo x="21451" y="21401"/>
                <wp:lineTo x="21451" y="0"/>
                <wp:lineTo x="0" y="0"/>
              </wp:wrapPolygon>
            </wp:wrapTight>
            <wp:docPr id="1073741832" name="Picture 1073741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493645" cy="11728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511C" w:rsidRPr="005516CD">
        <w:rPr>
          <w:rFonts w:asciiTheme="majorHAnsi" w:hAnsiTheme="majorHAnsi" w:cstheme="majorHAnsi"/>
          <w:sz w:val="20"/>
          <w:szCs w:val="20"/>
        </w:rPr>
        <w:t xml:space="preserve">The </w:t>
      </w:r>
      <w:r w:rsidR="0094511C" w:rsidRPr="005516CD">
        <w:rPr>
          <w:rFonts w:asciiTheme="majorHAnsi" w:hAnsiTheme="majorHAnsi" w:cstheme="majorHAnsi"/>
          <w:sz w:val="20"/>
          <w:szCs w:val="20"/>
          <w:lang w:val="en-GB"/>
        </w:rPr>
        <w:t>Vulnerable</w:t>
      </w:r>
      <w:r w:rsidR="0094511C" w:rsidRPr="005516CD">
        <w:rPr>
          <w:rFonts w:asciiTheme="majorHAnsi" w:hAnsiTheme="majorHAnsi" w:cstheme="majorHAnsi"/>
          <w:sz w:val="20"/>
          <w:szCs w:val="20"/>
        </w:rPr>
        <w:t xml:space="preserve">, </w:t>
      </w:r>
      <w:proofErr w:type="spellStart"/>
      <w:r w:rsidR="0094511C" w:rsidRPr="005516CD">
        <w:rPr>
          <w:rFonts w:asciiTheme="majorHAnsi" w:hAnsiTheme="majorHAnsi" w:cstheme="majorHAnsi"/>
          <w:sz w:val="20"/>
          <w:szCs w:val="20"/>
        </w:rPr>
        <w:t>Hispaniolan</w:t>
      </w:r>
      <w:proofErr w:type="spellEnd"/>
      <w:r w:rsidR="0094511C" w:rsidRPr="005516CD">
        <w:rPr>
          <w:rFonts w:asciiTheme="majorHAnsi" w:hAnsiTheme="majorHAnsi" w:cstheme="majorHAnsi"/>
          <w:sz w:val="20"/>
          <w:szCs w:val="20"/>
        </w:rPr>
        <w:t xml:space="preserve"> endemic </w:t>
      </w:r>
      <w:proofErr w:type="spellStart"/>
      <w:r w:rsidR="0094511C" w:rsidRPr="005516CD">
        <w:rPr>
          <w:rFonts w:asciiTheme="majorHAnsi" w:hAnsiTheme="majorHAnsi" w:cstheme="majorHAnsi"/>
          <w:b/>
          <w:sz w:val="20"/>
          <w:szCs w:val="20"/>
        </w:rPr>
        <w:t>Hispaniolan</w:t>
      </w:r>
      <w:proofErr w:type="spellEnd"/>
      <w:r w:rsidR="0094511C" w:rsidRPr="005516CD">
        <w:rPr>
          <w:rFonts w:asciiTheme="majorHAnsi" w:hAnsiTheme="majorHAnsi" w:cstheme="majorHAnsi"/>
          <w:b/>
          <w:sz w:val="20"/>
          <w:szCs w:val="20"/>
        </w:rPr>
        <w:t xml:space="preserve"> Parrot (</w:t>
      </w:r>
      <w:proofErr w:type="spellStart"/>
      <w:r w:rsidR="0094511C" w:rsidRPr="005516CD">
        <w:rPr>
          <w:rFonts w:asciiTheme="majorHAnsi" w:hAnsiTheme="majorHAnsi" w:cstheme="majorHAnsi"/>
          <w:b/>
          <w:i/>
          <w:sz w:val="20"/>
          <w:szCs w:val="20"/>
        </w:rPr>
        <w:t>Amazona</w:t>
      </w:r>
      <w:proofErr w:type="spellEnd"/>
      <w:r w:rsidR="0094511C" w:rsidRPr="005516CD">
        <w:rPr>
          <w:rFonts w:asciiTheme="majorHAnsi" w:hAnsiTheme="majorHAnsi" w:cstheme="majorHAnsi"/>
          <w:b/>
          <w:i/>
          <w:sz w:val="20"/>
          <w:szCs w:val="20"/>
        </w:rPr>
        <w:t xml:space="preserve"> </w:t>
      </w:r>
      <w:proofErr w:type="spellStart"/>
      <w:r w:rsidR="0094511C" w:rsidRPr="005516CD">
        <w:rPr>
          <w:rFonts w:asciiTheme="majorHAnsi" w:hAnsiTheme="majorHAnsi" w:cstheme="majorHAnsi"/>
          <w:b/>
          <w:i/>
          <w:sz w:val="20"/>
          <w:szCs w:val="20"/>
        </w:rPr>
        <w:t>ventralis</w:t>
      </w:r>
      <w:proofErr w:type="spellEnd"/>
      <w:r w:rsidR="0094511C" w:rsidRPr="005516CD">
        <w:rPr>
          <w:rFonts w:asciiTheme="majorHAnsi" w:hAnsiTheme="majorHAnsi" w:cstheme="majorHAnsi"/>
          <w:b/>
          <w:sz w:val="20"/>
          <w:szCs w:val="20"/>
        </w:rPr>
        <w:t>)</w:t>
      </w:r>
      <w:r w:rsidR="00B37E04" w:rsidRPr="005516CD">
        <w:rPr>
          <w:rFonts w:asciiTheme="majorHAnsi" w:hAnsiTheme="majorHAnsi" w:cstheme="majorHAnsi"/>
          <w:b/>
          <w:sz w:val="20"/>
          <w:szCs w:val="20"/>
        </w:rPr>
        <w:t xml:space="preserve"> </w:t>
      </w:r>
      <w:r w:rsidR="00B37E04" w:rsidRPr="005516CD">
        <w:rPr>
          <w:rFonts w:asciiTheme="majorHAnsi" w:hAnsiTheme="majorHAnsi" w:cstheme="majorHAnsi"/>
          <w:sz w:val="20"/>
          <w:szCs w:val="20"/>
          <w:lang w:val="en-GB"/>
        </w:rPr>
        <w:t>inhabits a variety of wooded habitats, from arid palm-savannah to pine and montane humid forest, up to and slightly above 1,500 m; it frequently forages in cultivated lands such as banana plantations and maize fields.</w:t>
      </w:r>
      <w:r w:rsidR="00765EC6" w:rsidRPr="005516CD">
        <w:rPr>
          <w:rFonts w:asciiTheme="majorHAnsi" w:hAnsiTheme="majorHAnsi" w:cstheme="majorHAnsi"/>
          <w:sz w:val="20"/>
          <w:szCs w:val="20"/>
          <w:lang w:val="en-GB"/>
        </w:rPr>
        <w:t xml:space="preserve"> Nests are situated in tree-cavities, and sometimes dead tree-stumps Agricultural conversion and charcoal production have destroyed most suitable habitat; it is also persecuted as a crop-pest, hunted for food and trapped for the local and formerly at least, international cage-bird trade.</w:t>
      </w:r>
      <w:r w:rsidRPr="005516CD">
        <w:rPr>
          <w:rFonts w:asciiTheme="majorHAnsi" w:hAnsiTheme="majorHAnsi" w:cstheme="majorHAnsi"/>
          <w:sz w:val="20"/>
          <w:szCs w:val="20"/>
          <w:lang w:val="en-GB"/>
        </w:rPr>
        <w:t xml:space="preserve"> </w:t>
      </w:r>
    </w:p>
    <w:p w14:paraId="7C8F5ECB" w14:textId="77777777" w:rsidR="00E92C05" w:rsidRPr="005516CD" w:rsidRDefault="00E0666D" w:rsidP="006B27F4">
      <w:pPr>
        <w:pStyle w:val="ListParagraph"/>
        <w:numPr>
          <w:ilvl w:val="0"/>
          <w:numId w:val="95"/>
        </w:numPr>
        <w:tabs>
          <w:tab w:val="left" w:pos="567"/>
        </w:tabs>
        <w:spacing w:after="120"/>
        <w:ind w:left="567" w:right="96"/>
        <w:jc w:val="both"/>
        <w:rPr>
          <w:rFonts w:asciiTheme="majorHAnsi" w:hAnsiTheme="majorHAnsi" w:cstheme="majorHAnsi"/>
          <w:sz w:val="20"/>
          <w:szCs w:val="20"/>
        </w:rPr>
      </w:pPr>
      <w:r w:rsidRPr="005516CD">
        <w:rPr>
          <w:rFonts w:asciiTheme="majorHAnsi" w:hAnsiTheme="majorHAnsi" w:cstheme="majorHAnsi"/>
          <w:noProof/>
          <w:sz w:val="20"/>
          <w:szCs w:val="20"/>
          <w:lang w:eastAsia="en-US"/>
        </w:rPr>
        <mc:AlternateContent>
          <mc:Choice Requires="wps">
            <w:drawing>
              <wp:anchor distT="45720" distB="45720" distL="114300" distR="114300" simplePos="0" relativeHeight="251756544" behindDoc="0" locked="0" layoutInCell="1" allowOverlap="1" wp14:anchorId="7050AC5B" wp14:editId="61F10E53">
                <wp:simplePos x="0" y="0"/>
                <wp:positionH relativeFrom="column">
                  <wp:posOffset>4983480</wp:posOffset>
                </wp:positionH>
                <wp:positionV relativeFrom="paragraph">
                  <wp:posOffset>6985</wp:posOffset>
                </wp:positionV>
                <wp:extent cx="624840" cy="255270"/>
                <wp:effectExtent l="0" t="0" r="0" b="0"/>
                <wp:wrapNone/>
                <wp:docPr id="10737418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 cy="255270"/>
                        </a:xfrm>
                        <a:prstGeom prst="rect">
                          <a:avLst/>
                        </a:prstGeom>
                        <a:noFill/>
                        <a:ln w="9525">
                          <a:noFill/>
                          <a:miter lim="800000"/>
                          <a:headEnd/>
                          <a:tailEnd/>
                        </a:ln>
                      </wps:spPr>
                      <wps:txbx>
                        <w:txbxContent>
                          <w:p w14:paraId="5D42F7E5" w14:textId="77777777" w:rsidR="00013DC5" w:rsidRPr="00E0666D" w:rsidRDefault="00013DC5" w:rsidP="00E0666D">
                            <w:pPr>
                              <w:jc w:val="center"/>
                              <w:rPr>
                                <w:rFonts w:asciiTheme="majorHAnsi" w:hAnsiTheme="majorHAnsi" w:cstheme="majorHAnsi"/>
                                <w:sz w:val="20"/>
                                <w:szCs w:val="20"/>
                              </w:rPr>
                            </w:pPr>
                            <w:r w:rsidRPr="00E0666D">
                              <w:rPr>
                                <w:rFonts w:asciiTheme="majorHAnsi" w:hAnsiTheme="majorHAnsi" w:cstheme="majorHAnsi"/>
                                <w:sz w:val="20"/>
                                <w:szCs w:val="20"/>
                              </w:rPr>
                              <w:t>Extinct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050AC5B" id="_x0000_s1036" type="#_x0000_t202" style="position:absolute;left:0;text-align:left;margin-left:392.4pt;margin-top:.55pt;width:49.2pt;height:20.1pt;z-index:25175654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" filled="f" stroked="f">
                <v:textbox style="mso-fit-shape-to-text:t">
                  <w:txbxContent>
                    <w:p w14:paraId="5D42F7E5" w14:textId="77777777" w:rsidR="00013DC5" w:rsidRPr="00E0666D" w:rsidRDefault="00013DC5" w:rsidP="00E0666D">
                      <w:pPr>
                        <w:jc w:val="center"/>
                        <w:rPr>
                          <w:rFonts w:asciiTheme="majorHAnsi" w:hAnsiTheme="majorHAnsi" w:cstheme="majorHAnsi"/>
                          <w:sz w:val="20"/>
                          <w:szCs w:val="20"/>
                        </w:rPr>
                      </w:pPr>
                      <w:r w:rsidRPr="00E0666D">
                        <w:rPr>
                          <w:rFonts w:asciiTheme="majorHAnsi" w:hAnsiTheme="majorHAnsi" w:cstheme="majorHAnsi"/>
                          <w:sz w:val="20"/>
                          <w:szCs w:val="20"/>
                        </w:rPr>
                        <w:t>Extinct</w:t>
                      </w:r>
                    </w:p>
                  </w:txbxContent>
                </v:textbox>
              </v:shape>
            </w:pict>
          </mc:Fallback>
        </mc:AlternateContent>
      </w:r>
      <w:r w:rsidRPr="005516CD">
        <w:rPr>
          <w:rFonts w:asciiTheme="majorHAnsi" w:hAnsiTheme="majorHAnsi" w:cstheme="majorHAnsi"/>
          <w:noProof/>
          <w:sz w:val="20"/>
          <w:szCs w:val="20"/>
          <w:lang w:eastAsia="en-US"/>
        </w:rPr>
        <mc:AlternateContent>
          <mc:Choice Requires="wps">
            <w:drawing>
              <wp:anchor distT="0" distB="0" distL="114300" distR="114300" simplePos="0" relativeHeight="251757568" behindDoc="0" locked="0" layoutInCell="1" allowOverlap="1" wp14:anchorId="77BF7C50" wp14:editId="0810F410">
                <wp:simplePos x="0" y="0"/>
                <wp:positionH relativeFrom="column">
                  <wp:posOffset>4907280</wp:posOffset>
                </wp:positionH>
                <wp:positionV relativeFrom="paragraph">
                  <wp:posOffset>220345</wp:posOffset>
                </wp:positionV>
                <wp:extent cx="373380" cy="312420"/>
                <wp:effectExtent l="38100" t="0" r="26670" b="49530"/>
                <wp:wrapNone/>
                <wp:docPr id="1073741840" name="Straight Arrow Connector 1073741840"/>
                <wp:cNvGraphicFramePr/>
                <a:graphic xmlns:a="http://schemas.openxmlformats.org/drawingml/2006/main">
                  <a:graphicData uri="http://schemas.microsoft.com/office/word/2010/wordprocessingShape">
                    <wps:wsp>
                      <wps:cNvCnPr/>
                      <wps:spPr>
                        <a:xfrm flipH="1">
                          <a:off x="0" y="0"/>
                          <a:ext cx="373380" cy="312420"/>
                        </a:xfrm>
                        <a:prstGeom prst="straightConnector1">
                          <a:avLst/>
                        </a:prstGeom>
                        <a:noFill/>
                        <a:ln w="9525" cap="flat">
                          <a:solidFill>
                            <a:schemeClr val="tx1"/>
                          </a:solidFill>
                          <a:prstDash val="solid"/>
                          <a:miter lim="800000"/>
                          <a:tailEnd type="triangle"/>
                        </a:ln>
                        <a:effectLst/>
                        <a:sp3d/>
                      </wps:spPr>
                      <wps:style>
                        <a:lnRef idx="0">
                          <a:scrgbClr r="0" g="0" b="0"/>
                        </a:lnRef>
                        <a:fillRef idx="0">
                          <a:scrgbClr r="0" g="0" b="0"/>
                        </a:fillRef>
                        <a:effectRef idx="0">
                          <a:scrgbClr r="0" g="0" b="0"/>
                        </a:effectRef>
                        <a:fontRef idx="none"/>
                      </wps:style>
                      <wps:bodyPr/>
                    </wps:wsp>
                  </a:graphicData>
                </a:graphic>
              </wp:anchor>
            </w:drawing>
          </mc:Choice>
          <mc:Fallback>
            <w:pict>
              <v:shape w14:anchorId="5F639303" id="Straight Arrow Connector 1073741840" o:spid="_x0000_s1026" type="#_x0000_t32" style="position:absolute;margin-left:386.4pt;margin-top:17.35pt;width:29.4pt;height:24.6pt;flip:x;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" strokecolor="black [3213]">
                <v:stroke endarrow="block" joinstyle="miter"/>
              </v:shape>
            </w:pict>
          </mc:Fallback>
        </mc:AlternateContent>
      </w:r>
      <w:r w:rsidR="00163780" w:rsidRPr="005516CD">
        <w:rPr>
          <w:noProof/>
          <w:lang w:eastAsia="en-US"/>
        </w:rPr>
        <w:drawing>
          <wp:anchor distT="0" distB="0" distL="114300" distR="114300" simplePos="0" relativeHeight="251748352" behindDoc="1" locked="0" layoutInCell="1" allowOverlap="1" wp14:anchorId="0D6FCBFA" wp14:editId="14F0F836">
            <wp:simplePos x="0" y="0"/>
            <wp:positionH relativeFrom="column">
              <wp:posOffset>3192780</wp:posOffset>
            </wp:positionH>
            <wp:positionV relativeFrom="paragraph">
              <wp:posOffset>6985</wp:posOffset>
            </wp:positionV>
            <wp:extent cx="2476500" cy="1219835"/>
            <wp:effectExtent l="0" t="0" r="0" b="0"/>
            <wp:wrapTight wrapText="bothSides">
              <wp:wrapPolygon edited="0">
                <wp:start x="0" y="0"/>
                <wp:lineTo x="0" y="21251"/>
                <wp:lineTo x="21434" y="21251"/>
                <wp:lineTo x="21434" y="0"/>
                <wp:lineTo x="0" y="0"/>
              </wp:wrapPolygon>
            </wp:wrapTight>
            <wp:docPr id="1073741833" name="Picture 10737418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476500" cy="1219835"/>
                    </a:xfrm>
                    <a:prstGeom prst="rect">
                      <a:avLst/>
                    </a:prstGeom>
                    <a:noFill/>
                    <a:ln>
                      <a:noFill/>
                    </a:ln>
                  </pic:spPr>
                </pic:pic>
              </a:graphicData>
            </a:graphic>
            <wp14:sizeRelH relativeFrom="page">
              <wp14:pctWidth>0</wp14:pctWidth>
            </wp14:sizeRelH>
            <wp14:sizeRelV relativeFrom="page">
              <wp14:pctHeight>0</wp14:pctHeight>
            </wp14:sizeRelV>
          </wp:anchor>
        </w:drawing>
      </w:r>
      <w:r w:rsidR="00E92C05" w:rsidRPr="005516CD">
        <w:rPr>
          <w:rFonts w:asciiTheme="majorHAnsi" w:hAnsiTheme="majorHAnsi" w:cstheme="majorHAnsi"/>
          <w:sz w:val="20"/>
          <w:szCs w:val="20"/>
        </w:rPr>
        <w:t xml:space="preserve">The </w:t>
      </w:r>
      <w:r w:rsidR="00E92C05" w:rsidRPr="005516CD">
        <w:rPr>
          <w:rFonts w:asciiTheme="majorHAnsi" w:hAnsiTheme="majorHAnsi" w:cstheme="majorHAnsi"/>
          <w:sz w:val="20"/>
          <w:szCs w:val="20"/>
          <w:lang w:val="en-GB"/>
        </w:rPr>
        <w:t>Vulnerable</w:t>
      </w:r>
      <w:r w:rsidR="00E92C05" w:rsidRPr="005516CD">
        <w:rPr>
          <w:rFonts w:asciiTheme="majorHAnsi" w:hAnsiTheme="majorHAnsi" w:cstheme="majorHAnsi"/>
          <w:sz w:val="20"/>
          <w:szCs w:val="20"/>
        </w:rPr>
        <w:t xml:space="preserve"> </w:t>
      </w:r>
      <w:proofErr w:type="spellStart"/>
      <w:r w:rsidR="00E92C05" w:rsidRPr="005516CD">
        <w:rPr>
          <w:rFonts w:asciiTheme="majorHAnsi" w:hAnsiTheme="majorHAnsi" w:cstheme="majorHAnsi"/>
          <w:sz w:val="20"/>
          <w:szCs w:val="20"/>
        </w:rPr>
        <w:t>Hispaniolan</w:t>
      </w:r>
      <w:proofErr w:type="spellEnd"/>
      <w:r w:rsidR="00E92C05" w:rsidRPr="005516CD">
        <w:rPr>
          <w:rFonts w:asciiTheme="majorHAnsi" w:hAnsiTheme="majorHAnsi" w:cstheme="majorHAnsi"/>
          <w:sz w:val="20"/>
          <w:szCs w:val="20"/>
        </w:rPr>
        <w:t xml:space="preserve"> endemic</w:t>
      </w:r>
      <w:r w:rsidR="00E92C05" w:rsidRPr="005516CD">
        <w:rPr>
          <w:rFonts w:asciiTheme="majorHAnsi" w:hAnsiTheme="majorHAnsi" w:cstheme="majorHAnsi"/>
          <w:sz w:val="20"/>
          <w:szCs w:val="20"/>
          <w:lang w:val="en-GB"/>
        </w:rPr>
        <w:t xml:space="preserve"> </w:t>
      </w:r>
      <w:hyperlink r:id="rId48" w:tooltip="view white-necked crow profile" w:history="1">
        <w:r w:rsidR="00E92C05" w:rsidRPr="005516CD">
          <w:rPr>
            <w:rStyle w:val="Hyperlink"/>
            <w:rFonts w:asciiTheme="majorHAnsi" w:hAnsiTheme="majorHAnsi" w:cstheme="majorHAnsi"/>
            <w:b/>
            <w:sz w:val="20"/>
            <w:szCs w:val="20"/>
            <w:u w:val="none"/>
            <w:lang w:val="en-GB"/>
          </w:rPr>
          <w:t>White-necked Crow</w:t>
        </w:r>
      </w:hyperlink>
      <w:r w:rsidR="00E92C05" w:rsidRPr="005516CD">
        <w:rPr>
          <w:rFonts w:asciiTheme="majorHAnsi" w:hAnsiTheme="majorHAnsi" w:cstheme="majorHAnsi"/>
          <w:b/>
          <w:sz w:val="20"/>
          <w:szCs w:val="20"/>
        </w:rPr>
        <w:t xml:space="preserve"> (</w:t>
      </w:r>
      <w:proofErr w:type="spellStart"/>
      <w:r w:rsidR="00E92C05" w:rsidRPr="005516CD">
        <w:rPr>
          <w:rFonts w:asciiTheme="majorHAnsi" w:hAnsiTheme="majorHAnsi" w:cstheme="majorHAnsi"/>
          <w:b/>
          <w:i/>
          <w:sz w:val="20"/>
          <w:szCs w:val="20"/>
          <w:lang w:val="en-GB"/>
        </w:rPr>
        <w:t>Corvus</w:t>
      </w:r>
      <w:proofErr w:type="spellEnd"/>
      <w:r w:rsidR="00E92C05" w:rsidRPr="005516CD">
        <w:rPr>
          <w:rFonts w:asciiTheme="majorHAnsi" w:hAnsiTheme="majorHAnsi" w:cstheme="majorHAnsi"/>
          <w:b/>
          <w:i/>
          <w:sz w:val="20"/>
          <w:szCs w:val="20"/>
          <w:lang w:val="en-GB"/>
        </w:rPr>
        <w:t xml:space="preserve"> </w:t>
      </w:r>
      <w:proofErr w:type="spellStart"/>
      <w:r w:rsidR="00E92C05" w:rsidRPr="005516CD">
        <w:rPr>
          <w:rFonts w:asciiTheme="majorHAnsi" w:hAnsiTheme="majorHAnsi" w:cstheme="majorHAnsi"/>
          <w:b/>
          <w:i/>
          <w:sz w:val="20"/>
          <w:szCs w:val="20"/>
          <w:lang w:val="en-GB"/>
        </w:rPr>
        <w:t>leucognaphalus</w:t>
      </w:r>
      <w:proofErr w:type="spellEnd"/>
      <w:r w:rsidR="00E92C05" w:rsidRPr="005516CD">
        <w:rPr>
          <w:rFonts w:asciiTheme="majorHAnsi" w:hAnsiTheme="majorHAnsi" w:cstheme="majorHAnsi"/>
          <w:b/>
          <w:sz w:val="20"/>
          <w:szCs w:val="20"/>
          <w:lang w:val="en-GB"/>
        </w:rPr>
        <w:t>)</w:t>
      </w:r>
      <w:r w:rsidR="001841B9" w:rsidRPr="005516CD">
        <w:rPr>
          <w:rFonts w:asciiTheme="majorHAnsi" w:hAnsiTheme="majorHAnsi" w:cstheme="majorHAnsi"/>
          <w:b/>
          <w:sz w:val="20"/>
          <w:szCs w:val="20"/>
          <w:lang w:val="en-GB"/>
        </w:rPr>
        <w:t xml:space="preserve"> </w:t>
      </w:r>
      <w:r w:rsidR="001841B9" w:rsidRPr="005516CD">
        <w:rPr>
          <w:rFonts w:asciiTheme="majorHAnsi" w:hAnsiTheme="majorHAnsi" w:cstheme="majorHAnsi"/>
          <w:sz w:val="20"/>
          <w:szCs w:val="20"/>
          <w:lang w:val="en-GB"/>
        </w:rPr>
        <w:t>has declined rapidly since the early 1980s, and the population and range are now small, fragmented and continuing to decline. It inhabits lowland and montane wooded regions, where it probably favours old, mature forest; it is intolerant of degraded habitats or areas opened up by forest clearance</w:t>
      </w:r>
      <w:r w:rsidR="00163780" w:rsidRPr="005516CD">
        <w:rPr>
          <w:rFonts w:asciiTheme="majorHAnsi" w:hAnsiTheme="majorHAnsi" w:cstheme="majorHAnsi"/>
          <w:sz w:val="20"/>
          <w:szCs w:val="20"/>
          <w:lang w:val="en-GB"/>
        </w:rPr>
        <w:t xml:space="preserve">, although its mapped current range does apparently include areas of highly altered landscape in Haiti; </w:t>
      </w:r>
      <w:r w:rsidR="006914B2" w:rsidRPr="005516CD">
        <w:rPr>
          <w:rFonts w:asciiTheme="majorHAnsi" w:hAnsiTheme="majorHAnsi" w:cstheme="majorHAnsi"/>
          <w:sz w:val="20"/>
          <w:szCs w:val="20"/>
          <w:lang w:val="en-GB"/>
        </w:rPr>
        <w:t>so the potential for it to be benefited by actions focused on increasing the tree component in the middle altitude moist agroecosystem requires further analysis</w:t>
      </w:r>
      <w:r w:rsidR="001841B9" w:rsidRPr="005516CD">
        <w:rPr>
          <w:rFonts w:asciiTheme="majorHAnsi" w:hAnsiTheme="majorHAnsi" w:cstheme="majorHAnsi"/>
          <w:sz w:val="20"/>
          <w:szCs w:val="20"/>
          <w:lang w:val="en-GB"/>
        </w:rPr>
        <w:t xml:space="preserve">. </w:t>
      </w:r>
    </w:p>
    <w:p w14:paraId="23347999" w14:textId="77777777" w:rsidR="00163780" w:rsidRPr="005516CD" w:rsidRDefault="00593056" w:rsidP="006B27F4">
      <w:pPr>
        <w:pStyle w:val="ListParagraph"/>
        <w:numPr>
          <w:ilvl w:val="0"/>
          <w:numId w:val="95"/>
        </w:numPr>
        <w:tabs>
          <w:tab w:val="left" w:pos="567"/>
        </w:tabs>
        <w:spacing w:after="120"/>
        <w:ind w:left="567" w:right="96"/>
        <w:jc w:val="both"/>
        <w:rPr>
          <w:rFonts w:asciiTheme="majorHAnsi" w:hAnsiTheme="majorHAnsi" w:cstheme="majorHAnsi"/>
          <w:sz w:val="20"/>
          <w:szCs w:val="20"/>
        </w:rPr>
      </w:pPr>
      <w:r w:rsidRPr="005516CD">
        <w:rPr>
          <w:rFonts w:asciiTheme="majorHAnsi" w:hAnsiTheme="majorHAnsi" w:cstheme="majorHAnsi"/>
          <w:noProof/>
          <w:sz w:val="20"/>
          <w:szCs w:val="20"/>
          <w:lang w:eastAsia="en-US"/>
        </w:rPr>
        <w:drawing>
          <wp:anchor distT="0" distB="0" distL="114300" distR="114300" simplePos="0" relativeHeight="251749376" behindDoc="1" locked="0" layoutInCell="1" allowOverlap="1" wp14:anchorId="7B6EE08B" wp14:editId="67A925C9">
            <wp:simplePos x="0" y="0"/>
            <wp:positionH relativeFrom="column">
              <wp:posOffset>4023360</wp:posOffset>
            </wp:positionH>
            <wp:positionV relativeFrom="paragraph">
              <wp:posOffset>9525</wp:posOffset>
            </wp:positionV>
            <wp:extent cx="1645920" cy="1214120"/>
            <wp:effectExtent l="0" t="0" r="0" b="5080"/>
            <wp:wrapTight wrapText="bothSides">
              <wp:wrapPolygon edited="0">
                <wp:start x="0" y="0"/>
                <wp:lineTo x="0" y="21351"/>
                <wp:lineTo x="21250" y="21351"/>
                <wp:lineTo x="21250" y="0"/>
                <wp:lineTo x="0" y="0"/>
              </wp:wrapPolygon>
            </wp:wrapTight>
            <wp:docPr id="1073741835" name="Picture 1073741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645920" cy="1214120"/>
                    </a:xfrm>
                    <a:prstGeom prst="rect">
                      <a:avLst/>
                    </a:prstGeom>
                    <a:noFill/>
                    <a:ln>
                      <a:noFill/>
                    </a:ln>
                  </pic:spPr>
                </pic:pic>
              </a:graphicData>
            </a:graphic>
            <wp14:sizeRelH relativeFrom="page">
              <wp14:pctWidth>0</wp14:pctWidth>
            </wp14:sizeRelH>
            <wp14:sizeRelV relativeFrom="page">
              <wp14:pctHeight>0</wp14:pctHeight>
            </wp14:sizeRelV>
          </wp:anchor>
        </w:drawing>
      </w:r>
      <w:r w:rsidR="00163780" w:rsidRPr="005516CD">
        <w:rPr>
          <w:rFonts w:asciiTheme="majorHAnsi" w:hAnsiTheme="majorHAnsi" w:cstheme="majorHAnsi"/>
          <w:sz w:val="20"/>
          <w:szCs w:val="20"/>
        </w:rPr>
        <w:t xml:space="preserve">The Near Threatened </w:t>
      </w:r>
      <w:r w:rsidR="00163780" w:rsidRPr="005516CD">
        <w:rPr>
          <w:rFonts w:asciiTheme="majorHAnsi" w:hAnsiTheme="majorHAnsi" w:cstheme="majorHAnsi"/>
          <w:b/>
          <w:sz w:val="20"/>
          <w:szCs w:val="20"/>
        </w:rPr>
        <w:t>Palm Crow (</w:t>
      </w:r>
      <w:proofErr w:type="spellStart"/>
      <w:r w:rsidR="00163780" w:rsidRPr="005516CD">
        <w:rPr>
          <w:rFonts w:asciiTheme="majorHAnsi" w:hAnsiTheme="majorHAnsi" w:cstheme="majorHAnsi"/>
          <w:b/>
          <w:i/>
          <w:sz w:val="20"/>
          <w:szCs w:val="20"/>
        </w:rPr>
        <w:t>Corvus</w:t>
      </w:r>
      <w:proofErr w:type="spellEnd"/>
      <w:r w:rsidR="00163780" w:rsidRPr="005516CD">
        <w:rPr>
          <w:rFonts w:asciiTheme="majorHAnsi" w:hAnsiTheme="majorHAnsi" w:cstheme="majorHAnsi"/>
          <w:b/>
          <w:i/>
          <w:sz w:val="20"/>
          <w:szCs w:val="20"/>
        </w:rPr>
        <w:t xml:space="preserve"> </w:t>
      </w:r>
      <w:proofErr w:type="spellStart"/>
      <w:r w:rsidR="00163780" w:rsidRPr="005516CD">
        <w:rPr>
          <w:rFonts w:asciiTheme="majorHAnsi" w:hAnsiTheme="majorHAnsi" w:cstheme="majorHAnsi"/>
          <w:b/>
          <w:i/>
          <w:sz w:val="20"/>
          <w:szCs w:val="20"/>
        </w:rPr>
        <w:t>palmarum</w:t>
      </w:r>
      <w:proofErr w:type="spellEnd"/>
      <w:r w:rsidR="00163780" w:rsidRPr="005516CD">
        <w:rPr>
          <w:rFonts w:asciiTheme="majorHAnsi" w:hAnsiTheme="majorHAnsi" w:cstheme="majorHAnsi"/>
          <w:b/>
          <w:sz w:val="20"/>
          <w:szCs w:val="20"/>
        </w:rPr>
        <w:t>)</w:t>
      </w:r>
      <w:r w:rsidR="00163780" w:rsidRPr="005516CD">
        <w:rPr>
          <w:rFonts w:asciiTheme="majorHAnsi" w:hAnsiTheme="majorHAnsi" w:cstheme="majorHAnsi"/>
          <w:sz w:val="20"/>
          <w:szCs w:val="20"/>
        </w:rPr>
        <w:t xml:space="preserve"> occurs only in Hispaniola and </w:t>
      </w:r>
      <w:r w:rsidR="00163780" w:rsidRPr="005516CD">
        <w:rPr>
          <w:rFonts w:asciiTheme="majorHAnsi" w:hAnsiTheme="majorHAnsi" w:cstheme="majorHAnsi"/>
          <w:sz w:val="20"/>
          <w:szCs w:val="20"/>
          <w:lang w:val="en-GB"/>
        </w:rPr>
        <w:t>Cuba</w:t>
      </w:r>
      <w:r w:rsidR="00163780" w:rsidRPr="005516CD">
        <w:rPr>
          <w:rFonts w:asciiTheme="majorHAnsi" w:hAnsiTheme="majorHAnsi" w:cstheme="majorHAnsi"/>
          <w:sz w:val="20"/>
          <w:szCs w:val="20"/>
        </w:rPr>
        <w:t xml:space="preserve"> (a separate race, whose range has significantly declined). The </w:t>
      </w:r>
      <w:proofErr w:type="spellStart"/>
      <w:r w:rsidR="00163780" w:rsidRPr="005516CD">
        <w:rPr>
          <w:rFonts w:asciiTheme="majorHAnsi" w:hAnsiTheme="majorHAnsi" w:cstheme="majorHAnsi"/>
          <w:sz w:val="20"/>
          <w:szCs w:val="20"/>
        </w:rPr>
        <w:t>Hispaniolan</w:t>
      </w:r>
      <w:proofErr w:type="spellEnd"/>
      <w:r w:rsidR="00163780" w:rsidRPr="005516CD">
        <w:rPr>
          <w:rFonts w:asciiTheme="majorHAnsi" w:hAnsiTheme="majorHAnsi" w:cstheme="majorHAnsi"/>
          <w:sz w:val="20"/>
          <w:szCs w:val="20"/>
        </w:rPr>
        <w:t xml:space="preserve"> race </w:t>
      </w:r>
      <w:r w:rsidR="00163780" w:rsidRPr="005516CD">
        <w:rPr>
          <w:rFonts w:asciiTheme="majorHAnsi" w:hAnsiTheme="majorHAnsi" w:cstheme="majorHAnsi"/>
          <w:sz w:val="20"/>
          <w:szCs w:val="20"/>
          <w:lang w:val="en-GB"/>
        </w:rPr>
        <w:t xml:space="preserve">has decreased, and in Haiti it only remains locally common in the Massif de la </w:t>
      </w:r>
      <w:proofErr w:type="spellStart"/>
      <w:r w:rsidR="00163780" w:rsidRPr="005516CD">
        <w:rPr>
          <w:rFonts w:asciiTheme="majorHAnsi" w:hAnsiTheme="majorHAnsi" w:cstheme="majorHAnsi"/>
          <w:sz w:val="20"/>
          <w:szCs w:val="20"/>
          <w:lang w:val="en-GB"/>
        </w:rPr>
        <w:t>Selle</w:t>
      </w:r>
      <w:proofErr w:type="spellEnd"/>
      <w:r w:rsidR="00163780" w:rsidRPr="005516CD">
        <w:rPr>
          <w:rFonts w:asciiTheme="majorHAnsi" w:hAnsiTheme="majorHAnsi" w:cstheme="majorHAnsi"/>
          <w:sz w:val="20"/>
          <w:szCs w:val="20"/>
          <w:lang w:val="en-GB"/>
        </w:rPr>
        <w:t xml:space="preserve"> and the northern pine belt. </w:t>
      </w:r>
      <w:r w:rsidR="00163780" w:rsidRPr="005516CD">
        <w:rPr>
          <w:rFonts w:asciiTheme="majorHAnsi" w:hAnsiTheme="majorHAnsi" w:cstheme="majorHAnsi"/>
          <w:sz w:val="20"/>
          <w:szCs w:val="20"/>
        </w:rPr>
        <w:t xml:space="preserve">On Hispaniola its decline is a result of widespread forest clearance for agriculture and probably also hunting for food: </w:t>
      </w:r>
      <w:r w:rsidRPr="005516CD">
        <w:rPr>
          <w:rFonts w:asciiTheme="majorHAnsi" w:hAnsiTheme="majorHAnsi" w:cstheme="majorHAnsi"/>
          <w:sz w:val="20"/>
          <w:szCs w:val="20"/>
        </w:rPr>
        <w:t>t</w:t>
      </w:r>
      <w:r w:rsidR="00163780" w:rsidRPr="005516CD">
        <w:rPr>
          <w:rFonts w:asciiTheme="majorHAnsi" w:hAnsiTheme="majorHAnsi" w:cstheme="majorHAnsi"/>
          <w:sz w:val="20"/>
          <w:szCs w:val="20"/>
        </w:rPr>
        <w:t>he species is extremely intolerant of humans and now lives in municipalities with the lowest human population densities</w:t>
      </w:r>
      <w:r w:rsidRPr="005516CD">
        <w:rPr>
          <w:rFonts w:asciiTheme="majorHAnsi" w:hAnsiTheme="majorHAnsi" w:cstheme="majorHAnsi"/>
          <w:sz w:val="20"/>
          <w:szCs w:val="20"/>
        </w:rPr>
        <w:t xml:space="preserve">. </w:t>
      </w:r>
      <w:r w:rsidR="00163780" w:rsidRPr="005516CD">
        <w:rPr>
          <w:rFonts w:asciiTheme="majorHAnsi" w:hAnsiTheme="majorHAnsi" w:cstheme="majorHAnsi"/>
          <w:sz w:val="20"/>
          <w:szCs w:val="20"/>
        </w:rPr>
        <w:t xml:space="preserve"> </w:t>
      </w:r>
    </w:p>
    <w:p w14:paraId="2F29B322" w14:textId="77777777" w:rsidR="00163780" w:rsidRPr="005516CD" w:rsidRDefault="00E0666D" w:rsidP="006B27F4">
      <w:pPr>
        <w:pStyle w:val="ListParagraph"/>
        <w:numPr>
          <w:ilvl w:val="0"/>
          <w:numId w:val="95"/>
        </w:numPr>
        <w:tabs>
          <w:tab w:val="left" w:pos="567"/>
        </w:tabs>
        <w:spacing w:after="120"/>
        <w:ind w:left="567" w:right="96"/>
        <w:jc w:val="both"/>
        <w:rPr>
          <w:rFonts w:asciiTheme="majorHAnsi" w:hAnsiTheme="majorHAnsi" w:cstheme="majorHAnsi"/>
          <w:sz w:val="20"/>
          <w:szCs w:val="20"/>
        </w:rPr>
      </w:pPr>
      <w:r w:rsidRPr="005516CD">
        <w:rPr>
          <w:rFonts w:asciiTheme="majorHAnsi" w:hAnsiTheme="majorHAnsi" w:cstheme="majorHAnsi"/>
          <w:noProof/>
          <w:sz w:val="20"/>
          <w:szCs w:val="20"/>
          <w:lang w:eastAsia="en-US"/>
        </w:rPr>
        <mc:AlternateContent>
          <mc:Choice Requires="wps">
            <w:drawing>
              <wp:anchor distT="0" distB="0" distL="114300" distR="114300" simplePos="0" relativeHeight="251754496" behindDoc="0" locked="0" layoutInCell="1" allowOverlap="1" wp14:anchorId="5F1B826F" wp14:editId="3D67C42D">
                <wp:simplePos x="0" y="0"/>
                <wp:positionH relativeFrom="column">
                  <wp:posOffset>4945380</wp:posOffset>
                </wp:positionH>
                <wp:positionV relativeFrom="paragraph">
                  <wp:posOffset>370205</wp:posOffset>
                </wp:positionV>
                <wp:extent cx="373380" cy="312420"/>
                <wp:effectExtent l="38100" t="0" r="26670" b="49530"/>
                <wp:wrapNone/>
                <wp:docPr id="1073741838" name="Straight Arrow Connector 1073741838"/>
                <wp:cNvGraphicFramePr/>
                <a:graphic xmlns:a="http://schemas.openxmlformats.org/drawingml/2006/main">
                  <a:graphicData uri="http://schemas.microsoft.com/office/word/2010/wordprocessingShape">
                    <wps:wsp>
                      <wps:cNvCnPr/>
                      <wps:spPr>
                        <a:xfrm flipH="1">
                          <a:off x="0" y="0"/>
                          <a:ext cx="373380" cy="312420"/>
                        </a:xfrm>
                        <a:prstGeom prst="straightConnector1">
                          <a:avLst/>
                        </a:prstGeom>
                        <a:noFill/>
                        <a:ln w="9525" cap="flat">
                          <a:solidFill>
                            <a:schemeClr val="tx1"/>
                          </a:solidFill>
                          <a:prstDash val="solid"/>
                          <a:miter lim="800000"/>
                          <a:tailEnd type="triangle"/>
                        </a:ln>
                        <a:effectLst/>
                        <a:sp3d/>
                      </wps:spPr>
                      <wps:style>
                        <a:lnRef idx="0">
                          <a:scrgbClr r="0" g="0" b="0"/>
                        </a:lnRef>
                        <a:fillRef idx="0">
                          <a:scrgbClr r="0" g="0" b="0"/>
                        </a:fillRef>
                        <a:effectRef idx="0">
                          <a:scrgbClr r="0" g="0" b="0"/>
                        </a:effectRef>
                        <a:fontRef idx="none"/>
                      </wps:style>
                      <wps:bodyPr/>
                    </wps:wsp>
                  </a:graphicData>
                </a:graphic>
              </wp:anchor>
            </w:drawing>
          </mc:Choice>
          <mc:Fallback>
            <w:pict>
              <v:shape w14:anchorId="1277AB9E" id="Straight Arrow Connector 1073741838" o:spid="_x0000_s1026" type="#_x0000_t32" style="position:absolute;margin-left:389.4pt;margin-top:29.15pt;width:29.4pt;height:24.6pt;flip:x;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" strokecolor="black [3213]">
                <v:stroke endarrow="block" joinstyle="miter"/>
              </v:shape>
            </w:pict>
          </mc:Fallback>
        </mc:AlternateContent>
      </w:r>
      <w:r w:rsidRPr="005516CD">
        <w:rPr>
          <w:rFonts w:asciiTheme="majorHAnsi" w:hAnsiTheme="majorHAnsi" w:cstheme="majorHAnsi"/>
          <w:noProof/>
          <w:sz w:val="20"/>
          <w:szCs w:val="20"/>
          <w:lang w:eastAsia="en-US"/>
        </w:rPr>
        <mc:AlternateContent>
          <mc:Choice Requires="wps">
            <w:drawing>
              <wp:anchor distT="45720" distB="45720" distL="114300" distR="114300" simplePos="0" relativeHeight="251753472" behindDoc="0" locked="0" layoutInCell="1" allowOverlap="1" wp14:anchorId="50DDC2BF" wp14:editId="6684EF67">
                <wp:simplePos x="0" y="0"/>
                <wp:positionH relativeFrom="column">
                  <wp:posOffset>5021580</wp:posOffset>
                </wp:positionH>
                <wp:positionV relativeFrom="paragraph">
                  <wp:posOffset>156845</wp:posOffset>
                </wp:positionV>
                <wp:extent cx="624840" cy="255270"/>
                <wp:effectExtent l="0" t="0" r="0" b="0"/>
                <wp:wrapNone/>
                <wp:docPr id="10737418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 cy="255270"/>
                        </a:xfrm>
                        <a:prstGeom prst="rect">
                          <a:avLst/>
                        </a:prstGeom>
                        <a:noFill/>
                        <a:ln w="9525">
                          <a:noFill/>
                          <a:miter lim="800000"/>
                          <a:headEnd/>
                          <a:tailEnd/>
                        </a:ln>
                      </wps:spPr>
                      <wps:txbx>
                        <w:txbxContent>
                          <w:p w14:paraId="6EBDEFDC" w14:textId="77777777" w:rsidR="00013DC5" w:rsidRPr="00E0666D" w:rsidRDefault="00013DC5" w:rsidP="00E0666D">
                            <w:pPr>
                              <w:jc w:val="center"/>
                              <w:rPr>
                                <w:rFonts w:asciiTheme="majorHAnsi" w:hAnsiTheme="majorHAnsi" w:cstheme="majorHAnsi"/>
                                <w:sz w:val="20"/>
                                <w:szCs w:val="20"/>
                              </w:rPr>
                            </w:pPr>
                            <w:r w:rsidRPr="00E0666D">
                              <w:rPr>
                                <w:rFonts w:asciiTheme="majorHAnsi" w:hAnsiTheme="majorHAnsi" w:cstheme="majorHAnsi"/>
                                <w:sz w:val="20"/>
                                <w:szCs w:val="20"/>
                              </w:rPr>
                              <w:t>Extinct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0DDC2BF" id="_x0000_s1037" type="#_x0000_t202" style="position:absolute;left:0;text-align:left;margin-left:395.4pt;margin-top:12.35pt;width:49.2pt;height:20.1pt;z-index:2517534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" filled="f" stroked="f">
                <v:textbox style="mso-fit-shape-to-text:t">
                  <w:txbxContent>
                    <w:p w14:paraId="6EBDEFDC" w14:textId="77777777" w:rsidR="00013DC5" w:rsidRPr="00E0666D" w:rsidRDefault="00013DC5" w:rsidP="00E0666D">
                      <w:pPr>
                        <w:jc w:val="center"/>
                        <w:rPr>
                          <w:rFonts w:asciiTheme="majorHAnsi" w:hAnsiTheme="majorHAnsi" w:cstheme="majorHAnsi"/>
                          <w:sz w:val="20"/>
                          <w:szCs w:val="20"/>
                        </w:rPr>
                      </w:pPr>
                      <w:r w:rsidRPr="00E0666D">
                        <w:rPr>
                          <w:rFonts w:asciiTheme="majorHAnsi" w:hAnsiTheme="majorHAnsi" w:cstheme="majorHAnsi"/>
                          <w:sz w:val="20"/>
                          <w:szCs w:val="20"/>
                        </w:rPr>
                        <w:t>Extinct</w:t>
                      </w:r>
                    </w:p>
                  </w:txbxContent>
                </v:textbox>
              </v:shape>
            </w:pict>
          </mc:Fallback>
        </mc:AlternateContent>
      </w:r>
      <w:r w:rsidRPr="005516CD">
        <w:rPr>
          <w:b/>
          <w:noProof/>
          <w:lang w:eastAsia="en-US"/>
        </w:rPr>
        <w:drawing>
          <wp:anchor distT="0" distB="0" distL="114300" distR="114300" simplePos="0" relativeHeight="251751424" behindDoc="1" locked="0" layoutInCell="1" allowOverlap="1" wp14:anchorId="14E13057" wp14:editId="1E083EFE">
            <wp:simplePos x="0" y="0"/>
            <wp:positionH relativeFrom="column">
              <wp:posOffset>3299460</wp:posOffset>
            </wp:positionH>
            <wp:positionV relativeFrom="paragraph">
              <wp:posOffset>57785</wp:posOffset>
            </wp:positionV>
            <wp:extent cx="2368550" cy="1312545"/>
            <wp:effectExtent l="0" t="0" r="0" b="1905"/>
            <wp:wrapTight wrapText="bothSides">
              <wp:wrapPolygon edited="0">
                <wp:start x="0" y="0"/>
                <wp:lineTo x="0" y="21318"/>
                <wp:lineTo x="21368" y="21318"/>
                <wp:lineTo x="21368" y="0"/>
                <wp:lineTo x="0" y="0"/>
              </wp:wrapPolygon>
            </wp:wrapTight>
            <wp:docPr id="1073741836" name="Picture 10737418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368550" cy="13125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516CD">
        <w:rPr>
          <w:rFonts w:asciiTheme="majorHAnsi" w:hAnsiTheme="majorHAnsi" w:cstheme="majorHAnsi"/>
          <w:sz w:val="20"/>
          <w:szCs w:val="20"/>
        </w:rPr>
        <w:t xml:space="preserve">The </w:t>
      </w:r>
      <w:r w:rsidRPr="005516CD">
        <w:rPr>
          <w:rFonts w:asciiTheme="majorHAnsi" w:hAnsiTheme="majorHAnsi" w:cstheme="majorHAnsi"/>
          <w:sz w:val="20"/>
          <w:szCs w:val="20"/>
          <w:lang w:val="en-GB"/>
        </w:rPr>
        <w:t>Vulnerable</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w:t>
      </w:r>
      <w:r w:rsidRPr="005516CD">
        <w:rPr>
          <w:rFonts w:asciiTheme="majorHAnsi" w:hAnsiTheme="majorHAnsi" w:cstheme="majorHAnsi"/>
          <w:sz w:val="20"/>
          <w:szCs w:val="20"/>
          <w:lang w:val="en-GB"/>
        </w:rPr>
        <w:t xml:space="preserve"> </w:t>
      </w:r>
      <w:proofErr w:type="spellStart"/>
      <w:r w:rsidRPr="005516CD">
        <w:rPr>
          <w:rFonts w:asciiTheme="majorHAnsi" w:hAnsiTheme="majorHAnsi" w:cstheme="majorHAnsi"/>
          <w:b/>
          <w:sz w:val="20"/>
          <w:szCs w:val="20"/>
          <w:lang w:val="en-GB"/>
        </w:rPr>
        <w:t>Hispaniolan</w:t>
      </w:r>
      <w:proofErr w:type="spellEnd"/>
      <w:r w:rsidRPr="005516CD">
        <w:rPr>
          <w:rFonts w:asciiTheme="majorHAnsi" w:hAnsiTheme="majorHAnsi" w:cstheme="majorHAnsi"/>
          <w:b/>
          <w:sz w:val="20"/>
          <w:szCs w:val="20"/>
          <w:lang w:val="en-GB"/>
        </w:rPr>
        <w:t xml:space="preserve"> Parakeet</w:t>
      </w:r>
      <w:r w:rsidRPr="005516CD">
        <w:rPr>
          <w:rFonts w:asciiTheme="majorHAnsi" w:hAnsiTheme="majorHAnsi" w:cstheme="majorHAnsi"/>
          <w:b/>
          <w:i/>
          <w:sz w:val="20"/>
          <w:szCs w:val="20"/>
          <w:lang w:val="en-GB"/>
        </w:rPr>
        <w:t xml:space="preserve"> </w:t>
      </w:r>
      <w:r w:rsidRPr="005516CD">
        <w:rPr>
          <w:rFonts w:asciiTheme="majorHAnsi" w:hAnsiTheme="majorHAnsi" w:cstheme="majorHAnsi"/>
          <w:b/>
          <w:sz w:val="20"/>
          <w:szCs w:val="20"/>
          <w:lang w:val="en-GB"/>
        </w:rPr>
        <w:t>(</w:t>
      </w:r>
      <w:proofErr w:type="spellStart"/>
      <w:r w:rsidRPr="005516CD">
        <w:rPr>
          <w:rFonts w:asciiTheme="majorHAnsi" w:hAnsiTheme="majorHAnsi" w:cstheme="majorHAnsi"/>
          <w:b/>
          <w:i/>
          <w:sz w:val="20"/>
          <w:szCs w:val="20"/>
          <w:lang w:val="en-GB"/>
        </w:rPr>
        <w:t>Psittacara</w:t>
      </w:r>
      <w:proofErr w:type="spellEnd"/>
      <w:r w:rsidRPr="005516CD">
        <w:rPr>
          <w:rFonts w:asciiTheme="majorHAnsi" w:hAnsiTheme="majorHAnsi" w:cstheme="majorHAnsi"/>
          <w:b/>
          <w:i/>
          <w:sz w:val="20"/>
          <w:szCs w:val="20"/>
          <w:lang w:val="en-GB"/>
        </w:rPr>
        <w:t xml:space="preserve"> </w:t>
      </w:r>
      <w:proofErr w:type="spellStart"/>
      <w:r w:rsidRPr="005516CD">
        <w:rPr>
          <w:rFonts w:asciiTheme="majorHAnsi" w:hAnsiTheme="majorHAnsi" w:cstheme="majorHAnsi"/>
          <w:b/>
          <w:i/>
          <w:sz w:val="20"/>
          <w:szCs w:val="20"/>
          <w:lang w:val="en-GB"/>
        </w:rPr>
        <w:t>chloropterus</w:t>
      </w:r>
      <w:proofErr w:type="spellEnd"/>
      <w:r w:rsidRPr="005516CD">
        <w:rPr>
          <w:rFonts w:asciiTheme="majorHAnsi" w:hAnsiTheme="majorHAnsi" w:cstheme="majorHAnsi"/>
          <w:sz w:val="20"/>
          <w:szCs w:val="20"/>
          <w:lang w:val="en-GB"/>
        </w:rPr>
        <w:t xml:space="preserve"> synonym </w:t>
      </w:r>
      <w:proofErr w:type="spellStart"/>
      <w:r w:rsidRPr="005516CD">
        <w:rPr>
          <w:rFonts w:asciiTheme="majorHAnsi" w:hAnsiTheme="majorHAnsi" w:cstheme="majorHAnsi"/>
          <w:i/>
          <w:sz w:val="20"/>
          <w:szCs w:val="20"/>
          <w:lang w:val="en-GB"/>
        </w:rPr>
        <w:t>Aratinga</w:t>
      </w:r>
      <w:proofErr w:type="spellEnd"/>
      <w:r w:rsidRPr="005516CD">
        <w:rPr>
          <w:rFonts w:asciiTheme="majorHAnsi" w:hAnsiTheme="majorHAnsi" w:cstheme="majorHAnsi"/>
          <w:i/>
          <w:sz w:val="20"/>
          <w:szCs w:val="20"/>
          <w:lang w:val="en-GB"/>
        </w:rPr>
        <w:t xml:space="preserve"> </w:t>
      </w:r>
      <w:proofErr w:type="spellStart"/>
      <w:r w:rsidRPr="005516CD">
        <w:rPr>
          <w:rFonts w:asciiTheme="majorHAnsi" w:hAnsiTheme="majorHAnsi" w:cstheme="majorHAnsi"/>
          <w:i/>
          <w:sz w:val="20"/>
          <w:szCs w:val="20"/>
          <w:lang w:val="en-GB"/>
        </w:rPr>
        <w:t>chloroptera</w:t>
      </w:r>
      <w:proofErr w:type="spellEnd"/>
      <w:r w:rsidRPr="005516CD">
        <w:rPr>
          <w:rFonts w:asciiTheme="majorHAnsi" w:hAnsiTheme="majorHAnsi" w:cstheme="majorHAnsi"/>
          <w:sz w:val="20"/>
          <w:szCs w:val="20"/>
          <w:lang w:val="en-GB"/>
        </w:rPr>
        <w:t xml:space="preserve">) has a small and fragmented range and population, which continues to decline as a result of habitat loss and persecution. It has been suggested that it may be extinct in Haiti, but there are claims that it is common in the Massif de la </w:t>
      </w:r>
      <w:proofErr w:type="spellStart"/>
      <w:r w:rsidRPr="005516CD">
        <w:rPr>
          <w:rFonts w:asciiTheme="majorHAnsi" w:hAnsiTheme="majorHAnsi" w:cstheme="majorHAnsi"/>
          <w:sz w:val="20"/>
          <w:szCs w:val="20"/>
          <w:lang w:val="en-GB"/>
        </w:rPr>
        <w:t>Selle</w:t>
      </w:r>
      <w:proofErr w:type="spellEnd"/>
      <w:r w:rsidRPr="005516CD">
        <w:rPr>
          <w:rFonts w:asciiTheme="majorHAnsi" w:hAnsiTheme="majorHAnsi" w:cstheme="majorHAnsi"/>
          <w:sz w:val="20"/>
          <w:szCs w:val="20"/>
          <w:lang w:val="en-GB"/>
        </w:rPr>
        <w:t xml:space="preserve"> and la </w:t>
      </w:r>
      <w:proofErr w:type="spellStart"/>
      <w:r w:rsidRPr="005516CD">
        <w:rPr>
          <w:rFonts w:asciiTheme="majorHAnsi" w:hAnsiTheme="majorHAnsi" w:cstheme="majorHAnsi"/>
          <w:sz w:val="20"/>
          <w:szCs w:val="20"/>
          <w:lang w:val="en-GB"/>
        </w:rPr>
        <w:t>Citadelle</w:t>
      </w:r>
      <w:proofErr w:type="spellEnd"/>
      <w:r w:rsidRPr="005516CD">
        <w:rPr>
          <w:rFonts w:asciiTheme="majorHAnsi" w:hAnsiTheme="majorHAnsi" w:cstheme="majorHAnsi"/>
          <w:sz w:val="20"/>
          <w:szCs w:val="20"/>
          <w:lang w:val="en-GB"/>
        </w:rPr>
        <w:t xml:space="preserve"> area of the Massif du Nord. It inhabits all kinds of natural habitat from montane forest to arid lowland forest, palm-savannah and open woodland, and ranges into agricultural land and second growth. Nesting takes place in tree-cavities or arboreal termite nests. </w:t>
      </w:r>
    </w:p>
    <w:p w14:paraId="6DC9DCF1" w14:textId="77777777" w:rsidR="00FE259B" w:rsidRPr="005516CD" w:rsidRDefault="00C26D4D" w:rsidP="006B27F4">
      <w:pPr>
        <w:pStyle w:val="ListParagraph"/>
        <w:numPr>
          <w:ilvl w:val="0"/>
          <w:numId w:val="95"/>
        </w:numPr>
        <w:tabs>
          <w:tab w:val="left" w:pos="567"/>
        </w:tabs>
        <w:spacing w:after="120"/>
        <w:ind w:left="567" w:right="96"/>
        <w:jc w:val="both"/>
        <w:rPr>
          <w:rFonts w:asciiTheme="majorHAnsi" w:hAnsiTheme="majorHAnsi" w:cstheme="majorHAnsi"/>
          <w:sz w:val="20"/>
          <w:szCs w:val="20"/>
        </w:rPr>
      </w:pPr>
      <w:r w:rsidRPr="005516CD">
        <w:rPr>
          <w:noProof/>
          <w:lang w:eastAsia="en-US"/>
        </w:rPr>
        <w:drawing>
          <wp:anchor distT="0" distB="0" distL="114300" distR="114300" simplePos="0" relativeHeight="251759616" behindDoc="1" locked="0" layoutInCell="1" allowOverlap="1" wp14:anchorId="3D655164" wp14:editId="72F04F3A">
            <wp:simplePos x="0" y="0"/>
            <wp:positionH relativeFrom="column">
              <wp:posOffset>3798570</wp:posOffset>
            </wp:positionH>
            <wp:positionV relativeFrom="paragraph">
              <wp:posOffset>14605</wp:posOffset>
            </wp:positionV>
            <wp:extent cx="1851660" cy="1158240"/>
            <wp:effectExtent l="0" t="0" r="0" b="3810"/>
            <wp:wrapTight wrapText="bothSides">
              <wp:wrapPolygon edited="0">
                <wp:start x="0" y="0"/>
                <wp:lineTo x="0" y="21316"/>
                <wp:lineTo x="21333" y="21316"/>
                <wp:lineTo x="21333" y="0"/>
                <wp:lineTo x="0" y="0"/>
              </wp:wrapPolygon>
            </wp:wrapTight>
            <wp:docPr id="1073741841" name="Picture 1073741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851660" cy="1158240"/>
                    </a:xfrm>
                    <a:prstGeom prst="rect">
                      <a:avLst/>
                    </a:prstGeom>
                    <a:noFill/>
                    <a:ln>
                      <a:noFill/>
                    </a:ln>
                  </pic:spPr>
                </pic:pic>
              </a:graphicData>
            </a:graphic>
            <wp14:sizeRelH relativeFrom="page">
              <wp14:pctWidth>0</wp14:pctWidth>
            </wp14:sizeRelH>
            <wp14:sizeRelV relativeFrom="page">
              <wp14:pctHeight>0</wp14:pctHeight>
            </wp14:sizeRelV>
          </wp:anchor>
        </w:drawing>
      </w:r>
      <w:r w:rsidR="00E90A02" w:rsidRPr="005516CD">
        <w:rPr>
          <w:rFonts w:asciiTheme="majorHAnsi" w:hAnsiTheme="majorHAnsi" w:cstheme="majorHAnsi"/>
          <w:sz w:val="20"/>
          <w:szCs w:val="20"/>
          <w:lang w:val="en-GB"/>
        </w:rPr>
        <w:t xml:space="preserve">The Near Threatened, </w:t>
      </w:r>
      <w:proofErr w:type="spellStart"/>
      <w:r w:rsidR="00E90A02" w:rsidRPr="005516CD">
        <w:rPr>
          <w:rFonts w:asciiTheme="majorHAnsi" w:hAnsiTheme="majorHAnsi" w:cstheme="majorHAnsi"/>
          <w:sz w:val="20"/>
          <w:szCs w:val="20"/>
          <w:lang w:val="en-GB"/>
        </w:rPr>
        <w:t>Hispaniolan</w:t>
      </w:r>
      <w:proofErr w:type="spellEnd"/>
      <w:r w:rsidR="00E90A02" w:rsidRPr="005516CD">
        <w:rPr>
          <w:rFonts w:asciiTheme="majorHAnsi" w:hAnsiTheme="majorHAnsi" w:cstheme="majorHAnsi"/>
          <w:sz w:val="20"/>
          <w:szCs w:val="20"/>
          <w:lang w:val="en-GB"/>
        </w:rPr>
        <w:t xml:space="preserve"> endemic </w:t>
      </w:r>
      <w:hyperlink r:id="rId52" w:tooltip="view least pauraque profile" w:history="1">
        <w:r w:rsidR="00E90A02" w:rsidRPr="005516CD">
          <w:rPr>
            <w:rStyle w:val="Hyperlink"/>
            <w:rFonts w:asciiTheme="majorHAnsi" w:hAnsiTheme="majorHAnsi" w:cstheme="majorHAnsi"/>
            <w:b/>
            <w:sz w:val="20"/>
            <w:szCs w:val="20"/>
            <w:u w:val="none"/>
            <w:lang w:val="en-GB"/>
          </w:rPr>
          <w:t>Least Pauraque</w:t>
        </w:r>
      </w:hyperlink>
      <w:r w:rsidR="00E90A02" w:rsidRPr="005516CD">
        <w:rPr>
          <w:rFonts w:asciiTheme="majorHAnsi" w:hAnsiTheme="majorHAnsi" w:cstheme="majorHAnsi"/>
          <w:b/>
          <w:sz w:val="20"/>
          <w:szCs w:val="20"/>
          <w:lang w:val="en-GB"/>
        </w:rPr>
        <w:t>/Poorwill (</w:t>
      </w:r>
      <w:proofErr w:type="spellStart"/>
      <w:r w:rsidR="00E90A02" w:rsidRPr="005516CD">
        <w:rPr>
          <w:rFonts w:asciiTheme="majorHAnsi" w:hAnsiTheme="majorHAnsi" w:cstheme="majorHAnsi"/>
          <w:b/>
          <w:i/>
          <w:sz w:val="20"/>
          <w:szCs w:val="20"/>
          <w:lang w:val="en-GB"/>
        </w:rPr>
        <w:t>Siphonorhis</w:t>
      </w:r>
      <w:proofErr w:type="spellEnd"/>
      <w:r w:rsidR="00E90A02" w:rsidRPr="005516CD">
        <w:rPr>
          <w:rFonts w:asciiTheme="majorHAnsi" w:hAnsiTheme="majorHAnsi" w:cstheme="majorHAnsi"/>
          <w:b/>
          <w:i/>
          <w:sz w:val="20"/>
          <w:szCs w:val="20"/>
          <w:lang w:val="en-GB"/>
        </w:rPr>
        <w:t xml:space="preserve"> </w:t>
      </w:r>
      <w:proofErr w:type="spellStart"/>
      <w:r w:rsidR="00E90A02" w:rsidRPr="005516CD">
        <w:rPr>
          <w:rFonts w:asciiTheme="majorHAnsi" w:hAnsiTheme="majorHAnsi" w:cstheme="majorHAnsi"/>
          <w:b/>
          <w:i/>
          <w:sz w:val="20"/>
          <w:szCs w:val="20"/>
          <w:lang w:val="en-GB"/>
        </w:rPr>
        <w:t>brewsteri</w:t>
      </w:r>
      <w:proofErr w:type="spellEnd"/>
      <w:r w:rsidR="00E90A02" w:rsidRPr="005516CD">
        <w:rPr>
          <w:rFonts w:asciiTheme="majorHAnsi" w:hAnsiTheme="majorHAnsi" w:cstheme="majorHAnsi"/>
          <w:b/>
          <w:sz w:val="20"/>
          <w:szCs w:val="20"/>
          <w:lang w:val="en-GB"/>
        </w:rPr>
        <w:t>)</w:t>
      </w:r>
      <w:r w:rsidRPr="005516CD">
        <w:rPr>
          <w:rFonts w:asciiTheme="majorHAnsi" w:hAnsiTheme="majorHAnsi" w:cstheme="majorHAnsi"/>
          <w:b/>
          <w:sz w:val="20"/>
          <w:szCs w:val="20"/>
          <w:lang w:val="en-GB"/>
        </w:rPr>
        <w:t xml:space="preserve"> </w:t>
      </w:r>
      <w:r w:rsidRPr="005516CD">
        <w:rPr>
          <w:rFonts w:asciiTheme="majorHAnsi" w:hAnsiTheme="majorHAnsi" w:cstheme="majorHAnsi"/>
          <w:sz w:val="20"/>
          <w:szCs w:val="20"/>
          <w:lang w:val="en-GB"/>
        </w:rPr>
        <w:t>is believed to have moderately small and declining populations owing to habitat loss and degradation. It is found in arid or semi-arid lowlands, especially scrubby woodland, and also broadleaf, pine or mixed forest up to 800 m.</w:t>
      </w:r>
    </w:p>
    <w:p w14:paraId="742DEF3A" w14:textId="77777777" w:rsidR="00FE259B" w:rsidRPr="005516CD" w:rsidRDefault="00FE259B" w:rsidP="007B146B">
      <w:pPr>
        <w:pStyle w:val="ListParagraph"/>
        <w:tabs>
          <w:tab w:val="left" w:pos="567"/>
        </w:tabs>
        <w:spacing w:after="120"/>
        <w:ind w:left="567" w:right="96"/>
        <w:jc w:val="both"/>
        <w:rPr>
          <w:rFonts w:asciiTheme="majorHAnsi" w:hAnsiTheme="majorHAnsi" w:cstheme="majorHAnsi"/>
          <w:sz w:val="20"/>
          <w:szCs w:val="20"/>
        </w:rPr>
      </w:pPr>
    </w:p>
    <w:p w14:paraId="213F70A5" w14:textId="77777777" w:rsidR="00163780" w:rsidRPr="005516CD" w:rsidRDefault="00FE259B" w:rsidP="006B27F4">
      <w:pPr>
        <w:pStyle w:val="ListParagraph"/>
        <w:numPr>
          <w:ilvl w:val="0"/>
          <w:numId w:val="95"/>
        </w:numPr>
        <w:tabs>
          <w:tab w:val="left" w:pos="567"/>
        </w:tabs>
        <w:spacing w:after="120"/>
        <w:ind w:left="567" w:right="96" w:hanging="357"/>
        <w:jc w:val="both"/>
        <w:rPr>
          <w:rFonts w:asciiTheme="majorHAnsi" w:hAnsiTheme="majorHAnsi" w:cstheme="majorHAnsi"/>
          <w:sz w:val="20"/>
          <w:szCs w:val="20"/>
          <w:lang w:val="en-GB"/>
        </w:rPr>
      </w:pPr>
      <w:r w:rsidRPr="005516CD">
        <w:rPr>
          <w:b/>
          <w:noProof/>
          <w:lang w:eastAsia="en-US"/>
        </w:rPr>
        <w:drawing>
          <wp:anchor distT="0" distB="0" distL="114300" distR="114300" simplePos="0" relativeHeight="251761664" behindDoc="1" locked="0" layoutInCell="1" allowOverlap="1" wp14:anchorId="081C657A" wp14:editId="446DA11B">
            <wp:simplePos x="0" y="0"/>
            <wp:positionH relativeFrom="column">
              <wp:posOffset>3337560</wp:posOffset>
            </wp:positionH>
            <wp:positionV relativeFrom="paragraph">
              <wp:posOffset>7620</wp:posOffset>
            </wp:positionV>
            <wp:extent cx="2339340" cy="1165225"/>
            <wp:effectExtent l="0" t="0" r="3810" b="0"/>
            <wp:wrapTight wrapText="bothSides">
              <wp:wrapPolygon edited="0">
                <wp:start x="0" y="0"/>
                <wp:lineTo x="0" y="21188"/>
                <wp:lineTo x="21459" y="21188"/>
                <wp:lineTo x="21459" y="0"/>
                <wp:lineTo x="0" y="0"/>
              </wp:wrapPolygon>
            </wp:wrapTight>
            <wp:docPr id="1073741842" name="Picture 1073741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339340" cy="1165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sz w:val="20"/>
          <w:szCs w:val="20"/>
          <w:lang w:val="en-GB"/>
        </w:rPr>
        <w:t xml:space="preserve">The Vulnerable </w:t>
      </w:r>
      <w:hyperlink r:id="rId54" w:tooltip="view minor red bat profile" w:history="1">
        <w:r w:rsidRPr="005516CD">
          <w:rPr>
            <w:rFonts w:asciiTheme="majorHAnsi" w:hAnsiTheme="majorHAnsi" w:cstheme="majorHAnsi"/>
            <w:sz w:val="20"/>
            <w:szCs w:val="20"/>
            <w:lang w:val="en-GB"/>
          </w:rPr>
          <w:t>Minor Red Bat</w:t>
        </w:r>
      </w:hyperlink>
      <w:r w:rsidRPr="005516CD">
        <w:rPr>
          <w:rFonts w:asciiTheme="majorHAnsi" w:hAnsiTheme="majorHAnsi" w:cstheme="majorHAnsi"/>
          <w:sz w:val="20"/>
          <w:szCs w:val="20"/>
          <w:lang w:val="en-GB"/>
        </w:rPr>
        <w:t xml:space="preserve"> (</w:t>
      </w:r>
      <w:r w:rsidRPr="005516CD">
        <w:rPr>
          <w:rFonts w:asciiTheme="majorHAnsi" w:hAnsiTheme="majorHAnsi" w:cstheme="majorHAnsi"/>
          <w:i/>
          <w:sz w:val="20"/>
          <w:szCs w:val="20"/>
          <w:lang w:val="en-GB"/>
        </w:rPr>
        <w:t>Lasiurus minor</w:t>
      </w:r>
      <w:r w:rsidRPr="005516CD">
        <w:rPr>
          <w:rFonts w:asciiTheme="majorHAnsi" w:hAnsiTheme="majorHAnsi" w:cstheme="majorHAnsi"/>
          <w:sz w:val="20"/>
          <w:szCs w:val="20"/>
          <w:lang w:val="en-GB"/>
        </w:rPr>
        <w:t xml:space="preserve">) has a small geographic range, </w:t>
      </w:r>
      <w:proofErr w:type="spellStart"/>
      <w:r w:rsidRPr="005516CD">
        <w:rPr>
          <w:rFonts w:asciiTheme="majorHAnsi" w:hAnsiTheme="majorHAnsi" w:cstheme="majorHAnsi"/>
          <w:sz w:val="20"/>
          <w:szCs w:val="20"/>
          <w:lang w:val="en-GB"/>
        </w:rPr>
        <w:t>occuring</w:t>
      </w:r>
      <w:proofErr w:type="spellEnd"/>
      <w:r w:rsidRPr="005516CD">
        <w:rPr>
          <w:rFonts w:asciiTheme="majorHAnsi" w:hAnsiTheme="majorHAnsi" w:cstheme="majorHAnsi"/>
          <w:sz w:val="20"/>
          <w:szCs w:val="20"/>
          <w:lang w:val="en-GB"/>
        </w:rPr>
        <w:t xml:space="preserve"> in less than 15 localities in only three Caribbean islands (Puerto Rico, Bahamas and Hispaniola). It rests among the leaves of trees and does not take shelter in tree hollows, buildings, or caves; it is a swift flier but not highly manoeuvrable, consequently, it typically forages in open areas (above the canopy, in woodland open areas, and along forest edges).</w:t>
      </w:r>
      <w:r w:rsidRPr="005516CD">
        <w:rPr>
          <w:b/>
        </w:rPr>
        <w:t xml:space="preserve"> </w:t>
      </w:r>
    </w:p>
    <w:p w14:paraId="19D12510" w14:textId="77777777" w:rsidR="00B21894" w:rsidRPr="005516CD" w:rsidRDefault="00B2189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promotion of tree cover in this belt also has the potential to benefit migrating Nearctic warblers such as the </w:t>
      </w:r>
      <w:r w:rsidRPr="005516CD">
        <w:rPr>
          <w:rFonts w:asciiTheme="majorHAnsi" w:hAnsiTheme="majorHAnsi" w:cstheme="majorHAnsi"/>
          <w:b/>
          <w:sz w:val="20"/>
          <w:szCs w:val="20"/>
        </w:rPr>
        <w:t>Blackpoll warbler (</w:t>
      </w:r>
      <w:proofErr w:type="spellStart"/>
      <w:r w:rsidRPr="005516CD">
        <w:rPr>
          <w:rFonts w:asciiTheme="majorHAnsi" w:hAnsiTheme="majorHAnsi" w:cstheme="majorHAnsi"/>
          <w:b/>
          <w:i/>
          <w:iCs/>
          <w:sz w:val="20"/>
          <w:szCs w:val="20"/>
        </w:rPr>
        <w:t>Setophaga</w:t>
      </w:r>
      <w:proofErr w:type="spellEnd"/>
      <w:r w:rsidRPr="005516CD">
        <w:rPr>
          <w:rFonts w:asciiTheme="majorHAnsi" w:hAnsiTheme="majorHAnsi" w:cstheme="majorHAnsi"/>
          <w:b/>
          <w:i/>
          <w:iCs/>
          <w:sz w:val="20"/>
          <w:szCs w:val="20"/>
        </w:rPr>
        <w:t xml:space="preserve"> </w:t>
      </w:r>
      <w:proofErr w:type="spellStart"/>
      <w:r w:rsidRPr="005516CD">
        <w:rPr>
          <w:rFonts w:asciiTheme="majorHAnsi" w:hAnsiTheme="majorHAnsi" w:cstheme="majorHAnsi"/>
          <w:b/>
          <w:i/>
          <w:iCs/>
          <w:sz w:val="20"/>
          <w:szCs w:val="20"/>
        </w:rPr>
        <w:t>striata</w:t>
      </w:r>
      <w:proofErr w:type="spellEnd"/>
      <w:r w:rsidRPr="005516CD">
        <w:rPr>
          <w:rFonts w:asciiTheme="majorHAnsi" w:hAnsiTheme="majorHAnsi" w:cstheme="majorHAnsi"/>
          <w:b/>
          <w:iCs/>
          <w:sz w:val="20"/>
          <w:szCs w:val="20"/>
        </w:rPr>
        <w:t>)</w:t>
      </w:r>
      <w:r w:rsidR="009223F3" w:rsidRPr="005516CD">
        <w:rPr>
          <w:rFonts w:asciiTheme="majorHAnsi" w:hAnsiTheme="majorHAnsi" w:cstheme="majorHAnsi"/>
          <w:iCs/>
          <w:sz w:val="20"/>
          <w:szCs w:val="20"/>
        </w:rPr>
        <w:t xml:space="preserve"> and </w:t>
      </w:r>
      <w:r w:rsidR="009223F3" w:rsidRPr="005516CD">
        <w:rPr>
          <w:rFonts w:asciiTheme="majorHAnsi" w:hAnsiTheme="majorHAnsi" w:cstheme="majorHAnsi"/>
          <w:b/>
          <w:iCs/>
          <w:sz w:val="20"/>
          <w:szCs w:val="20"/>
        </w:rPr>
        <w:t>Connecticut warbler (</w:t>
      </w:r>
      <w:proofErr w:type="spellStart"/>
      <w:r w:rsidR="009223F3" w:rsidRPr="005516CD">
        <w:rPr>
          <w:rFonts w:asciiTheme="majorHAnsi" w:hAnsiTheme="majorHAnsi" w:cstheme="majorHAnsi"/>
          <w:b/>
          <w:i/>
          <w:iCs/>
          <w:sz w:val="20"/>
          <w:szCs w:val="20"/>
        </w:rPr>
        <w:t>Oporornis</w:t>
      </w:r>
      <w:proofErr w:type="spellEnd"/>
      <w:r w:rsidR="009223F3" w:rsidRPr="005516CD">
        <w:rPr>
          <w:rFonts w:asciiTheme="majorHAnsi" w:hAnsiTheme="majorHAnsi" w:cstheme="majorHAnsi"/>
          <w:b/>
          <w:i/>
          <w:iCs/>
          <w:sz w:val="20"/>
          <w:szCs w:val="20"/>
        </w:rPr>
        <w:t xml:space="preserve"> </w:t>
      </w:r>
      <w:proofErr w:type="spellStart"/>
      <w:r w:rsidR="009223F3" w:rsidRPr="005516CD">
        <w:rPr>
          <w:rFonts w:asciiTheme="majorHAnsi" w:hAnsiTheme="majorHAnsi" w:cstheme="majorHAnsi"/>
          <w:b/>
          <w:i/>
          <w:iCs/>
          <w:sz w:val="20"/>
          <w:szCs w:val="20"/>
        </w:rPr>
        <w:t>agilis</w:t>
      </w:r>
      <w:proofErr w:type="spellEnd"/>
      <w:r w:rsidR="009223F3" w:rsidRPr="005516CD">
        <w:rPr>
          <w:rFonts w:asciiTheme="majorHAnsi" w:hAnsiTheme="majorHAnsi" w:cstheme="majorHAnsi"/>
          <w:b/>
          <w:iCs/>
          <w:sz w:val="20"/>
          <w:szCs w:val="20"/>
        </w:rPr>
        <w:t>)</w:t>
      </w:r>
      <w:r w:rsidRPr="005516CD">
        <w:rPr>
          <w:rFonts w:asciiTheme="majorHAnsi" w:hAnsiTheme="majorHAnsi" w:cstheme="majorHAnsi"/>
          <w:iCs/>
          <w:sz w:val="20"/>
          <w:szCs w:val="20"/>
        </w:rPr>
        <w:t>, whose habitat while migrating includes broadleaved forests and which ha</w:t>
      </w:r>
      <w:r w:rsidR="00F66667" w:rsidRPr="005516CD">
        <w:rPr>
          <w:rFonts w:asciiTheme="majorHAnsi" w:hAnsiTheme="majorHAnsi" w:cstheme="majorHAnsi"/>
          <w:iCs/>
          <w:sz w:val="20"/>
          <w:szCs w:val="20"/>
        </w:rPr>
        <w:t>ve</w:t>
      </w:r>
      <w:r w:rsidRPr="005516CD">
        <w:rPr>
          <w:rFonts w:asciiTheme="majorHAnsi" w:hAnsiTheme="majorHAnsi" w:cstheme="majorHAnsi"/>
          <w:iCs/>
          <w:sz w:val="20"/>
          <w:szCs w:val="20"/>
        </w:rPr>
        <w:t xml:space="preserve"> been shown through geolocation to use the </w:t>
      </w:r>
      <w:r w:rsidRPr="005516CD">
        <w:rPr>
          <w:rFonts w:asciiTheme="majorHAnsi" w:hAnsiTheme="majorHAnsi" w:cstheme="majorHAnsi"/>
          <w:sz w:val="20"/>
          <w:szCs w:val="20"/>
        </w:rPr>
        <w:t xml:space="preserve">Antilles, including Haiti, as a stepping stone in </w:t>
      </w:r>
      <w:r w:rsidR="00F66667" w:rsidRPr="005516CD">
        <w:rPr>
          <w:rFonts w:asciiTheme="majorHAnsi" w:hAnsiTheme="majorHAnsi" w:cstheme="majorHAnsi"/>
          <w:sz w:val="20"/>
          <w:szCs w:val="20"/>
        </w:rPr>
        <w:t xml:space="preserve">their </w:t>
      </w:r>
      <w:r w:rsidRPr="005516CD">
        <w:rPr>
          <w:rFonts w:asciiTheme="majorHAnsi" w:hAnsiTheme="majorHAnsi" w:cstheme="majorHAnsi"/>
          <w:sz w:val="20"/>
          <w:szCs w:val="20"/>
        </w:rPr>
        <w:t>overwater migration between North and South America</w:t>
      </w:r>
      <w:r w:rsidRPr="005516CD">
        <w:rPr>
          <w:rStyle w:val="FootnoteReference"/>
          <w:rFonts w:asciiTheme="majorHAnsi" w:hAnsiTheme="majorHAnsi" w:cstheme="majorHAnsi"/>
          <w:sz w:val="20"/>
          <w:szCs w:val="20"/>
        </w:rPr>
        <w:footnoteReference w:id="48"/>
      </w:r>
      <w:r w:rsidR="00640EA2" w:rsidRPr="005516CD">
        <w:rPr>
          <w:rFonts w:asciiTheme="majorHAnsi" w:hAnsiTheme="majorHAnsi" w:cstheme="majorHAnsi"/>
          <w:sz w:val="20"/>
          <w:szCs w:val="20"/>
        </w:rPr>
        <w:t xml:space="preserve">. The Near Threatened </w:t>
      </w:r>
      <w:r w:rsidR="00640EA2" w:rsidRPr="005516CD">
        <w:rPr>
          <w:rFonts w:asciiTheme="majorHAnsi" w:hAnsiTheme="majorHAnsi" w:cstheme="majorHAnsi"/>
          <w:b/>
          <w:sz w:val="20"/>
          <w:szCs w:val="20"/>
        </w:rPr>
        <w:t>Golden-Winged Warbler (</w:t>
      </w:r>
      <w:proofErr w:type="spellStart"/>
      <w:r w:rsidR="00640EA2" w:rsidRPr="005516CD">
        <w:rPr>
          <w:rFonts w:asciiTheme="majorHAnsi" w:hAnsiTheme="majorHAnsi" w:cstheme="majorHAnsi"/>
          <w:b/>
          <w:i/>
          <w:iCs/>
          <w:sz w:val="20"/>
          <w:szCs w:val="20"/>
        </w:rPr>
        <w:t>Vermivora</w:t>
      </w:r>
      <w:proofErr w:type="spellEnd"/>
      <w:r w:rsidR="00640EA2" w:rsidRPr="005516CD">
        <w:rPr>
          <w:rFonts w:asciiTheme="majorHAnsi" w:hAnsiTheme="majorHAnsi" w:cstheme="majorHAnsi"/>
          <w:b/>
          <w:i/>
          <w:iCs/>
          <w:sz w:val="20"/>
          <w:szCs w:val="20"/>
        </w:rPr>
        <w:t xml:space="preserve"> chrysoptera</w:t>
      </w:r>
      <w:r w:rsidR="00640EA2" w:rsidRPr="005516CD">
        <w:rPr>
          <w:rFonts w:asciiTheme="majorHAnsi" w:hAnsiTheme="majorHAnsi" w:cstheme="majorHAnsi"/>
          <w:b/>
          <w:iCs/>
          <w:sz w:val="20"/>
          <w:szCs w:val="20"/>
        </w:rPr>
        <w:t>)</w:t>
      </w:r>
      <w:r w:rsidR="00640EA2" w:rsidRPr="005516CD">
        <w:rPr>
          <w:rFonts w:asciiTheme="majorHAnsi" w:hAnsiTheme="majorHAnsi" w:cstheme="majorHAnsi"/>
          <w:iCs/>
          <w:sz w:val="20"/>
          <w:szCs w:val="20"/>
        </w:rPr>
        <w:t xml:space="preserve"> occasionally winters in Haiti</w:t>
      </w:r>
      <w:r w:rsidR="00640EA2" w:rsidRPr="005516CD">
        <w:rPr>
          <w:rStyle w:val="FootnoteReference"/>
          <w:rFonts w:asciiTheme="majorHAnsi" w:hAnsiTheme="majorHAnsi" w:cstheme="majorHAnsi"/>
          <w:iCs/>
          <w:sz w:val="20"/>
          <w:szCs w:val="20"/>
        </w:rPr>
        <w:footnoteReference w:id="49"/>
      </w:r>
      <w:r w:rsidR="00640EA2" w:rsidRPr="005516CD">
        <w:rPr>
          <w:rFonts w:asciiTheme="majorHAnsi" w:hAnsiTheme="majorHAnsi" w:cstheme="majorHAnsi"/>
          <w:iCs/>
          <w:sz w:val="20"/>
          <w:szCs w:val="20"/>
        </w:rPr>
        <w:t xml:space="preserve"> and is listed by Rainforest Alliance as an indicator bird associated with the sustainable management of coffee farms</w:t>
      </w:r>
      <w:r w:rsidR="00640EA2" w:rsidRPr="005516CD">
        <w:rPr>
          <w:rStyle w:val="FootnoteReference"/>
          <w:rFonts w:asciiTheme="majorHAnsi" w:hAnsiTheme="majorHAnsi" w:cstheme="majorHAnsi"/>
          <w:iCs/>
          <w:sz w:val="20"/>
          <w:szCs w:val="20"/>
        </w:rPr>
        <w:footnoteReference w:id="50"/>
      </w:r>
      <w:r w:rsidR="00640EA2" w:rsidRPr="005516CD">
        <w:rPr>
          <w:rFonts w:asciiTheme="majorHAnsi" w:hAnsiTheme="majorHAnsi" w:cstheme="majorHAnsi"/>
          <w:iCs/>
          <w:sz w:val="20"/>
          <w:szCs w:val="20"/>
        </w:rPr>
        <w:t>: it uses all kinds of woodland and scrub during migration, and birds generally winter in secondary growth forest or forest edge with a good understorey.</w:t>
      </w:r>
    </w:p>
    <w:p w14:paraId="0787965B" w14:textId="77777777" w:rsidR="00676F9D" w:rsidRPr="005516CD" w:rsidRDefault="00676F9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limited level of knowledge of biodiversity in Haiti means that the above information on potential beneficiary species is very far from being exhaustive. There is also a significant possibility that the Red List “endangered”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 mammals </w:t>
      </w:r>
      <w:proofErr w:type="spellStart"/>
      <w:r w:rsidRPr="005516CD">
        <w:rPr>
          <w:rFonts w:asciiTheme="majorHAnsi" w:hAnsiTheme="majorHAnsi" w:cstheme="majorHAnsi"/>
          <w:i/>
          <w:sz w:val="20"/>
          <w:szCs w:val="20"/>
        </w:rPr>
        <w:t>Plagiodonta</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aedium</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hutia) and </w:t>
      </w:r>
      <w:r w:rsidRPr="005516CD">
        <w:rPr>
          <w:rFonts w:asciiTheme="majorHAnsi" w:hAnsiTheme="majorHAnsi" w:cstheme="majorHAnsi"/>
          <w:i/>
          <w:sz w:val="20"/>
          <w:szCs w:val="20"/>
        </w:rPr>
        <w:t>Solenodon paradoxus</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solendon</w:t>
      </w:r>
      <w:proofErr w:type="spellEnd"/>
      <w:r w:rsidRPr="005516CD">
        <w:rPr>
          <w:rFonts w:asciiTheme="majorHAnsi" w:hAnsiTheme="majorHAnsi" w:cstheme="majorHAnsi"/>
          <w:sz w:val="20"/>
          <w:szCs w:val="20"/>
        </w:rPr>
        <w:t>) may occur in the area</w:t>
      </w:r>
      <w:r w:rsidRPr="005516CD">
        <w:rPr>
          <w:rStyle w:val="FootnoteReference"/>
          <w:rFonts w:asciiTheme="majorHAnsi" w:hAnsiTheme="majorHAnsi" w:cstheme="majorHAnsi"/>
          <w:sz w:val="20"/>
          <w:szCs w:val="20"/>
        </w:rPr>
        <w:footnoteReference w:id="51"/>
      </w:r>
      <w:r w:rsidRPr="005516CD">
        <w:rPr>
          <w:rFonts w:asciiTheme="majorHAnsi" w:hAnsiTheme="majorHAnsi" w:cstheme="majorHAnsi"/>
          <w:sz w:val="20"/>
          <w:szCs w:val="20"/>
        </w:rPr>
        <w:t xml:space="preserve">. </w:t>
      </w:r>
      <w:r w:rsidR="00FA4284" w:rsidRPr="005516CD">
        <w:rPr>
          <w:rFonts w:asciiTheme="majorHAnsi" w:hAnsiTheme="majorHAnsi" w:cstheme="majorHAnsi"/>
          <w:sz w:val="20"/>
          <w:szCs w:val="20"/>
        </w:rPr>
        <w:t>Both of these species have been considered extinct in the past: l</w:t>
      </w:r>
      <w:r w:rsidRPr="005516CD">
        <w:rPr>
          <w:rFonts w:asciiTheme="majorHAnsi" w:hAnsiTheme="majorHAnsi" w:cstheme="majorHAnsi"/>
          <w:sz w:val="20"/>
          <w:szCs w:val="20"/>
        </w:rPr>
        <w:t>ittle is known about the</w:t>
      </w:r>
      <w:r w:rsidR="00FA4284" w:rsidRPr="005516CD">
        <w:rPr>
          <w:rFonts w:asciiTheme="majorHAnsi" w:hAnsiTheme="majorHAnsi" w:cstheme="majorHAnsi"/>
          <w:sz w:val="20"/>
          <w:szCs w:val="20"/>
        </w:rPr>
        <w:t>ir</w:t>
      </w:r>
      <w:r w:rsidRPr="005516CD">
        <w:rPr>
          <w:rFonts w:asciiTheme="majorHAnsi" w:hAnsiTheme="majorHAnsi" w:cstheme="majorHAnsi"/>
          <w:sz w:val="20"/>
          <w:szCs w:val="20"/>
        </w:rPr>
        <w:t xml:space="preserve"> ecological requirements,</w:t>
      </w:r>
      <w:r w:rsidR="00FA4284" w:rsidRPr="005516CD">
        <w:rPr>
          <w:rFonts w:asciiTheme="majorHAnsi" w:hAnsiTheme="majorHAnsi" w:cstheme="majorHAnsi"/>
          <w:sz w:val="20"/>
          <w:szCs w:val="20"/>
        </w:rPr>
        <w:t xml:space="preserve"> </w:t>
      </w:r>
      <w:r w:rsidRPr="005516CD">
        <w:rPr>
          <w:rFonts w:asciiTheme="majorHAnsi" w:hAnsiTheme="majorHAnsi" w:cstheme="majorHAnsi"/>
          <w:sz w:val="20"/>
          <w:szCs w:val="20"/>
        </w:rPr>
        <w:t>habitat associations, or landscape-level and regional distributions</w:t>
      </w:r>
      <w:r w:rsidR="00FA4284" w:rsidRPr="005516CD">
        <w:rPr>
          <w:rFonts w:asciiTheme="majorHAnsi" w:hAnsiTheme="majorHAnsi" w:cstheme="majorHAnsi"/>
          <w:sz w:val="20"/>
          <w:szCs w:val="20"/>
        </w:rPr>
        <w:t xml:space="preserve">; </w:t>
      </w:r>
      <w:r w:rsidRPr="005516CD">
        <w:rPr>
          <w:rFonts w:asciiTheme="majorHAnsi" w:hAnsiTheme="majorHAnsi" w:cstheme="majorHAnsi"/>
          <w:sz w:val="20"/>
          <w:szCs w:val="20"/>
        </w:rPr>
        <w:t>however, previous studies</w:t>
      </w:r>
      <w:r w:rsidR="00FA4284" w:rsidRPr="005516CD">
        <w:rPr>
          <w:rFonts w:asciiTheme="majorHAnsi" w:hAnsiTheme="majorHAnsi" w:cstheme="majorHAnsi"/>
          <w:sz w:val="20"/>
          <w:szCs w:val="20"/>
        </w:rPr>
        <w:t xml:space="preserve"> </w:t>
      </w:r>
      <w:r w:rsidRPr="005516CD">
        <w:rPr>
          <w:rFonts w:asciiTheme="majorHAnsi" w:hAnsiTheme="majorHAnsi" w:cstheme="majorHAnsi"/>
          <w:sz w:val="20"/>
          <w:szCs w:val="20"/>
        </w:rPr>
        <w:t>have suggested that solenodons may be more abundant and widely</w:t>
      </w:r>
      <w:r w:rsidR="00FA4284" w:rsidRPr="005516CD">
        <w:rPr>
          <w:rFonts w:asciiTheme="majorHAnsi" w:hAnsiTheme="majorHAnsi" w:cstheme="majorHAnsi"/>
          <w:sz w:val="20"/>
          <w:szCs w:val="20"/>
        </w:rPr>
        <w:t xml:space="preserve"> </w:t>
      </w:r>
      <w:r w:rsidRPr="005516CD">
        <w:rPr>
          <w:rFonts w:asciiTheme="majorHAnsi" w:hAnsiTheme="majorHAnsi" w:cstheme="majorHAnsi"/>
          <w:sz w:val="20"/>
          <w:szCs w:val="20"/>
        </w:rPr>
        <w:t>distributed than hutias across much of the island, with populations</w:t>
      </w:r>
      <w:r w:rsidR="00FA4284" w:rsidRPr="005516CD">
        <w:rPr>
          <w:rFonts w:asciiTheme="majorHAnsi" w:hAnsiTheme="majorHAnsi" w:cstheme="majorHAnsi"/>
          <w:sz w:val="20"/>
          <w:szCs w:val="20"/>
        </w:rPr>
        <w:t xml:space="preserve"> </w:t>
      </w:r>
      <w:r w:rsidRPr="005516CD">
        <w:rPr>
          <w:rFonts w:asciiTheme="majorHAnsi" w:hAnsiTheme="majorHAnsi" w:cstheme="majorHAnsi"/>
          <w:sz w:val="20"/>
          <w:szCs w:val="20"/>
        </w:rPr>
        <w:t>recorded in highly disturbed landscapes in both the Dominican</w:t>
      </w:r>
      <w:r w:rsidR="00FA4284" w:rsidRPr="005516CD">
        <w:rPr>
          <w:rFonts w:asciiTheme="majorHAnsi" w:hAnsiTheme="majorHAnsi" w:cstheme="majorHAnsi"/>
          <w:sz w:val="20"/>
          <w:szCs w:val="20"/>
        </w:rPr>
        <w:t xml:space="preserve"> </w:t>
      </w:r>
      <w:r w:rsidRPr="005516CD">
        <w:rPr>
          <w:rFonts w:asciiTheme="majorHAnsi" w:hAnsiTheme="majorHAnsi" w:cstheme="majorHAnsi"/>
          <w:sz w:val="20"/>
          <w:szCs w:val="20"/>
        </w:rPr>
        <w:t>Republic and Haiti, whereas hutias probably have a greater</w:t>
      </w:r>
      <w:r w:rsidR="00FA4284" w:rsidRPr="005516CD">
        <w:rPr>
          <w:rFonts w:asciiTheme="majorHAnsi" w:hAnsiTheme="majorHAnsi" w:cstheme="majorHAnsi"/>
          <w:sz w:val="20"/>
          <w:szCs w:val="20"/>
        </w:rPr>
        <w:t xml:space="preserve"> requirement for tree cover</w:t>
      </w:r>
      <w:r w:rsidR="00FA4284" w:rsidRPr="005516CD">
        <w:rPr>
          <w:rStyle w:val="FootnoteReference"/>
          <w:rFonts w:asciiTheme="majorHAnsi" w:hAnsiTheme="majorHAnsi" w:cstheme="majorHAnsi"/>
          <w:sz w:val="20"/>
          <w:szCs w:val="20"/>
        </w:rPr>
        <w:footnoteReference w:id="52"/>
      </w:r>
      <w:r w:rsidR="00FA4284" w:rsidRPr="005516CD">
        <w:rPr>
          <w:rFonts w:asciiTheme="majorHAnsi" w:hAnsiTheme="majorHAnsi" w:cstheme="majorHAnsi"/>
          <w:sz w:val="20"/>
          <w:szCs w:val="20"/>
        </w:rPr>
        <w:t>.</w:t>
      </w:r>
    </w:p>
    <w:p w14:paraId="779FD5BB" w14:textId="77777777" w:rsidR="007660EC" w:rsidRPr="005516CD" w:rsidRDefault="007660EC"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kern w:val="1"/>
          <w:sz w:val="20"/>
          <w:szCs w:val="20"/>
        </w:rPr>
      </w:pPr>
      <w:r w:rsidRPr="005516CD">
        <w:rPr>
          <w:rFonts w:asciiTheme="majorHAnsi" w:hAnsiTheme="majorHAnsi" w:cstheme="majorHAnsi"/>
          <w:sz w:val="20"/>
          <w:szCs w:val="20"/>
        </w:rPr>
        <w:t xml:space="preserve">Direct measurement of the impacts of the project on the conservation status of endemic, globally rare and/or threatened </w:t>
      </w:r>
      <w:r w:rsidRPr="005516CD">
        <w:rPr>
          <w:rFonts w:asciiTheme="majorHAnsi" w:eastAsia="Calibri" w:hAnsiTheme="majorHAnsi" w:cstheme="majorHAnsi"/>
          <w:sz w:val="20"/>
          <w:szCs w:val="22"/>
        </w:rPr>
        <w:t>species</w:t>
      </w:r>
      <w:r w:rsidRPr="005516CD">
        <w:rPr>
          <w:rFonts w:asciiTheme="majorHAnsi" w:hAnsiTheme="majorHAnsi" w:cstheme="majorHAnsi"/>
          <w:sz w:val="20"/>
          <w:szCs w:val="20"/>
        </w:rPr>
        <w:t xml:space="preserve"> </w:t>
      </w:r>
      <w:r w:rsidR="00012CB0" w:rsidRPr="005516CD">
        <w:rPr>
          <w:rFonts w:asciiTheme="majorHAnsi" w:hAnsiTheme="majorHAnsi" w:cstheme="majorHAnsi"/>
          <w:sz w:val="20"/>
          <w:szCs w:val="20"/>
        </w:rPr>
        <w:t xml:space="preserve">would </w:t>
      </w:r>
      <w:r w:rsidRPr="005516CD">
        <w:rPr>
          <w:rFonts w:asciiTheme="majorHAnsi" w:hAnsiTheme="majorHAnsi" w:cstheme="majorHAnsi"/>
          <w:sz w:val="20"/>
          <w:szCs w:val="20"/>
        </w:rPr>
        <w:t>be impractical and costly. The project will therefore rely principally on proxy measures of biodiversity status, including the following:</w:t>
      </w:r>
    </w:p>
    <w:p w14:paraId="49D75B5F" w14:textId="77777777" w:rsidR="009F5E92" w:rsidRPr="005516CD" w:rsidRDefault="009F5E92" w:rsidP="006B27F4">
      <w:pPr>
        <w:numPr>
          <w:ilvl w:val="0"/>
          <w:numId w:val="88"/>
        </w:numPr>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Area of agricultural land brought into agroforestry systems, with improved tree cover, that favour the delivery of multiple environmental benefits </w:t>
      </w:r>
    </w:p>
    <w:p w14:paraId="65D92FD7" w14:textId="77777777" w:rsidR="009F5E92" w:rsidRPr="005516CD" w:rsidRDefault="009F5E92" w:rsidP="006B27F4">
      <w:pPr>
        <w:numPr>
          <w:ilvl w:val="0"/>
          <w:numId w:val="88"/>
        </w:numPr>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Area of deforested land restored to forest, and forested land with improved tree cover, favouring the delivery of multiple environmental benefits  </w:t>
      </w:r>
    </w:p>
    <w:p w14:paraId="580D2D43" w14:textId="77777777" w:rsidR="009F5E92" w:rsidRPr="005516CD" w:rsidRDefault="009F5E92" w:rsidP="006B27F4">
      <w:pPr>
        <w:numPr>
          <w:ilvl w:val="0"/>
          <w:numId w:val="88"/>
        </w:numPr>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Area of cacao and coffee plantations in project target communities with improved management that favours BD habitat and connectivity (e.g. increased diversity of structure and composition), increases overall economic viability, contributes to food security, and responds to provisions of spatial plans that provide for BD connectivity and ecosystem services</w:t>
      </w:r>
    </w:p>
    <w:p w14:paraId="0C8E3B3C" w14:textId="77777777" w:rsidR="009F5E92" w:rsidRPr="005516CD" w:rsidRDefault="009F5E92" w:rsidP="006B27F4">
      <w:pPr>
        <w:numPr>
          <w:ilvl w:val="0"/>
          <w:numId w:val="88"/>
        </w:numPr>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Area of cacao and coffee plantations in the overall project area certified under certification schemes with requirements that coincide with those of target BD </w:t>
      </w:r>
    </w:p>
    <w:p w14:paraId="478322BF" w14:textId="77777777" w:rsidR="009F5E92" w:rsidRPr="005516CD" w:rsidRDefault="009F5E92"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utility of these indicators as proxy measures of BD status are based on the assumption that the management practices proposed and applied, including increases in tree cover, and the diversification and modification of composition and structure, are favourable for BD, in terms of habitat value and connectivity. This assumption is supported by the information in the scientific literature (summarised above) on the ecological requirements of numerous endemic species of global conservation concern. These assumptions will further be validated through short term studies to be carried out </w:t>
      </w:r>
      <w:r w:rsidR="00536878" w:rsidRPr="005516CD">
        <w:rPr>
          <w:rFonts w:asciiTheme="majorHAnsi" w:hAnsiTheme="majorHAnsi" w:cstheme="majorHAnsi"/>
          <w:sz w:val="20"/>
          <w:szCs w:val="20"/>
        </w:rPr>
        <w:t xml:space="preserve">at intervals throughout </w:t>
      </w:r>
      <w:r w:rsidRPr="005516CD">
        <w:rPr>
          <w:rFonts w:asciiTheme="majorHAnsi" w:hAnsiTheme="majorHAnsi" w:cstheme="majorHAnsi"/>
          <w:sz w:val="20"/>
          <w:szCs w:val="20"/>
        </w:rPr>
        <w:t xml:space="preserve">the project </w:t>
      </w:r>
      <w:r w:rsidR="00536878" w:rsidRPr="005516CD">
        <w:rPr>
          <w:rFonts w:asciiTheme="majorHAnsi" w:hAnsiTheme="majorHAnsi" w:cstheme="majorHAnsi"/>
          <w:sz w:val="20"/>
          <w:szCs w:val="20"/>
        </w:rPr>
        <w:t xml:space="preserve">period </w:t>
      </w:r>
      <w:r w:rsidRPr="005516CD">
        <w:rPr>
          <w:rFonts w:asciiTheme="majorHAnsi" w:hAnsiTheme="majorHAnsi" w:cstheme="majorHAnsi"/>
          <w:sz w:val="20"/>
          <w:szCs w:val="20"/>
        </w:rPr>
        <w:t xml:space="preserve">by international experts in conservation biology, </w:t>
      </w:r>
      <w:r w:rsidR="00536878" w:rsidRPr="005516CD">
        <w:rPr>
          <w:rFonts w:asciiTheme="majorHAnsi" w:hAnsiTheme="majorHAnsi" w:cstheme="majorHAnsi"/>
          <w:sz w:val="20"/>
          <w:szCs w:val="20"/>
        </w:rPr>
        <w:t>into the specific relationships between alternative management models for production units (including the requirements of alternative certification schemes), and the generation of specific BD benefits</w:t>
      </w:r>
      <w:r w:rsidR="00FA4284" w:rsidRPr="005516CD">
        <w:rPr>
          <w:rFonts w:asciiTheme="majorHAnsi" w:hAnsiTheme="majorHAnsi" w:cstheme="majorHAnsi"/>
          <w:sz w:val="20"/>
          <w:szCs w:val="20"/>
        </w:rPr>
        <w:t>; these studies will be complemented by participatory studies of local ecological knowledge</w:t>
      </w:r>
      <w:r w:rsidR="00FA4284" w:rsidRPr="005516CD">
        <w:rPr>
          <w:rStyle w:val="FootnoteReference"/>
          <w:rFonts w:asciiTheme="majorHAnsi" w:hAnsiTheme="majorHAnsi" w:cstheme="majorHAnsi"/>
          <w:sz w:val="20"/>
          <w:szCs w:val="20"/>
        </w:rPr>
        <w:footnoteReference w:id="53"/>
      </w:r>
      <w:r w:rsidR="00FA4284" w:rsidRPr="005516CD">
        <w:rPr>
          <w:rFonts w:asciiTheme="majorHAnsi" w:hAnsiTheme="majorHAnsi" w:cstheme="majorHAnsi"/>
          <w:sz w:val="20"/>
          <w:szCs w:val="20"/>
        </w:rPr>
        <w:t>. The Institute of Zoology of the Zoological Society of London, the Durrell Wildlife Conservation Trust and the I</w:t>
      </w:r>
      <w:r w:rsidR="004F334C" w:rsidRPr="005516CD">
        <w:rPr>
          <w:rFonts w:asciiTheme="majorHAnsi" w:hAnsiTheme="majorHAnsi" w:cstheme="majorHAnsi"/>
          <w:sz w:val="20"/>
          <w:szCs w:val="20"/>
        </w:rPr>
        <w:t xml:space="preserve">nternational </w:t>
      </w:r>
      <w:r w:rsidR="00FA4284" w:rsidRPr="005516CD">
        <w:rPr>
          <w:rFonts w:asciiTheme="majorHAnsi" w:hAnsiTheme="majorHAnsi" w:cstheme="majorHAnsi"/>
          <w:sz w:val="20"/>
          <w:szCs w:val="20"/>
        </w:rPr>
        <w:t>U</w:t>
      </w:r>
      <w:r w:rsidR="004F334C" w:rsidRPr="005516CD">
        <w:rPr>
          <w:rFonts w:asciiTheme="majorHAnsi" w:hAnsiTheme="majorHAnsi" w:cstheme="majorHAnsi"/>
          <w:sz w:val="20"/>
          <w:szCs w:val="20"/>
        </w:rPr>
        <w:t xml:space="preserve">nion for the Conservation of Nature Species </w:t>
      </w:r>
      <w:r w:rsidR="00FA4284" w:rsidRPr="005516CD">
        <w:rPr>
          <w:rFonts w:asciiTheme="majorHAnsi" w:hAnsiTheme="majorHAnsi" w:cstheme="majorHAnsi"/>
          <w:sz w:val="20"/>
          <w:szCs w:val="20"/>
        </w:rPr>
        <w:t>S</w:t>
      </w:r>
      <w:r w:rsidR="004F334C" w:rsidRPr="005516CD">
        <w:rPr>
          <w:rFonts w:asciiTheme="majorHAnsi" w:hAnsiTheme="majorHAnsi" w:cstheme="majorHAnsi"/>
          <w:sz w:val="20"/>
          <w:szCs w:val="20"/>
        </w:rPr>
        <w:t xml:space="preserve">urvival </w:t>
      </w:r>
      <w:r w:rsidR="00FA4284" w:rsidRPr="005516CD">
        <w:rPr>
          <w:rFonts w:asciiTheme="majorHAnsi" w:hAnsiTheme="majorHAnsi" w:cstheme="majorHAnsi"/>
          <w:sz w:val="20"/>
          <w:szCs w:val="20"/>
        </w:rPr>
        <w:t>C</w:t>
      </w:r>
      <w:r w:rsidR="004F334C" w:rsidRPr="005516CD">
        <w:rPr>
          <w:rFonts w:asciiTheme="majorHAnsi" w:hAnsiTheme="majorHAnsi" w:cstheme="majorHAnsi"/>
          <w:sz w:val="20"/>
          <w:szCs w:val="20"/>
        </w:rPr>
        <w:t>ommission (IUCN SSC)</w:t>
      </w:r>
      <w:r w:rsidR="00FA4284" w:rsidRPr="005516CD">
        <w:rPr>
          <w:rFonts w:asciiTheme="majorHAnsi" w:hAnsiTheme="majorHAnsi" w:cstheme="majorHAnsi"/>
          <w:sz w:val="20"/>
          <w:szCs w:val="20"/>
        </w:rPr>
        <w:t xml:space="preserve"> Small Mammal Specialist Group have carried out significant fieldwork into the ecology and conservation biology of </w:t>
      </w:r>
      <w:r w:rsidR="004D2560" w:rsidRPr="005516CD">
        <w:rPr>
          <w:rFonts w:asciiTheme="majorHAnsi" w:hAnsiTheme="majorHAnsi" w:cstheme="majorHAnsi"/>
          <w:sz w:val="20"/>
          <w:szCs w:val="20"/>
        </w:rPr>
        <w:t xml:space="preserve">species including the </w:t>
      </w:r>
      <w:proofErr w:type="spellStart"/>
      <w:r w:rsidR="004D2560" w:rsidRPr="005516CD">
        <w:rPr>
          <w:rFonts w:asciiTheme="majorHAnsi" w:hAnsiTheme="majorHAnsi" w:cstheme="majorHAnsi"/>
          <w:sz w:val="20"/>
          <w:szCs w:val="20"/>
        </w:rPr>
        <w:t>Hispaniolan</w:t>
      </w:r>
      <w:proofErr w:type="spellEnd"/>
      <w:r w:rsidR="004D2560" w:rsidRPr="005516CD">
        <w:rPr>
          <w:rFonts w:asciiTheme="majorHAnsi" w:hAnsiTheme="majorHAnsi" w:cstheme="majorHAnsi"/>
          <w:sz w:val="20"/>
          <w:szCs w:val="20"/>
        </w:rPr>
        <w:t xml:space="preserve"> hutia and </w:t>
      </w:r>
      <w:proofErr w:type="spellStart"/>
      <w:r w:rsidR="004D2560" w:rsidRPr="005516CD">
        <w:rPr>
          <w:rFonts w:asciiTheme="majorHAnsi" w:hAnsiTheme="majorHAnsi" w:cstheme="majorHAnsi"/>
          <w:sz w:val="20"/>
          <w:szCs w:val="20"/>
        </w:rPr>
        <w:t>Hispaniolan</w:t>
      </w:r>
      <w:proofErr w:type="spellEnd"/>
      <w:r w:rsidR="004D2560" w:rsidRPr="005516CD">
        <w:rPr>
          <w:rFonts w:asciiTheme="majorHAnsi" w:hAnsiTheme="majorHAnsi" w:cstheme="majorHAnsi"/>
          <w:sz w:val="20"/>
          <w:szCs w:val="20"/>
        </w:rPr>
        <w:t xml:space="preserve"> solenodon, and constitute important potential sources of expertise for the project to draw on.</w:t>
      </w:r>
    </w:p>
    <w:bookmarkEnd w:id="41"/>
    <w:p w14:paraId="0CD8CAD6" w14:textId="77777777" w:rsidR="007660EC" w:rsidRPr="005516CD" w:rsidRDefault="007660EC"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kern w:val="1"/>
          <w:sz w:val="20"/>
          <w:szCs w:val="20"/>
        </w:rPr>
      </w:pPr>
      <w:r w:rsidRPr="005516CD">
        <w:rPr>
          <w:rFonts w:asciiTheme="majorHAnsi" w:hAnsiTheme="majorHAnsi" w:cstheme="majorHAnsi"/>
          <w:b/>
          <w:sz w:val="20"/>
          <w:szCs w:val="20"/>
        </w:rPr>
        <w:t>Land degradation</w:t>
      </w:r>
      <w:r w:rsidRPr="005516CD">
        <w:rPr>
          <w:rFonts w:asciiTheme="majorHAnsi" w:eastAsia="Calibri" w:hAnsiTheme="majorHAnsi" w:cstheme="majorHAnsi"/>
          <w:kern w:val="1"/>
          <w:sz w:val="20"/>
          <w:szCs w:val="20"/>
        </w:rPr>
        <w:t xml:space="preserve">: </w:t>
      </w:r>
      <w:r w:rsidRPr="005516CD">
        <w:rPr>
          <w:rFonts w:asciiTheme="majorHAnsi" w:hAnsiTheme="majorHAnsi" w:cstheme="majorHAnsi"/>
          <w:sz w:val="20"/>
          <w:szCs w:val="20"/>
        </w:rPr>
        <w:t xml:space="preserve">the project will result in increases in the area of integrated natural resource management (INRM) practices </w:t>
      </w:r>
      <w:r w:rsidRPr="005516CD">
        <w:rPr>
          <w:rFonts w:asciiTheme="majorHAnsi" w:eastAsia="Calibri" w:hAnsiTheme="majorHAnsi" w:cstheme="majorHAnsi"/>
          <w:sz w:val="20"/>
          <w:szCs w:val="22"/>
        </w:rPr>
        <w:t>in</w:t>
      </w:r>
      <w:r w:rsidRPr="005516CD">
        <w:rPr>
          <w:rFonts w:asciiTheme="majorHAnsi" w:hAnsiTheme="majorHAnsi" w:cstheme="majorHAnsi"/>
          <w:sz w:val="20"/>
          <w:szCs w:val="20"/>
        </w:rPr>
        <w:t xml:space="preserve"> the target landscapes, in the form of diverse agroforestry systems (covering an estimated 20,000ha within the overall target landscapes); these will contribute to combating land degradation processes by facilitating nutrient capture and recycling, facilitating soil water protection and recharge, and reducing rainfall impact and erosive runoff flow. </w:t>
      </w:r>
    </w:p>
    <w:p w14:paraId="73EA3839" w14:textId="77777777" w:rsidR="001D112E" w:rsidRPr="005516CD" w:rsidRDefault="001D112E" w:rsidP="007B146B">
      <w:pPr>
        <w:keepNext/>
        <w:tabs>
          <w:tab w:val="left" w:pos="426"/>
        </w:tabs>
        <w:spacing w:after="120"/>
        <w:ind w:right="96"/>
        <w:jc w:val="both"/>
        <w:rPr>
          <w:rFonts w:asciiTheme="majorHAnsi" w:hAnsiTheme="majorHAnsi" w:cstheme="majorHAnsi"/>
          <w:b/>
          <w:sz w:val="20"/>
          <w:szCs w:val="20"/>
        </w:rPr>
      </w:pPr>
      <w:r w:rsidRPr="005516CD">
        <w:rPr>
          <w:rFonts w:asciiTheme="majorHAnsi" w:hAnsiTheme="majorHAnsi" w:cstheme="majorHAnsi"/>
          <w:b/>
          <w:sz w:val="20"/>
          <w:szCs w:val="20"/>
        </w:rPr>
        <w:t>Contribution to Aichi biodiversity targets</w:t>
      </w:r>
    </w:p>
    <w:p w14:paraId="7B7BE3A8" w14:textId="77777777" w:rsidR="007660EC" w:rsidRPr="005516CD" w:rsidRDefault="007660EC"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kern w:val="1"/>
          <w:sz w:val="20"/>
          <w:szCs w:val="20"/>
        </w:rPr>
      </w:pPr>
      <w:r w:rsidRPr="005516CD">
        <w:rPr>
          <w:rFonts w:asciiTheme="majorHAnsi" w:eastAsia="Calibri" w:hAnsiTheme="majorHAnsi" w:cstheme="majorHAnsi"/>
          <w:kern w:val="1"/>
          <w:sz w:val="20"/>
          <w:szCs w:val="20"/>
        </w:rPr>
        <w:t xml:space="preserve">This </w:t>
      </w:r>
      <w:r w:rsidRPr="005516CD">
        <w:rPr>
          <w:rFonts w:asciiTheme="majorHAnsi" w:eastAsia="Calibri" w:hAnsiTheme="majorHAnsi" w:cstheme="majorHAnsi"/>
          <w:sz w:val="20"/>
          <w:szCs w:val="22"/>
        </w:rPr>
        <w:t>proposed</w:t>
      </w:r>
      <w:r w:rsidRPr="005516CD">
        <w:rPr>
          <w:rFonts w:asciiTheme="majorHAnsi" w:eastAsia="Calibri" w:hAnsiTheme="majorHAnsi" w:cstheme="majorHAnsi"/>
          <w:kern w:val="1"/>
          <w:sz w:val="20"/>
          <w:szCs w:val="20"/>
        </w:rPr>
        <w:t xml:space="preserve"> project will also contribute to the following Aichi Targets:</w:t>
      </w:r>
    </w:p>
    <w:p w14:paraId="5AD99519" w14:textId="77777777" w:rsidR="007660EC" w:rsidRPr="005516CD" w:rsidRDefault="007660EC" w:rsidP="006B27F4">
      <w:pPr>
        <w:numPr>
          <w:ilvl w:val="0"/>
          <w:numId w:val="88"/>
        </w:numPr>
        <w:spacing w:after="120"/>
        <w:ind w:left="426" w:right="96"/>
        <w:jc w:val="both"/>
        <w:rPr>
          <w:rFonts w:asciiTheme="majorHAnsi" w:hAnsiTheme="majorHAnsi" w:cstheme="majorHAnsi"/>
          <w:sz w:val="20"/>
          <w:szCs w:val="20"/>
        </w:rPr>
      </w:pPr>
      <w:bookmarkStart w:id="45" w:name="_Hlk6458831"/>
      <w:r w:rsidRPr="005516CD">
        <w:rPr>
          <w:rFonts w:asciiTheme="majorHAnsi" w:hAnsiTheme="majorHAnsi" w:cstheme="majorHAnsi"/>
          <w:sz w:val="20"/>
          <w:szCs w:val="20"/>
        </w:rPr>
        <w:t xml:space="preserve">By </w:t>
      </w:r>
      <w:r w:rsidRPr="005516CD">
        <w:rPr>
          <w:rFonts w:asciiTheme="majorHAnsi" w:eastAsia="Calibri" w:hAnsiTheme="majorHAnsi" w:cstheme="majorHAnsi"/>
          <w:sz w:val="20"/>
          <w:szCs w:val="20"/>
        </w:rPr>
        <w:t>promoting</w:t>
      </w:r>
      <w:r w:rsidRPr="005516CD">
        <w:rPr>
          <w:rFonts w:asciiTheme="majorHAnsi" w:hAnsiTheme="majorHAnsi" w:cstheme="majorHAnsi"/>
          <w:sz w:val="20"/>
          <w:szCs w:val="20"/>
        </w:rPr>
        <w:t xml:space="preserve"> the application of market-based incentives for tree-based production systems, the project will contribute to </w:t>
      </w:r>
      <w:r w:rsidRPr="005516CD">
        <w:rPr>
          <w:rFonts w:asciiTheme="majorHAnsi" w:hAnsiTheme="majorHAnsi" w:cstheme="majorHAnsi"/>
          <w:b/>
          <w:sz w:val="20"/>
          <w:szCs w:val="20"/>
          <w:u w:val="single"/>
        </w:rPr>
        <w:t>Strategic Goal A:</w:t>
      </w:r>
      <w:r w:rsidRPr="005516CD">
        <w:rPr>
          <w:rFonts w:asciiTheme="majorHAnsi" w:hAnsiTheme="majorHAnsi" w:cstheme="majorHAnsi"/>
          <w:sz w:val="20"/>
          <w:szCs w:val="20"/>
        </w:rPr>
        <w:t xml:space="preserve"> Address the underlying causes of biodiversity loss by mainstreaming biodiversity across government and society/</w:t>
      </w:r>
      <w:r w:rsidRPr="005516CD">
        <w:rPr>
          <w:rFonts w:asciiTheme="majorHAnsi" w:hAnsiTheme="majorHAnsi" w:cstheme="majorHAnsi"/>
          <w:b/>
          <w:sz w:val="20"/>
          <w:szCs w:val="20"/>
        </w:rPr>
        <w:t>Target 3:</w:t>
      </w:r>
      <w:r w:rsidRPr="005516CD">
        <w:rPr>
          <w:rFonts w:asciiTheme="majorHAnsi" w:hAnsiTheme="majorHAnsi" w:cstheme="majorHAnsi"/>
          <w:sz w:val="20"/>
          <w:szCs w:val="20"/>
        </w:rPr>
        <w:t xml:space="preserve"> By 2020, at the latest, incentives, including subsidies, harmful to biodiversity are eliminated, phased out or reformed in order to minimize or avoid negative impacts, and positive incentives for the conservation and sustainable use of biodiversity are developed and applied, consistent and in harmony with the Convention and other relevant international obligations, taking into account national socio economic conditions/</w:t>
      </w:r>
      <w:r w:rsidRPr="005516CD">
        <w:rPr>
          <w:rFonts w:asciiTheme="majorHAnsi" w:hAnsiTheme="majorHAnsi" w:cstheme="majorHAnsi"/>
          <w:b/>
          <w:sz w:val="20"/>
          <w:szCs w:val="20"/>
        </w:rPr>
        <w:t>Target 4:</w:t>
      </w:r>
      <w:r w:rsidRPr="005516CD">
        <w:rPr>
          <w:rFonts w:asciiTheme="majorHAnsi" w:hAnsiTheme="majorHAnsi" w:cstheme="majorHAnsi"/>
          <w:sz w:val="20"/>
          <w:szCs w:val="20"/>
        </w:rPr>
        <w:t xml:space="preserve"> By 2020, at the latest, Governments, business and stakeholders at all levels have taken steps to achieve or have implemented plans for sustainable production and consumption and have kept the impacts of use of natural resources well within safe ecological limits.</w:t>
      </w:r>
    </w:p>
    <w:p w14:paraId="6839BDAA" w14:textId="77777777" w:rsidR="007660EC" w:rsidRPr="0041765D" w:rsidRDefault="007660EC" w:rsidP="006B27F4">
      <w:pPr>
        <w:numPr>
          <w:ilvl w:val="0"/>
          <w:numId w:val="88"/>
        </w:numPr>
        <w:spacing w:after="120"/>
        <w:ind w:left="426" w:right="96"/>
        <w:jc w:val="both"/>
        <w:rPr>
          <w:rFonts w:asciiTheme="majorHAnsi" w:hAnsiTheme="majorHAnsi" w:cstheme="majorHAnsi"/>
          <w:color w:val="000000" w:themeColor="text1"/>
          <w:sz w:val="20"/>
          <w:szCs w:val="20"/>
        </w:rPr>
      </w:pPr>
      <w:r w:rsidRPr="0041765D">
        <w:rPr>
          <w:rFonts w:asciiTheme="majorHAnsi" w:hAnsiTheme="majorHAnsi" w:cstheme="majorHAnsi"/>
          <w:color w:val="000000" w:themeColor="text1"/>
          <w:sz w:val="20"/>
          <w:szCs w:val="20"/>
        </w:rPr>
        <w:t xml:space="preserve">By supporting </w:t>
      </w:r>
      <w:r w:rsidRPr="0041765D">
        <w:rPr>
          <w:rFonts w:asciiTheme="majorHAnsi" w:eastAsia="Calibri" w:hAnsiTheme="majorHAnsi" w:cstheme="majorHAnsi"/>
          <w:color w:val="000000" w:themeColor="text1"/>
          <w:sz w:val="20"/>
          <w:szCs w:val="20"/>
        </w:rPr>
        <w:t>the</w:t>
      </w:r>
      <w:r w:rsidRPr="0041765D">
        <w:rPr>
          <w:rFonts w:asciiTheme="majorHAnsi" w:hAnsiTheme="majorHAnsi" w:cstheme="majorHAnsi"/>
          <w:color w:val="000000" w:themeColor="text1"/>
          <w:sz w:val="20"/>
          <w:szCs w:val="20"/>
        </w:rPr>
        <w:t xml:space="preserve"> stabilization of landscapes and the consequent erosion of ecosystem remnants, and promoting connectivity between remnants, the project will contribute to </w:t>
      </w:r>
      <w:r w:rsidRPr="0041765D">
        <w:rPr>
          <w:rFonts w:asciiTheme="majorHAnsi" w:hAnsiTheme="majorHAnsi" w:cstheme="majorHAnsi"/>
          <w:b/>
          <w:color w:val="000000" w:themeColor="text1"/>
          <w:sz w:val="20"/>
          <w:szCs w:val="20"/>
          <w:u w:val="single"/>
        </w:rPr>
        <w:t>Strategic Goal B:</w:t>
      </w:r>
      <w:r w:rsidRPr="0041765D">
        <w:rPr>
          <w:rFonts w:asciiTheme="majorHAnsi" w:hAnsiTheme="majorHAnsi" w:cstheme="majorHAnsi"/>
          <w:color w:val="000000" w:themeColor="text1"/>
          <w:sz w:val="20"/>
          <w:szCs w:val="20"/>
        </w:rPr>
        <w:t xml:space="preserve"> Reduce the direct pressures on biodiversity and promote sustainable use/</w:t>
      </w:r>
      <w:r w:rsidRPr="0041765D">
        <w:rPr>
          <w:rFonts w:asciiTheme="majorHAnsi" w:hAnsiTheme="majorHAnsi" w:cstheme="majorHAnsi"/>
          <w:b/>
          <w:bCs/>
          <w:color w:val="000000" w:themeColor="text1"/>
          <w:sz w:val="20"/>
          <w:szCs w:val="20"/>
          <w:shd w:val="clear" w:color="auto" w:fill="FFFFFF"/>
        </w:rPr>
        <w:t xml:space="preserve">Target 5: </w:t>
      </w:r>
      <w:r w:rsidRPr="0041765D">
        <w:rPr>
          <w:rFonts w:asciiTheme="majorHAnsi" w:hAnsiTheme="majorHAnsi" w:cstheme="majorHAnsi"/>
          <w:color w:val="000000" w:themeColor="text1"/>
          <w:sz w:val="20"/>
          <w:szCs w:val="20"/>
          <w:shd w:val="clear" w:color="auto" w:fill="FFFFFF"/>
        </w:rPr>
        <w:t>By 2020, the rate of loss of all natural habitats, including forests, is at least halved and where feasible brought close to zero, and degradation and fragmentation is significantly reduced/</w:t>
      </w:r>
      <w:r w:rsidRPr="0041765D">
        <w:rPr>
          <w:rFonts w:asciiTheme="majorHAnsi" w:hAnsiTheme="majorHAnsi" w:cstheme="majorHAnsi"/>
          <w:b/>
          <w:bCs/>
          <w:color w:val="000000" w:themeColor="text1"/>
          <w:sz w:val="20"/>
          <w:szCs w:val="20"/>
          <w:shd w:val="clear" w:color="auto" w:fill="FFFFFF"/>
        </w:rPr>
        <w:t xml:space="preserve">Target 7: </w:t>
      </w:r>
      <w:r w:rsidRPr="0041765D">
        <w:rPr>
          <w:rFonts w:asciiTheme="majorHAnsi" w:hAnsiTheme="majorHAnsi" w:cstheme="majorHAnsi"/>
          <w:color w:val="000000" w:themeColor="text1"/>
          <w:sz w:val="20"/>
          <w:szCs w:val="20"/>
          <w:shd w:val="clear" w:color="auto" w:fill="FFFFFF"/>
        </w:rPr>
        <w:t>By 2020 areas under agriculture, aquaculture and forestry are managed sustainably, ensuring conservation of biodiversity.</w:t>
      </w:r>
    </w:p>
    <w:p w14:paraId="0A2E1DF2" w14:textId="77777777" w:rsidR="007660EC" w:rsidRPr="0041765D" w:rsidRDefault="007660EC" w:rsidP="00FB5829">
      <w:pPr>
        <w:numPr>
          <w:ilvl w:val="0"/>
          <w:numId w:val="88"/>
        </w:numPr>
        <w:spacing w:after="120"/>
        <w:ind w:left="426" w:right="96"/>
        <w:jc w:val="both"/>
        <w:rPr>
          <w:color w:val="000000" w:themeColor="text1"/>
          <w:sz w:val="22"/>
          <w:szCs w:val="22"/>
        </w:rPr>
      </w:pPr>
      <w:r w:rsidRPr="0041765D">
        <w:rPr>
          <w:rFonts w:asciiTheme="majorHAnsi" w:hAnsiTheme="majorHAnsi" w:cstheme="majorHAnsi"/>
          <w:bCs/>
          <w:iCs/>
          <w:color w:val="000000" w:themeColor="text1"/>
          <w:sz w:val="20"/>
          <w:szCs w:val="20"/>
          <w:shd w:val="clear" w:color="auto" w:fill="FFFFFF"/>
        </w:rPr>
        <w:t xml:space="preserve">By </w:t>
      </w:r>
      <w:r w:rsidRPr="0041765D">
        <w:rPr>
          <w:rFonts w:asciiTheme="majorHAnsi" w:eastAsia="Calibri" w:hAnsiTheme="majorHAnsi" w:cstheme="majorHAnsi"/>
          <w:color w:val="000000" w:themeColor="text1"/>
          <w:sz w:val="20"/>
          <w:szCs w:val="20"/>
        </w:rPr>
        <w:t>supporting</w:t>
      </w:r>
      <w:r w:rsidRPr="0041765D">
        <w:rPr>
          <w:rFonts w:asciiTheme="majorHAnsi" w:hAnsiTheme="majorHAnsi" w:cstheme="majorHAnsi"/>
          <w:bCs/>
          <w:iCs/>
          <w:color w:val="000000" w:themeColor="text1"/>
          <w:sz w:val="20"/>
          <w:szCs w:val="20"/>
          <w:shd w:val="clear" w:color="auto" w:fill="FFFFFF"/>
        </w:rPr>
        <w:t xml:space="preserve"> the protection of ecosystem remnants and increasing the value of production landscapes or habitat and </w:t>
      </w:r>
      <w:r w:rsidRPr="0041765D">
        <w:rPr>
          <w:rFonts w:asciiTheme="majorHAnsi" w:hAnsiTheme="majorHAnsi" w:cstheme="majorHAnsi"/>
          <w:color w:val="000000" w:themeColor="text1"/>
          <w:sz w:val="20"/>
          <w:szCs w:val="20"/>
        </w:rPr>
        <w:t>connectivity</w:t>
      </w:r>
      <w:r w:rsidRPr="0041765D">
        <w:rPr>
          <w:rFonts w:asciiTheme="majorHAnsi" w:hAnsiTheme="majorHAnsi" w:cstheme="majorHAnsi"/>
          <w:bCs/>
          <w:iCs/>
          <w:color w:val="000000" w:themeColor="text1"/>
          <w:sz w:val="20"/>
          <w:szCs w:val="20"/>
          <w:shd w:val="clear" w:color="auto" w:fill="FFFFFF"/>
        </w:rPr>
        <w:t xml:space="preserve">, the project will contribute to </w:t>
      </w:r>
      <w:r w:rsidRPr="0041765D">
        <w:rPr>
          <w:rFonts w:asciiTheme="majorHAnsi" w:hAnsiTheme="majorHAnsi" w:cstheme="majorHAnsi"/>
          <w:b/>
          <w:bCs/>
          <w:iCs/>
          <w:color w:val="000000" w:themeColor="text1"/>
          <w:sz w:val="20"/>
          <w:szCs w:val="20"/>
          <w:u w:val="single"/>
          <w:shd w:val="clear" w:color="auto" w:fill="FFFFFF"/>
        </w:rPr>
        <w:t xml:space="preserve">Strategic Goal C: </w:t>
      </w:r>
      <w:r w:rsidRPr="0041765D">
        <w:rPr>
          <w:rFonts w:asciiTheme="majorHAnsi" w:hAnsiTheme="majorHAnsi" w:cstheme="majorHAnsi"/>
          <w:bCs/>
          <w:iCs/>
          <w:color w:val="000000" w:themeColor="text1"/>
          <w:sz w:val="20"/>
          <w:szCs w:val="20"/>
          <w:shd w:val="clear" w:color="auto" w:fill="FFFFFF"/>
        </w:rPr>
        <w:t>To improve the status of biodiversity by safeguarding ecosystems, species and genetic diversity</w:t>
      </w:r>
      <w:r w:rsidRPr="0041765D">
        <w:rPr>
          <w:rFonts w:asciiTheme="majorHAnsi" w:hAnsiTheme="majorHAnsi" w:cstheme="majorHAnsi"/>
          <w:b/>
          <w:bCs/>
          <w:iCs/>
          <w:color w:val="000000" w:themeColor="text1"/>
          <w:sz w:val="20"/>
          <w:szCs w:val="20"/>
          <w:shd w:val="clear" w:color="auto" w:fill="FFFFFF"/>
        </w:rPr>
        <w:t>/</w:t>
      </w:r>
      <w:r w:rsidRPr="0041765D">
        <w:rPr>
          <w:rFonts w:asciiTheme="majorHAnsi" w:hAnsiTheme="majorHAnsi" w:cstheme="majorHAnsi"/>
          <w:b/>
          <w:bCs/>
          <w:color w:val="000000" w:themeColor="text1"/>
          <w:sz w:val="20"/>
          <w:szCs w:val="20"/>
          <w:shd w:val="clear" w:color="auto" w:fill="FFFFFF"/>
        </w:rPr>
        <w:t xml:space="preserve">Target 12: </w:t>
      </w:r>
      <w:r w:rsidRPr="0041765D">
        <w:rPr>
          <w:rFonts w:asciiTheme="majorHAnsi" w:hAnsiTheme="majorHAnsi" w:cstheme="majorHAnsi"/>
          <w:color w:val="000000" w:themeColor="text1"/>
          <w:sz w:val="20"/>
          <w:szCs w:val="20"/>
          <w:shd w:val="clear" w:color="auto" w:fill="FFFFFF"/>
        </w:rPr>
        <w:t>By 2020 the extinction of known threatened species has been prevented and their conservation status, particularly of those most in decline, has been improved and sustained.</w:t>
      </w:r>
    </w:p>
    <w:p w14:paraId="263F71B5" w14:textId="77777777" w:rsidR="001D112E" w:rsidRPr="005516CD" w:rsidRDefault="001D112E" w:rsidP="007B146B">
      <w:pPr>
        <w:keepNext/>
        <w:tabs>
          <w:tab w:val="left" w:pos="426"/>
        </w:tabs>
        <w:spacing w:after="120"/>
        <w:ind w:right="96"/>
        <w:jc w:val="both"/>
        <w:rPr>
          <w:rFonts w:asciiTheme="majorHAnsi" w:hAnsiTheme="majorHAnsi" w:cstheme="majorHAnsi"/>
          <w:b/>
          <w:sz w:val="20"/>
          <w:szCs w:val="20"/>
        </w:rPr>
      </w:pPr>
      <w:bookmarkStart w:id="46" w:name="_Hlk515870"/>
      <w:bookmarkEnd w:id="45"/>
      <w:r w:rsidRPr="005516CD">
        <w:rPr>
          <w:rFonts w:asciiTheme="majorHAnsi" w:hAnsiTheme="majorHAnsi" w:cstheme="majorHAnsi"/>
          <w:b/>
          <w:sz w:val="20"/>
          <w:szCs w:val="20"/>
        </w:rPr>
        <w:t>Contribution to UNDP Strategic Plan</w:t>
      </w:r>
    </w:p>
    <w:p w14:paraId="6AF9E758" w14:textId="77777777" w:rsidR="00085462" w:rsidRPr="005516CD" w:rsidRDefault="00085462" w:rsidP="00EB5202">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bookmarkStart w:id="47" w:name="_Hlk2349438"/>
      <w:bookmarkStart w:id="48" w:name="_Hlk2349380"/>
      <w:bookmarkEnd w:id="46"/>
      <w:r w:rsidRPr="005516CD">
        <w:rPr>
          <w:rFonts w:asciiTheme="majorHAnsi" w:eastAsia="Calibri" w:hAnsiTheme="majorHAnsi" w:cstheme="majorHAnsi"/>
          <w:sz w:val="20"/>
          <w:szCs w:val="20"/>
        </w:rPr>
        <w:t>The project will contribute to Development Setting B of the UNDP Strategic Plan: Accelerating structural transformations for Sustainable Development.</w:t>
      </w:r>
      <w:r w:rsidR="005753A1" w:rsidRPr="005516CD">
        <w:rPr>
          <w:rFonts w:asciiTheme="majorHAnsi" w:eastAsia="Calibri" w:hAnsiTheme="majorHAnsi" w:cstheme="majorHAnsi"/>
          <w:sz w:val="20"/>
          <w:szCs w:val="20"/>
        </w:rPr>
        <w:t xml:space="preserve"> Specifically, it will contribute to the goals of:</w:t>
      </w:r>
    </w:p>
    <w:bookmarkEnd w:id="47"/>
    <w:p w14:paraId="102D1CD3" w14:textId="77777777" w:rsidR="005753A1" w:rsidRPr="005516CD" w:rsidRDefault="00085462" w:rsidP="00EB5202">
      <w:pPr>
        <w:pStyle w:val="ListParagraph"/>
        <w:numPr>
          <w:ilvl w:val="0"/>
          <w:numId w:val="147"/>
        </w:numPr>
        <w:jc w:val="both"/>
        <w:rPr>
          <w:rFonts w:asciiTheme="majorHAnsi" w:hAnsiTheme="majorHAnsi" w:cstheme="majorHAnsi"/>
          <w:sz w:val="20"/>
          <w:szCs w:val="20"/>
          <w:lang w:val="en-GB" w:eastAsia="x-none"/>
        </w:rPr>
      </w:pPr>
      <w:r w:rsidRPr="005516CD">
        <w:rPr>
          <w:rFonts w:asciiTheme="majorHAnsi" w:hAnsiTheme="majorHAnsi" w:cstheme="majorHAnsi"/>
          <w:b/>
          <w:sz w:val="20"/>
          <w:szCs w:val="20"/>
          <w:lang w:val="en-GB" w:eastAsia="x-none"/>
        </w:rPr>
        <w:t>Inclusive and accountable governance</w:t>
      </w:r>
      <w:r w:rsidR="005753A1" w:rsidRPr="005516CD">
        <w:rPr>
          <w:rFonts w:asciiTheme="majorHAnsi" w:hAnsiTheme="majorHAnsi" w:cstheme="majorHAnsi"/>
          <w:sz w:val="20"/>
          <w:szCs w:val="20"/>
          <w:lang w:val="en-GB" w:eastAsia="x-none"/>
        </w:rPr>
        <w:t>, through its support to socially- and institutionally sustainable mechanisms for governance for tree-rich production systems</w:t>
      </w:r>
    </w:p>
    <w:p w14:paraId="2DB775E3" w14:textId="77777777" w:rsidR="00085462" w:rsidRPr="005516CD" w:rsidRDefault="00085462" w:rsidP="00EB5202">
      <w:pPr>
        <w:pStyle w:val="ListParagraph"/>
        <w:numPr>
          <w:ilvl w:val="0"/>
          <w:numId w:val="148"/>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right="96"/>
        <w:contextualSpacing/>
        <w:jc w:val="both"/>
        <w:rPr>
          <w:rFonts w:asciiTheme="majorHAnsi" w:hAnsiTheme="majorHAnsi" w:cstheme="majorHAnsi"/>
          <w:b/>
          <w:sz w:val="20"/>
          <w:szCs w:val="20"/>
        </w:rPr>
      </w:pPr>
      <w:r w:rsidRPr="005516CD">
        <w:rPr>
          <w:rFonts w:asciiTheme="majorHAnsi" w:hAnsiTheme="majorHAnsi" w:cstheme="majorHAnsi"/>
          <w:b/>
          <w:sz w:val="20"/>
          <w:szCs w:val="20"/>
          <w:lang w:val="en-GB" w:eastAsia="x-none"/>
        </w:rPr>
        <w:t>Effectively leveraging technological advances</w:t>
      </w:r>
      <w:r w:rsidR="005753A1" w:rsidRPr="005516CD">
        <w:rPr>
          <w:rFonts w:asciiTheme="majorHAnsi" w:hAnsiTheme="majorHAnsi" w:cstheme="majorHAnsi"/>
          <w:b/>
          <w:sz w:val="20"/>
          <w:szCs w:val="20"/>
          <w:lang w:val="en-GB" w:eastAsia="x-none"/>
        </w:rPr>
        <w:t>, o</w:t>
      </w:r>
      <w:r w:rsidRPr="005516CD">
        <w:rPr>
          <w:rFonts w:asciiTheme="majorHAnsi" w:hAnsiTheme="majorHAnsi" w:cstheme="majorHAnsi"/>
          <w:b/>
          <w:sz w:val="20"/>
          <w:szCs w:val="20"/>
          <w:lang w:val="en-GB" w:eastAsia="x-none"/>
        </w:rPr>
        <w:t>vercoming unsustainable natural resource management practices</w:t>
      </w:r>
      <w:r w:rsidR="005753A1" w:rsidRPr="005516CD">
        <w:rPr>
          <w:rFonts w:asciiTheme="majorHAnsi" w:hAnsiTheme="majorHAnsi" w:cstheme="majorHAnsi"/>
          <w:b/>
          <w:sz w:val="20"/>
          <w:szCs w:val="20"/>
          <w:lang w:val="en-GB" w:eastAsia="x-none"/>
        </w:rPr>
        <w:t>, high-quality technical and policy advice, and innovative development finance solutions</w:t>
      </w:r>
      <w:r w:rsidR="005753A1" w:rsidRPr="005516CD">
        <w:rPr>
          <w:rFonts w:asciiTheme="majorHAnsi" w:hAnsiTheme="majorHAnsi" w:cstheme="majorHAnsi"/>
          <w:sz w:val="20"/>
          <w:szCs w:val="20"/>
          <w:lang w:val="en-GB" w:eastAsia="x-none"/>
        </w:rPr>
        <w:t>, through the c</w:t>
      </w:r>
      <w:r w:rsidR="005753A1" w:rsidRPr="005516CD">
        <w:rPr>
          <w:rFonts w:asciiTheme="majorHAnsi" w:hAnsiTheme="majorHAnsi" w:cstheme="majorHAnsi"/>
          <w:sz w:val="20"/>
          <w:szCs w:val="20"/>
          <w:lang w:val="en-GB"/>
        </w:rPr>
        <w:t>onsolidation of the capacities of producer cooperatives/federations, improved service delivery systems for technical assistance, improved financing mechanisms for tree-based production systems, and the development of capacities for generating revenue from tree-based systems on farm, including men and women farmers</w:t>
      </w:r>
      <w:bookmarkStart w:id="49" w:name="_Hlk512765"/>
      <w:r w:rsidR="005753A1" w:rsidRPr="005516CD">
        <w:rPr>
          <w:rFonts w:asciiTheme="majorHAnsi" w:hAnsiTheme="majorHAnsi" w:cstheme="majorHAnsi"/>
          <w:sz w:val="20"/>
          <w:szCs w:val="20"/>
          <w:lang w:val="en-GB"/>
        </w:rPr>
        <w:t>,</w:t>
      </w:r>
      <w:r w:rsidR="005753A1" w:rsidRPr="005516CD">
        <w:rPr>
          <w:rFonts w:asciiTheme="majorHAnsi" w:hAnsiTheme="majorHAnsi" w:cstheme="majorHAnsi"/>
          <w:sz w:val="20"/>
          <w:szCs w:val="20"/>
          <w:lang w:val="en-GB" w:eastAsia="x-none"/>
        </w:rPr>
        <w:t xml:space="preserve"> and market-based instruments to facilitate the delivery of environmental benefits</w:t>
      </w:r>
      <w:r w:rsidR="005753A1" w:rsidRPr="005516CD">
        <w:rPr>
          <w:rFonts w:asciiTheme="majorHAnsi" w:hAnsiTheme="majorHAnsi" w:cstheme="majorHAnsi"/>
          <w:sz w:val="20"/>
          <w:szCs w:val="20"/>
          <w:lang w:val="en-GB"/>
        </w:rPr>
        <w:t>.</w:t>
      </w:r>
      <w:bookmarkEnd w:id="49"/>
    </w:p>
    <w:bookmarkEnd w:id="48"/>
    <w:p w14:paraId="723257E2" w14:textId="77777777" w:rsidR="001D112E" w:rsidRPr="005516CD" w:rsidRDefault="001D112E" w:rsidP="007B146B">
      <w:pPr>
        <w:keepNext/>
        <w:tabs>
          <w:tab w:val="left" w:pos="426"/>
        </w:tabs>
        <w:spacing w:after="120"/>
        <w:ind w:right="96"/>
        <w:jc w:val="both"/>
        <w:rPr>
          <w:rFonts w:asciiTheme="majorHAnsi" w:hAnsiTheme="majorHAnsi" w:cstheme="majorHAnsi"/>
          <w:b/>
          <w:sz w:val="20"/>
          <w:szCs w:val="20"/>
        </w:rPr>
      </w:pPr>
      <w:r w:rsidRPr="005516CD">
        <w:rPr>
          <w:rFonts w:asciiTheme="majorHAnsi" w:hAnsiTheme="majorHAnsi" w:cstheme="majorHAnsi"/>
          <w:b/>
          <w:sz w:val="20"/>
          <w:szCs w:val="20"/>
        </w:rPr>
        <w:t>Contribution to national strategies and plans</w:t>
      </w:r>
    </w:p>
    <w:p w14:paraId="106271D0" w14:textId="1E442DF7" w:rsidR="007660EC" w:rsidRPr="005516CD" w:rsidRDefault="007660EC"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project is in accordance with the principal strategic guidelines presented in the country’s draft </w:t>
      </w:r>
      <w:r w:rsidR="004F334C" w:rsidRPr="005516CD">
        <w:rPr>
          <w:rFonts w:asciiTheme="majorHAnsi" w:hAnsiTheme="majorHAnsi" w:cstheme="majorHAnsi"/>
          <w:sz w:val="20"/>
          <w:szCs w:val="20"/>
        </w:rPr>
        <w:t>National Biodiversity Strategy and Action Plan (</w:t>
      </w:r>
      <w:r w:rsidRPr="005516CD">
        <w:rPr>
          <w:rFonts w:asciiTheme="majorHAnsi" w:hAnsiTheme="majorHAnsi" w:cstheme="majorHAnsi"/>
          <w:sz w:val="20"/>
          <w:szCs w:val="20"/>
        </w:rPr>
        <w:t>NBSAP</w:t>
      </w:r>
      <w:r w:rsidR="004F334C" w:rsidRPr="005516CD">
        <w:rPr>
          <w:rFonts w:asciiTheme="majorHAnsi" w:hAnsiTheme="majorHAnsi" w:cstheme="majorHAnsi"/>
          <w:sz w:val="20"/>
          <w:szCs w:val="20"/>
        </w:rPr>
        <w:t>)</w:t>
      </w:r>
      <w:r w:rsidRPr="005516CD">
        <w:rPr>
          <w:rFonts w:asciiTheme="majorHAnsi" w:hAnsiTheme="majorHAnsi" w:cstheme="majorHAnsi"/>
          <w:sz w:val="20"/>
          <w:szCs w:val="20"/>
        </w:rPr>
        <w:t xml:space="preserve">, including the reduction of poverty in communities who rely on biodiversity for their survival and prosperity, the correlation of biodiversity actions with measures that provide employment opportunities and diversify income generation activities, the promotion of the ecosystem approach, promoting gender equity in biodiversity programmes and management, the promotion of a decentralizing approach to manage biodiversity by strengthening civil society and local organizations to facilitate sustainable use of biodiversity, the development of increasing partnerships with the private sector, and the valorisation of traditional and local knowledge. The Triannual Plan of Operations of </w:t>
      </w:r>
      <w:r w:rsidR="009241AB">
        <w:rPr>
          <w:rFonts w:asciiTheme="majorHAnsi" w:hAnsiTheme="majorHAnsi" w:cstheme="majorHAnsi"/>
          <w:sz w:val="20"/>
          <w:szCs w:val="20"/>
        </w:rPr>
        <w:t>MOE</w:t>
      </w:r>
      <w:r w:rsidRPr="005516CD">
        <w:rPr>
          <w:rFonts w:asciiTheme="majorHAnsi" w:hAnsiTheme="majorHAnsi" w:cstheme="majorHAnsi"/>
          <w:sz w:val="20"/>
          <w:szCs w:val="20"/>
        </w:rPr>
        <w:t xml:space="preserve"> for 2013-2016 also prioritizes reforestation, integrated watershed management, strengthening of environmental governance and the sustainable management of PAs and natural spaces. </w:t>
      </w:r>
    </w:p>
    <w:p w14:paraId="2BB50404" w14:textId="77777777" w:rsidR="007660EC" w:rsidRPr="005516CD" w:rsidRDefault="007660EC"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project is in line with the 2010-2020 Action Plan of MARNDR, which prioritizes the protection of natural resources (soil, water and forests) through the practice of integrated and conservationist agriculture, together with the expansion of traditional and non-traditional export crops. </w:t>
      </w:r>
    </w:p>
    <w:p w14:paraId="5A67E3EB" w14:textId="77777777" w:rsidR="007660EC" w:rsidRPr="005516CD" w:rsidRDefault="007660EC"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project will contribute to the priorities and targets set out in Haiti’s Climate Action Plan (2015) in relation to increases in reforestation (with emphasis on local species), the protection and conservation of existing forest reserves and the restoration and extension of agroforestry systems.</w:t>
      </w:r>
    </w:p>
    <w:p w14:paraId="5E9F9FBC" w14:textId="77777777" w:rsidR="007660EC" w:rsidRPr="005516CD" w:rsidRDefault="007660EC"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project will also contribute to the targets of Haiti’s 2015 National Action Plan for the Combat of Desertification, in particular that populations in areas affected by desertification/degradation will have improved and diversified livelihood support options and will obtain revenue through sustainable land management; sustainable improvements in the productivity of lands and the goods and services provided by ecosystems, contributing to livelihoods.</w:t>
      </w:r>
    </w:p>
    <w:p w14:paraId="2CBFE8AF" w14:textId="77777777" w:rsidR="007660EC" w:rsidRPr="005516CD" w:rsidRDefault="007660EC"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In January 2017 Haiti launched its process for the definition of a strategy for Land Degradation Neutrality, with corresponding targets, through a national information and coordination workshop. It is expected that national targets will have been established by the time of CEO Endorsement of this project, and the level of contribution of this project to those targets will accordingly be defined</w:t>
      </w:r>
      <w:r w:rsidR="00ED09CA" w:rsidRPr="005516CD">
        <w:rPr>
          <w:rFonts w:asciiTheme="majorHAnsi" w:hAnsiTheme="majorHAnsi" w:cstheme="majorHAnsi"/>
          <w:sz w:val="20"/>
          <w:szCs w:val="20"/>
        </w:rPr>
        <w:t xml:space="preserve"> with a clear SLM </w:t>
      </w:r>
      <w:r w:rsidR="0004406D" w:rsidRPr="005516CD">
        <w:rPr>
          <w:rFonts w:asciiTheme="majorHAnsi" w:hAnsiTheme="majorHAnsi" w:cstheme="majorHAnsi"/>
          <w:sz w:val="20"/>
          <w:szCs w:val="20"/>
        </w:rPr>
        <w:t xml:space="preserve">mainstreaming </w:t>
      </w:r>
      <w:r w:rsidR="00ED09CA" w:rsidRPr="005516CD">
        <w:rPr>
          <w:rFonts w:asciiTheme="majorHAnsi" w:hAnsiTheme="majorHAnsi" w:cstheme="majorHAnsi"/>
          <w:sz w:val="20"/>
          <w:szCs w:val="20"/>
        </w:rPr>
        <w:t>and scaling out strategy</w:t>
      </w:r>
      <w:r w:rsidRPr="005516CD">
        <w:rPr>
          <w:rFonts w:asciiTheme="majorHAnsi" w:hAnsiTheme="majorHAnsi" w:cstheme="majorHAnsi"/>
          <w:sz w:val="20"/>
          <w:szCs w:val="20"/>
        </w:rPr>
        <w:t xml:space="preserve">. </w:t>
      </w:r>
    </w:p>
    <w:p w14:paraId="594E3EF0" w14:textId="77777777" w:rsidR="001771FE" w:rsidRPr="005516CD"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themeColor="text1"/>
          <w:sz w:val="20"/>
          <w:szCs w:val="20"/>
          <w:lang w:val="en-US"/>
        </w:rPr>
      </w:pPr>
      <w:r w:rsidRPr="005516CD">
        <w:rPr>
          <w:rFonts w:asciiTheme="majorHAnsi" w:hAnsiTheme="majorHAnsi" w:cstheme="majorHAnsi"/>
          <w:color w:val="000000" w:themeColor="text1"/>
          <w:sz w:val="20"/>
          <w:szCs w:val="20"/>
          <w:lang w:val="en-US"/>
        </w:rPr>
        <w:t xml:space="preserve">Furthermore, the project is consistent with the Sustainable Development Goals (SDGs), in particular: </w:t>
      </w:r>
    </w:p>
    <w:p w14:paraId="29D17453" w14:textId="77777777" w:rsidR="00D0243C" w:rsidRPr="005516CD" w:rsidRDefault="00153345" w:rsidP="00153345">
      <w:pPr>
        <w:pStyle w:val="ListParagraph"/>
        <w:numPr>
          <w:ilvl w:val="0"/>
          <w:numId w:val="96"/>
        </w:numPr>
        <w:tabs>
          <w:tab w:val="left" w:pos="709"/>
        </w:tabs>
        <w:spacing w:after="120"/>
        <w:ind w:right="96"/>
        <w:jc w:val="both"/>
        <w:rPr>
          <w:rFonts w:asciiTheme="majorHAnsi" w:hAnsiTheme="majorHAnsi" w:cstheme="majorHAnsi"/>
          <w:color w:val="000000" w:themeColor="text1"/>
          <w:sz w:val="20"/>
          <w:szCs w:val="20"/>
        </w:rPr>
      </w:pPr>
      <w:r w:rsidRPr="005516CD">
        <w:rPr>
          <w:rFonts w:asciiTheme="majorHAnsi" w:hAnsiTheme="majorHAnsi" w:cstheme="majorHAnsi"/>
          <w:b/>
          <w:color w:val="000000" w:themeColor="text1"/>
          <w:sz w:val="20"/>
          <w:szCs w:val="20"/>
        </w:rPr>
        <w:t>Goal 1: No poverty.</w:t>
      </w:r>
      <w:r w:rsidR="009C7203" w:rsidRPr="005516CD">
        <w:rPr>
          <w:rFonts w:asciiTheme="majorHAnsi" w:hAnsiTheme="majorHAnsi" w:cstheme="majorHAnsi"/>
          <w:color w:val="000000" w:themeColor="text1"/>
          <w:sz w:val="20"/>
          <w:szCs w:val="20"/>
        </w:rPr>
        <w:t xml:space="preserve"> The project will increase incomes among project beneficiaries, and contribute to the resilience of their incomes, through the promotion of value chain opportunities, the development of farmer capacities for production and value adding, and the diversification of income sources.</w:t>
      </w:r>
    </w:p>
    <w:p w14:paraId="636866A6" w14:textId="77777777" w:rsidR="009C7203" w:rsidRPr="005516CD" w:rsidRDefault="009C7203" w:rsidP="00153345">
      <w:pPr>
        <w:pStyle w:val="ListParagraph"/>
        <w:numPr>
          <w:ilvl w:val="0"/>
          <w:numId w:val="96"/>
        </w:numPr>
        <w:tabs>
          <w:tab w:val="left" w:pos="709"/>
        </w:tabs>
        <w:spacing w:after="120"/>
        <w:ind w:right="96"/>
        <w:jc w:val="both"/>
        <w:rPr>
          <w:rFonts w:asciiTheme="majorHAnsi" w:hAnsiTheme="majorHAnsi" w:cstheme="majorHAnsi"/>
          <w:color w:val="000000" w:themeColor="text1"/>
          <w:sz w:val="20"/>
          <w:szCs w:val="20"/>
        </w:rPr>
      </w:pPr>
      <w:r w:rsidRPr="005516CD">
        <w:rPr>
          <w:rFonts w:asciiTheme="majorHAnsi" w:hAnsiTheme="majorHAnsi" w:cstheme="majorHAnsi"/>
          <w:b/>
          <w:color w:val="000000" w:themeColor="text1"/>
          <w:sz w:val="20"/>
          <w:szCs w:val="20"/>
        </w:rPr>
        <w:t>Goal 2: Zero hunger.</w:t>
      </w:r>
      <w:r w:rsidRPr="005516CD">
        <w:rPr>
          <w:rFonts w:asciiTheme="majorHAnsi" w:hAnsiTheme="majorHAnsi" w:cstheme="majorHAnsi"/>
          <w:color w:val="000000" w:themeColor="text1"/>
          <w:sz w:val="20"/>
          <w:szCs w:val="20"/>
        </w:rPr>
        <w:t xml:space="preserve"> The project will contribute to the productive diversification of agroforests, including nutritionally important food crops such as plantains, bananas, citrus and breadfruit. </w:t>
      </w:r>
    </w:p>
    <w:p w14:paraId="3736C79F" w14:textId="77777777" w:rsidR="009C7203" w:rsidRPr="005516CD" w:rsidRDefault="009C7203" w:rsidP="00153345">
      <w:pPr>
        <w:pStyle w:val="ListParagraph"/>
        <w:numPr>
          <w:ilvl w:val="0"/>
          <w:numId w:val="96"/>
        </w:numPr>
        <w:tabs>
          <w:tab w:val="left" w:pos="709"/>
        </w:tabs>
        <w:spacing w:after="120"/>
        <w:ind w:right="96"/>
        <w:jc w:val="both"/>
        <w:rPr>
          <w:rFonts w:asciiTheme="majorHAnsi" w:hAnsiTheme="majorHAnsi" w:cstheme="majorHAnsi"/>
          <w:color w:val="000000" w:themeColor="text1"/>
          <w:sz w:val="20"/>
          <w:szCs w:val="20"/>
        </w:rPr>
      </w:pPr>
      <w:r w:rsidRPr="005516CD">
        <w:rPr>
          <w:rFonts w:asciiTheme="majorHAnsi" w:hAnsiTheme="majorHAnsi" w:cstheme="majorHAnsi"/>
          <w:b/>
          <w:color w:val="000000" w:themeColor="text1"/>
          <w:sz w:val="20"/>
          <w:szCs w:val="20"/>
        </w:rPr>
        <w:t>Goal 5: Gender equality.</w:t>
      </w:r>
      <w:r w:rsidRPr="005516CD">
        <w:rPr>
          <w:rFonts w:asciiTheme="majorHAnsi" w:hAnsiTheme="majorHAnsi" w:cstheme="majorHAnsi"/>
          <w:color w:val="000000" w:themeColor="text1"/>
          <w:sz w:val="20"/>
          <w:szCs w:val="20"/>
        </w:rPr>
        <w:t xml:space="preserve"> The project will promote opportunities for women to obtain benefits from natural resource management, including through small businesses focused on adding value to the products of </w:t>
      </w:r>
      <w:r w:rsidR="00D22B62" w:rsidRPr="005516CD">
        <w:rPr>
          <w:rFonts w:asciiTheme="majorHAnsi" w:hAnsiTheme="majorHAnsi" w:cstheme="majorHAnsi"/>
          <w:color w:val="000000" w:themeColor="text1"/>
          <w:sz w:val="20"/>
          <w:szCs w:val="20"/>
        </w:rPr>
        <w:t xml:space="preserve">BD-friendly </w:t>
      </w:r>
      <w:r w:rsidRPr="005516CD">
        <w:rPr>
          <w:rFonts w:asciiTheme="majorHAnsi" w:hAnsiTheme="majorHAnsi" w:cstheme="majorHAnsi"/>
          <w:color w:val="000000" w:themeColor="text1"/>
          <w:sz w:val="20"/>
          <w:szCs w:val="20"/>
        </w:rPr>
        <w:t>agroforests</w:t>
      </w:r>
      <w:r w:rsidR="005265AB" w:rsidRPr="005516CD">
        <w:rPr>
          <w:rFonts w:asciiTheme="majorHAnsi" w:hAnsiTheme="majorHAnsi" w:cstheme="majorHAnsi"/>
          <w:color w:val="000000" w:themeColor="text1"/>
          <w:sz w:val="20"/>
          <w:szCs w:val="20"/>
        </w:rPr>
        <w:t xml:space="preserve">, and through trade in these products. </w:t>
      </w:r>
    </w:p>
    <w:p w14:paraId="4B94E605" w14:textId="77777777" w:rsidR="005265AB" w:rsidRPr="005516CD" w:rsidRDefault="005265AB" w:rsidP="00153345">
      <w:pPr>
        <w:pStyle w:val="ListParagraph"/>
        <w:numPr>
          <w:ilvl w:val="0"/>
          <w:numId w:val="96"/>
        </w:numPr>
        <w:tabs>
          <w:tab w:val="left" w:pos="709"/>
        </w:tabs>
        <w:spacing w:after="120"/>
        <w:ind w:right="96"/>
        <w:jc w:val="both"/>
        <w:rPr>
          <w:rFonts w:asciiTheme="majorHAnsi" w:hAnsiTheme="majorHAnsi" w:cstheme="majorHAnsi"/>
          <w:color w:val="000000" w:themeColor="text1"/>
          <w:sz w:val="20"/>
          <w:szCs w:val="20"/>
        </w:rPr>
      </w:pPr>
      <w:r w:rsidRPr="005516CD">
        <w:rPr>
          <w:rFonts w:asciiTheme="majorHAnsi" w:hAnsiTheme="majorHAnsi" w:cstheme="majorHAnsi"/>
          <w:b/>
          <w:color w:val="000000" w:themeColor="text1"/>
          <w:sz w:val="20"/>
          <w:szCs w:val="20"/>
        </w:rPr>
        <w:t>Goal 8:</w:t>
      </w:r>
      <w:r w:rsidRPr="005516CD">
        <w:rPr>
          <w:rFonts w:asciiTheme="majorHAnsi" w:hAnsiTheme="majorHAnsi" w:cstheme="majorHAnsi"/>
          <w:color w:val="000000" w:themeColor="text1"/>
          <w:sz w:val="20"/>
          <w:szCs w:val="20"/>
        </w:rPr>
        <w:t xml:space="preserve"> </w:t>
      </w:r>
      <w:r w:rsidRPr="005516CD">
        <w:rPr>
          <w:rFonts w:asciiTheme="majorHAnsi" w:hAnsiTheme="majorHAnsi" w:cstheme="majorHAnsi"/>
          <w:b/>
          <w:color w:val="000000" w:themeColor="text1"/>
          <w:sz w:val="20"/>
          <w:szCs w:val="20"/>
        </w:rPr>
        <w:t>Decent work and economic growth.</w:t>
      </w:r>
      <w:r w:rsidRPr="005516CD">
        <w:rPr>
          <w:rFonts w:asciiTheme="majorHAnsi" w:hAnsiTheme="majorHAnsi" w:cstheme="majorHAnsi"/>
          <w:color w:val="000000" w:themeColor="text1"/>
          <w:sz w:val="20"/>
          <w:szCs w:val="20"/>
        </w:rPr>
        <w:t xml:space="preserve"> The project will genera</w:t>
      </w:r>
      <w:r w:rsidR="00EE314F" w:rsidRPr="005516CD">
        <w:rPr>
          <w:rFonts w:asciiTheme="majorHAnsi" w:hAnsiTheme="majorHAnsi" w:cstheme="majorHAnsi"/>
          <w:color w:val="000000" w:themeColor="text1"/>
          <w:sz w:val="20"/>
          <w:szCs w:val="20"/>
        </w:rPr>
        <w:t xml:space="preserve">te </w:t>
      </w:r>
      <w:r w:rsidR="00D22B62" w:rsidRPr="005516CD">
        <w:rPr>
          <w:rFonts w:asciiTheme="majorHAnsi" w:hAnsiTheme="majorHAnsi" w:cstheme="majorHAnsi"/>
          <w:color w:val="000000" w:themeColor="text1"/>
          <w:sz w:val="20"/>
          <w:szCs w:val="20"/>
        </w:rPr>
        <w:t>employment activities for local people (including the poor and women) in businesses involved in adding value to the products of BD-friendly agroforests.</w:t>
      </w:r>
    </w:p>
    <w:p w14:paraId="2A491DB1" w14:textId="77777777" w:rsidR="00D22B62" w:rsidRPr="005516CD" w:rsidRDefault="00D22B62" w:rsidP="00153345">
      <w:pPr>
        <w:pStyle w:val="ListParagraph"/>
        <w:numPr>
          <w:ilvl w:val="0"/>
          <w:numId w:val="96"/>
        </w:numPr>
        <w:tabs>
          <w:tab w:val="left" w:pos="709"/>
        </w:tabs>
        <w:spacing w:after="120"/>
        <w:ind w:right="96"/>
        <w:jc w:val="both"/>
        <w:rPr>
          <w:rFonts w:asciiTheme="majorHAnsi" w:hAnsiTheme="majorHAnsi" w:cstheme="majorHAnsi"/>
          <w:color w:val="000000" w:themeColor="text1"/>
          <w:sz w:val="20"/>
          <w:szCs w:val="20"/>
        </w:rPr>
      </w:pPr>
      <w:r w:rsidRPr="005516CD">
        <w:rPr>
          <w:rFonts w:asciiTheme="majorHAnsi" w:hAnsiTheme="majorHAnsi" w:cstheme="majorHAnsi"/>
          <w:b/>
          <w:color w:val="000000" w:themeColor="text1"/>
          <w:sz w:val="20"/>
          <w:szCs w:val="20"/>
        </w:rPr>
        <w:t>Goal 12: Responsible production and consumption.</w:t>
      </w:r>
      <w:r w:rsidRPr="005516CD">
        <w:rPr>
          <w:rFonts w:asciiTheme="majorHAnsi" w:hAnsiTheme="majorHAnsi" w:cstheme="majorHAnsi"/>
          <w:color w:val="000000" w:themeColor="text1"/>
          <w:sz w:val="20"/>
          <w:szCs w:val="20"/>
        </w:rPr>
        <w:t xml:space="preserve"> The project will </w:t>
      </w:r>
      <w:r w:rsidR="000D5112" w:rsidRPr="005516CD">
        <w:rPr>
          <w:rFonts w:asciiTheme="majorHAnsi" w:hAnsiTheme="majorHAnsi" w:cstheme="majorHAnsi"/>
          <w:color w:val="000000" w:themeColor="text1"/>
          <w:sz w:val="20"/>
          <w:szCs w:val="20"/>
        </w:rPr>
        <w:t>support the production of globally traded commodities (cocoa and coffee) in accordance with principles of environmental sustainability.</w:t>
      </w:r>
    </w:p>
    <w:p w14:paraId="5204DAE7" w14:textId="77777777" w:rsidR="000D5112" w:rsidRPr="005516CD" w:rsidRDefault="000D5112" w:rsidP="00153345">
      <w:pPr>
        <w:pStyle w:val="ListParagraph"/>
        <w:numPr>
          <w:ilvl w:val="0"/>
          <w:numId w:val="96"/>
        </w:numPr>
        <w:tabs>
          <w:tab w:val="left" w:pos="709"/>
        </w:tabs>
        <w:spacing w:after="120"/>
        <w:ind w:right="96"/>
        <w:jc w:val="both"/>
        <w:rPr>
          <w:rFonts w:asciiTheme="majorHAnsi" w:hAnsiTheme="majorHAnsi" w:cstheme="majorHAnsi"/>
          <w:color w:val="000000" w:themeColor="text1"/>
          <w:sz w:val="20"/>
          <w:szCs w:val="20"/>
        </w:rPr>
      </w:pPr>
      <w:r w:rsidRPr="005516CD">
        <w:rPr>
          <w:rFonts w:asciiTheme="majorHAnsi" w:hAnsiTheme="majorHAnsi" w:cstheme="majorHAnsi"/>
          <w:b/>
          <w:color w:val="000000" w:themeColor="text1"/>
          <w:sz w:val="20"/>
          <w:szCs w:val="20"/>
        </w:rPr>
        <w:t xml:space="preserve">Goal 15: Life on land. </w:t>
      </w:r>
      <w:r w:rsidRPr="005516CD">
        <w:rPr>
          <w:rFonts w:asciiTheme="majorHAnsi" w:hAnsiTheme="majorHAnsi" w:cstheme="majorHAnsi"/>
          <w:color w:val="000000" w:themeColor="text1"/>
          <w:sz w:val="20"/>
          <w:szCs w:val="20"/>
        </w:rPr>
        <w:t>The project will contribute to the restoration of degraded landscapes in such a way as to improve habitat and connectivity conditions of benefit for globally threatened biodiversity.</w:t>
      </w:r>
    </w:p>
    <w:p w14:paraId="1F4EB453" w14:textId="77777777" w:rsidR="001771FE" w:rsidRPr="005516CD" w:rsidRDefault="00045B04" w:rsidP="007B146B">
      <w:pPr>
        <w:pStyle w:val="Heading2"/>
        <w:spacing w:after="120"/>
        <w:ind w:left="0"/>
        <w:rPr>
          <w:rStyle w:val="None"/>
          <w:rFonts w:asciiTheme="majorHAnsi" w:eastAsia="Calibri" w:hAnsiTheme="majorHAnsi" w:cstheme="majorHAnsi"/>
          <w:color w:val="auto"/>
        </w:rPr>
      </w:pPr>
      <w:bookmarkStart w:id="50" w:name="_Toc8933082"/>
      <w:r w:rsidRPr="005516CD">
        <w:rPr>
          <w:rStyle w:val="None"/>
          <w:rFonts w:asciiTheme="majorHAnsi" w:eastAsia="Calibri" w:hAnsiTheme="majorHAnsi" w:cstheme="majorHAnsi"/>
          <w:color w:val="auto"/>
          <w:lang w:val="en-US"/>
        </w:rPr>
        <w:t>Specific strategies</w:t>
      </w:r>
      <w:bookmarkEnd w:id="50"/>
    </w:p>
    <w:p w14:paraId="296896EA" w14:textId="77777777" w:rsidR="001771FE" w:rsidRPr="005516CD"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In recognition of the complexity of the target landscapes and the issues affecting them, the project will apply a wide range of key strategies: despite their diversity, these will be highly complementary and integrated, as well as clearly defined and relevant to the needs and conditions in the landscape, and to the specific changes which the project will promote in land use trends. </w:t>
      </w:r>
    </w:p>
    <w:p w14:paraId="2C7262C7" w14:textId="77777777" w:rsidR="001771FE" w:rsidRPr="005516CD" w:rsidRDefault="00045B04" w:rsidP="00D66519">
      <w:pPr>
        <w:pStyle w:val="ListParagraph"/>
        <w:numPr>
          <w:ilvl w:val="0"/>
          <w:numId w:val="11"/>
        </w:numPr>
        <w:rPr>
          <w:rStyle w:val="None"/>
          <w:rFonts w:asciiTheme="majorHAnsi" w:eastAsia="Calibri" w:hAnsiTheme="majorHAnsi" w:cstheme="majorHAnsi"/>
          <w:b/>
          <w:bCs/>
          <w:i/>
          <w:iCs/>
          <w:color w:val="auto"/>
          <w:sz w:val="20"/>
          <w:szCs w:val="20"/>
        </w:rPr>
      </w:pPr>
      <w:r w:rsidRPr="005516CD">
        <w:rPr>
          <w:rStyle w:val="None"/>
          <w:rFonts w:asciiTheme="majorHAnsi" w:eastAsia="Calibri" w:hAnsiTheme="majorHAnsi" w:cstheme="majorHAnsi"/>
          <w:b/>
          <w:bCs/>
          <w:i/>
          <w:iCs/>
          <w:color w:val="auto"/>
          <w:sz w:val="20"/>
          <w:szCs w:val="20"/>
        </w:rPr>
        <w:t>Strengthening enabling conditions</w:t>
      </w:r>
    </w:p>
    <w:p w14:paraId="3B4448FB" w14:textId="77777777" w:rsidR="001771FE" w:rsidRPr="005516CD"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The project will help to orient and form policy and planning processes at national and regional levels in order to ensure that these are supportive of the landscape management approaches promoted at field level. This support will focus on ensuring that policies and plans are consistent and harmonized between sectors in order to avoid contradictions and </w:t>
      </w:r>
      <w:r w:rsidRPr="005516CD">
        <w:rPr>
          <w:rFonts w:asciiTheme="majorHAnsi" w:hAnsiTheme="majorHAnsi" w:cstheme="majorHAnsi"/>
          <w:sz w:val="20"/>
          <w:szCs w:val="20"/>
        </w:rPr>
        <w:t>“</w:t>
      </w:r>
      <w:r w:rsidRPr="005516CD">
        <w:rPr>
          <w:rFonts w:asciiTheme="majorHAnsi" w:hAnsiTheme="majorHAnsi" w:cstheme="majorHAnsi"/>
          <w:sz w:val="20"/>
          <w:szCs w:val="20"/>
          <w:lang w:val="en-US"/>
        </w:rPr>
        <w:t>perverse incentives</w:t>
      </w:r>
      <w:r w:rsidRPr="005516CD">
        <w:rPr>
          <w:rFonts w:asciiTheme="majorHAnsi" w:hAnsiTheme="majorHAnsi" w:cstheme="majorHAnsi"/>
          <w:sz w:val="20"/>
          <w:szCs w:val="20"/>
        </w:rPr>
        <w:t xml:space="preserve">” </w:t>
      </w:r>
      <w:r w:rsidRPr="005516CD">
        <w:rPr>
          <w:rFonts w:asciiTheme="majorHAnsi" w:hAnsiTheme="majorHAnsi" w:cstheme="majorHAnsi"/>
          <w:sz w:val="20"/>
          <w:szCs w:val="20"/>
          <w:lang w:val="en-US"/>
        </w:rPr>
        <w:t xml:space="preserve">for deforestation; and that policy makers and planners have access to reliable information that allows them to appreciate and weigh the diverse potential implications of alternative decision scenarios, including the economic value of the goods and services provided by ecosystems.  </w:t>
      </w:r>
    </w:p>
    <w:p w14:paraId="45B0931C" w14:textId="77777777" w:rsidR="001771FE" w:rsidRPr="005516CD" w:rsidRDefault="00045B04" w:rsidP="00D66519">
      <w:pPr>
        <w:pStyle w:val="ListParagraph"/>
        <w:numPr>
          <w:ilvl w:val="0"/>
          <w:numId w:val="12"/>
        </w:numPr>
        <w:rPr>
          <w:rStyle w:val="None"/>
          <w:rFonts w:asciiTheme="majorHAnsi" w:eastAsia="Calibri" w:hAnsiTheme="majorHAnsi" w:cstheme="majorHAnsi"/>
          <w:b/>
          <w:bCs/>
          <w:i/>
          <w:iCs/>
          <w:color w:val="auto"/>
          <w:sz w:val="20"/>
          <w:szCs w:val="20"/>
        </w:rPr>
      </w:pPr>
      <w:r w:rsidRPr="005516CD">
        <w:rPr>
          <w:rStyle w:val="None"/>
          <w:rFonts w:asciiTheme="majorHAnsi" w:eastAsia="Calibri" w:hAnsiTheme="majorHAnsi" w:cstheme="majorHAnsi"/>
          <w:b/>
          <w:bCs/>
          <w:i/>
          <w:iCs/>
          <w:color w:val="auto"/>
          <w:sz w:val="20"/>
          <w:szCs w:val="20"/>
        </w:rPr>
        <w:t>Environmental governance</w:t>
      </w:r>
    </w:p>
    <w:p w14:paraId="22086F6B" w14:textId="77777777" w:rsidR="001771FE" w:rsidRPr="005516CD"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lang w:val="en-US"/>
        </w:rPr>
        <w:t xml:space="preserve">The project will support the strengthening of governance conditions in the target localities in order to ensure that the provisions of regulatory and zoning instruments, such as restrictions on the felling of primary forest, are respected. This will be achieved through support to local governance mechanisms (including those of indigenous communities and women), complemented by policy influence and awareness raising, which is expected to lead to increases in budgetary allocation by central and regional governments for environmental supervision and enforcement. </w:t>
      </w:r>
    </w:p>
    <w:p w14:paraId="38A711F8" w14:textId="77777777" w:rsidR="001771FE" w:rsidRPr="005516CD" w:rsidRDefault="00045B04" w:rsidP="00D66519">
      <w:pPr>
        <w:pStyle w:val="ListParagraph"/>
        <w:numPr>
          <w:ilvl w:val="0"/>
          <w:numId w:val="11"/>
        </w:numPr>
        <w:rPr>
          <w:rStyle w:val="None"/>
          <w:rFonts w:asciiTheme="majorHAnsi" w:eastAsia="Calibri" w:hAnsiTheme="majorHAnsi" w:cstheme="majorHAnsi"/>
          <w:b/>
          <w:bCs/>
          <w:i/>
          <w:iCs/>
          <w:color w:val="auto"/>
          <w:sz w:val="20"/>
          <w:szCs w:val="20"/>
        </w:rPr>
      </w:pPr>
      <w:r w:rsidRPr="005516CD">
        <w:rPr>
          <w:rStyle w:val="None"/>
          <w:rFonts w:asciiTheme="majorHAnsi" w:eastAsia="Calibri" w:hAnsiTheme="majorHAnsi" w:cstheme="majorHAnsi"/>
          <w:b/>
          <w:bCs/>
          <w:i/>
          <w:iCs/>
          <w:color w:val="auto"/>
          <w:sz w:val="20"/>
          <w:szCs w:val="20"/>
        </w:rPr>
        <w:t>Landscape planning</w:t>
      </w:r>
    </w:p>
    <w:p w14:paraId="7C693679" w14:textId="77777777" w:rsidR="001771FE" w:rsidRPr="005516CD"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The project will help to ensure that management activities are located in the landscape in accordance with productive potential, ecological conditions and sociocultural conditions, and take into account the spatial dynamics affecting the landscape as a whole.</w:t>
      </w:r>
    </w:p>
    <w:p w14:paraId="6B5BC8EC" w14:textId="77777777" w:rsidR="001771FE" w:rsidRPr="005516CD" w:rsidRDefault="00045B04" w:rsidP="00D66519">
      <w:pPr>
        <w:pStyle w:val="ListParagraph"/>
        <w:numPr>
          <w:ilvl w:val="0"/>
          <w:numId w:val="13"/>
        </w:numPr>
        <w:rPr>
          <w:rStyle w:val="None"/>
          <w:rFonts w:asciiTheme="majorHAnsi" w:eastAsia="Calibri" w:hAnsiTheme="majorHAnsi" w:cstheme="majorHAnsi"/>
          <w:b/>
          <w:bCs/>
          <w:i/>
          <w:iCs/>
          <w:color w:val="auto"/>
          <w:sz w:val="20"/>
          <w:szCs w:val="20"/>
        </w:rPr>
      </w:pPr>
      <w:r w:rsidRPr="005516CD">
        <w:rPr>
          <w:rStyle w:val="None"/>
          <w:rFonts w:asciiTheme="majorHAnsi" w:eastAsia="Calibri" w:hAnsiTheme="majorHAnsi" w:cstheme="majorHAnsi"/>
          <w:b/>
          <w:bCs/>
          <w:i/>
          <w:iCs/>
          <w:color w:val="auto"/>
          <w:sz w:val="20"/>
          <w:szCs w:val="20"/>
        </w:rPr>
        <w:t>Producer support</w:t>
      </w:r>
    </w:p>
    <w:p w14:paraId="3B380770" w14:textId="77777777" w:rsidR="001771FE" w:rsidRPr="005516CD"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The project will support producers in managing their production systems in ways that combine the optimization of environmental benefits with productive sustainability, profitability and compatibility with livelihood sustainability and sociocultural conditions, mainstreaming gender and inter-cultural issues. </w:t>
      </w:r>
    </w:p>
    <w:p w14:paraId="6F821758" w14:textId="77777777" w:rsidR="001771FE" w:rsidRPr="005516CD"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Emphasis will be placed on tree-based production systems such as coffee and </w:t>
      </w:r>
      <w:r w:rsidR="00034EA1" w:rsidRPr="005516CD">
        <w:rPr>
          <w:rFonts w:asciiTheme="majorHAnsi" w:hAnsiTheme="majorHAnsi" w:cstheme="majorHAnsi"/>
          <w:sz w:val="20"/>
          <w:szCs w:val="20"/>
          <w:lang w:val="en-US"/>
        </w:rPr>
        <w:t>cacao</w:t>
      </w:r>
      <w:r w:rsidRPr="005516CD">
        <w:rPr>
          <w:rFonts w:asciiTheme="majorHAnsi" w:hAnsiTheme="majorHAnsi" w:cstheme="majorHAnsi"/>
          <w:sz w:val="20"/>
          <w:szCs w:val="20"/>
          <w:lang w:val="en-US"/>
        </w:rPr>
        <w:t>, with the aim of stabilizing the productive dynamics that drive agricultural frontier advance</w:t>
      </w:r>
      <w:r w:rsidR="00A504BA" w:rsidRPr="005516CD">
        <w:rPr>
          <w:rFonts w:asciiTheme="majorHAnsi" w:hAnsiTheme="majorHAnsi" w:cstheme="majorHAnsi"/>
          <w:sz w:val="20"/>
          <w:szCs w:val="20"/>
          <w:lang w:val="en-US"/>
        </w:rPr>
        <w:t>.</w:t>
      </w:r>
    </w:p>
    <w:p w14:paraId="6CC68BFE" w14:textId="77777777" w:rsidR="001771FE" w:rsidRPr="005516CD" w:rsidRDefault="00045B04" w:rsidP="00D66519">
      <w:pPr>
        <w:pStyle w:val="ListParagraph"/>
        <w:numPr>
          <w:ilvl w:val="0"/>
          <w:numId w:val="14"/>
        </w:numPr>
        <w:rPr>
          <w:rStyle w:val="None"/>
          <w:rFonts w:asciiTheme="majorHAnsi" w:eastAsia="Calibri" w:hAnsiTheme="majorHAnsi" w:cstheme="majorHAnsi"/>
          <w:b/>
          <w:bCs/>
          <w:i/>
          <w:iCs/>
          <w:color w:val="auto"/>
          <w:sz w:val="20"/>
          <w:szCs w:val="20"/>
        </w:rPr>
      </w:pPr>
      <w:r w:rsidRPr="005516CD">
        <w:rPr>
          <w:rStyle w:val="None"/>
          <w:rFonts w:asciiTheme="majorHAnsi" w:eastAsia="Calibri" w:hAnsiTheme="majorHAnsi" w:cstheme="majorHAnsi"/>
          <w:b/>
          <w:bCs/>
          <w:i/>
          <w:iCs/>
          <w:color w:val="auto"/>
          <w:sz w:val="20"/>
          <w:szCs w:val="20"/>
        </w:rPr>
        <w:t>Private sector involvement</w:t>
      </w:r>
    </w:p>
    <w:p w14:paraId="17F58763" w14:textId="77777777" w:rsidR="001771FE" w:rsidRPr="005516CD"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The project will involve the private sector, and work with market-based instruments and green value chains, in order to promote environmentally</w:t>
      </w:r>
      <w:r w:rsidR="009F3E1D" w:rsidRPr="005516CD">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 xml:space="preserve">sustainable and zero-deforestation forms of production. </w:t>
      </w:r>
    </w:p>
    <w:p w14:paraId="41579B09" w14:textId="77777777" w:rsidR="001771FE" w:rsidRPr="005516CD" w:rsidRDefault="00045B04" w:rsidP="007B146B">
      <w:pPr>
        <w:pStyle w:val="Heading2"/>
        <w:spacing w:after="0"/>
        <w:ind w:left="0"/>
        <w:rPr>
          <w:rStyle w:val="None"/>
          <w:rFonts w:ascii="Calibri" w:eastAsia="Calibri" w:hAnsi="Calibri" w:cs="Calibri"/>
        </w:rPr>
      </w:pPr>
      <w:bookmarkStart w:id="51" w:name="_Toc8933083"/>
      <w:r w:rsidRPr="005516CD">
        <w:rPr>
          <w:rStyle w:val="None"/>
          <w:rFonts w:ascii="Calibri" w:eastAsia="Calibri" w:hAnsi="Calibri" w:cs="Calibri"/>
          <w:lang w:val="en-US"/>
        </w:rPr>
        <w:t>Incorporation of stakeholder concerns</w:t>
      </w:r>
      <w:bookmarkEnd w:id="51"/>
    </w:p>
    <w:p w14:paraId="58E37957" w14:textId="77777777" w:rsidR="00673E39" w:rsidRPr="005516CD" w:rsidRDefault="00673E3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There are no indigenous people in Haiti. </w:t>
      </w:r>
    </w:p>
    <w:p w14:paraId="29B2ECFA" w14:textId="77777777" w:rsidR="00342380" w:rsidRPr="005516CD" w:rsidRDefault="0034238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Project design responds to the results of extensive consultation processes during the formulation phase, including community meetings, focus groups meetings and bilateral meetings with representatives of specific organisations (including community-based organisations, NGOs and institutions of local and central government).</w:t>
      </w:r>
    </w:p>
    <w:p w14:paraId="5039FBA6" w14:textId="77777777" w:rsidR="00342380" w:rsidRPr="005516CD" w:rsidRDefault="0034238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As reported in Section I, the main concerns of most rural families include food security, income generation to meet cash expenditure obligations, and saving to cover lean periods. Farm families are also typically risk averse</w:t>
      </w:r>
      <w:r w:rsidR="005A042A" w:rsidRPr="005516CD">
        <w:rPr>
          <w:rFonts w:asciiTheme="majorHAnsi" w:hAnsiTheme="majorHAnsi" w:cstheme="majorHAnsi"/>
          <w:sz w:val="20"/>
          <w:szCs w:val="20"/>
        </w:rPr>
        <w:t xml:space="preserve">; they also expressed very limited willingness </w:t>
      </w:r>
      <w:r w:rsidR="006C1129" w:rsidRPr="005516CD">
        <w:rPr>
          <w:rFonts w:asciiTheme="majorHAnsi" w:hAnsiTheme="majorHAnsi" w:cstheme="majorHAnsi"/>
          <w:sz w:val="20"/>
          <w:szCs w:val="20"/>
        </w:rPr>
        <w:t>for their main priorities to be affected in order to favour biodiversity.</w:t>
      </w:r>
    </w:p>
    <w:p w14:paraId="5B77FE6C" w14:textId="2DF85314" w:rsidR="006C1129" w:rsidRPr="005516CD" w:rsidRDefault="006C112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project will respond to these expressed concerns and priorities by promoting a “win-win” approach focused on supporting, through technical support and market-based instruments, the productive diversification of tree-based units on farm: as shown in</w:t>
      </w:r>
      <w:r w:rsidR="00B2488E" w:rsidRPr="005516CD">
        <w:rPr>
          <w:rFonts w:asciiTheme="majorHAnsi" w:hAnsiTheme="majorHAnsi" w:cstheme="majorHAnsi"/>
          <w:sz w:val="20"/>
          <w:szCs w:val="20"/>
        </w:rPr>
        <w:t xml:space="preserve"> </w:t>
      </w:r>
      <w:r w:rsidR="00B2488E" w:rsidRPr="005516CD">
        <w:rPr>
          <w:rFonts w:asciiTheme="majorHAnsi" w:hAnsiTheme="majorHAnsi" w:cstheme="majorHAnsi"/>
          <w:sz w:val="20"/>
          <w:szCs w:val="20"/>
        </w:rPr>
        <w:fldChar w:fldCharType="begin"/>
      </w:r>
      <w:r w:rsidR="00B2488E" w:rsidRPr="005516CD">
        <w:rPr>
          <w:rFonts w:asciiTheme="majorHAnsi" w:hAnsiTheme="majorHAnsi" w:cstheme="majorHAnsi"/>
          <w:sz w:val="20"/>
          <w:szCs w:val="20"/>
        </w:rPr>
        <w:instrText xml:space="preserve"> REF _Ref530040487 \r \h </w:instrText>
      </w:r>
      <w:r w:rsidR="005516CD">
        <w:rPr>
          <w:rFonts w:asciiTheme="majorHAnsi" w:hAnsiTheme="majorHAnsi" w:cstheme="majorHAnsi"/>
          <w:sz w:val="20"/>
          <w:szCs w:val="20"/>
        </w:rPr>
        <w:instrText xml:space="preserve"> \* MERGEFORMAT </w:instrText>
      </w:r>
      <w:r w:rsidR="00B2488E" w:rsidRPr="005516CD">
        <w:rPr>
          <w:rFonts w:asciiTheme="majorHAnsi" w:hAnsiTheme="majorHAnsi" w:cstheme="majorHAnsi"/>
          <w:sz w:val="20"/>
          <w:szCs w:val="20"/>
        </w:rPr>
      </w:r>
      <w:r w:rsidR="00B2488E"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Figure 8</w:t>
      </w:r>
      <w:r w:rsidR="00B2488E" w:rsidRPr="005516CD">
        <w:rPr>
          <w:rFonts w:asciiTheme="majorHAnsi" w:hAnsiTheme="majorHAnsi" w:cstheme="majorHAnsi"/>
          <w:sz w:val="20"/>
          <w:szCs w:val="20"/>
        </w:rPr>
        <w:fldChar w:fldCharType="end"/>
      </w:r>
      <w:r w:rsidRPr="005516CD">
        <w:rPr>
          <w:rFonts w:asciiTheme="majorHAnsi" w:hAnsiTheme="majorHAnsi" w:cstheme="majorHAnsi"/>
          <w:sz w:val="20"/>
          <w:szCs w:val="20"/>
        </w:rPr>
        <w:t xml:space="preserve">, this will be attractive to farmers as a means of increasing net economic benefits as well as food security and resilience to climate change and other shocks, relative to the expected land use scenarios without GEF support. Biodiversity gains will thereby </w:t>
      </w:r>
      <w:r w:rsidR="004C001B" w:rsidRPr="005516CD">
        <w:rPr>
          <w:rFonts w:asciiTheme="majorHAnsi" w:hAnsiTheme="majorHAnsi" w:cstheme="majorHAnsi"/>
          <w:sz w:val="20"/>
          <w:szCs w:val="20"/>
        </w:rPr>
        <w:t xml:space="preserve">be </w:t>
      </w:r>
      <w:r w:rsidRPr="005516CD">
        <w:rPr>
          <w:rFonts w:asciiTheme="majorHAnsi" w:hAnsiTheme="majorHAnsi" w:cstheme="majorHAnsi"/>
          <w:sz w:val="20"/>
          <w:szCs w:val="20"/>
        </w:rPr>
        <w:t xml:space="preserve">delivered as incidental benefits in the back of these livelihood benefits which will motivate farmers’ buy-in. </w:t>
      </w:r>
    </w:p>
    <w:p w14:paraId="25685D63" w14:textId="77777777" w:rsidR="00673E39" w:rsidRPr="005516CD" w:rsidRDefault="00673E3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project will </w:t>
      </w:r>
      <w:r w:rsidR="006F5ECE" w:rsidRPr="005516CD">
        <w:rPr>
          <w:rFonts w:asciiTheme="majorHAnsi" w:hAnsiTheme="majorHAnsi" w:cstheme="majorHAnsi"/>
          <w:sz w:val="20"/>
          <w:szCs w:val="20"/>
        </w:rPr>
        <w:t>incorporate</w:t>
      </w:r>
      <w:r w:rsidRPr="005516CD">
        <w:rPr>
          <w:rFonts w:asciiTheme="majorHAnsi" w:hAnsiTheme="majorHAnsi" w:cstheme="majorHAnsi"/>
          <w:sz w:val="20"/>
          <w:szCs w:val="20"/>
        </w:rPr>
        <w:t xml:space="preserve"> the participation of community-based organizations (CBOs), particularly in relation to the strengthening of natural resource governance, under Output 1.2. There is a wide range of CBOs active in rural communities in Haiti, which vary in terms of their objectives, level of consolidation and origins, with some emerging as endogenous responses to specific community concerns (such as agriculture, local development, environmental protection and environmental vulnerability), some having been especially created with the arrival of NGO projects, and others being “opportunist”, lacking functionality at present but waiting to become legitimate community interlocutors if opportunities arise.</w:t>
      </w:r>
      <w:r w:rsidR="006F5ECE" w:rsidRPr="005516CD">
        <w:rPr>
          <w:rFonts w:asciiTheme="majorHAnsi" w:hAnsiTheme="majorHAnsi" w:cstheme="majorHAnsi"/>
          <w:sz w:val="20"/>
          <w:szCs w:val="20"/>
        </w:rPr>
        <w:t xml:space="preserve"> </w:t>
      </w:r>
    </w:p>
    <w:p w14:paraId="2FD364E0" w14:textId="77777777" w:rsidR="00EB5202" w:rsidRPr="005516CD" w:rsidRDefault="00EB5202"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A stakeholder engagement plan is presented in Appendix O. As explained in Section VII, a Local Advisory Committee (LAC) will be established, in which representatives of all major stakeholder types will have the opportunity to participate; the LAC will serve as a mechanism for airing and discussing stakeholder concerns, for consideration by the project (a representative of the LAC will participate in the Project Steering Committee). </w:t>
      </w:r>
    </w:p>
    <w:p w14:paraId="5BD1AAE8" w14:textId="77777777" w:rsidR="004C001B" w:rsidRPr="005516CD" w:rsidRDefault="004C001B" w:rsidP="007B146B">
      <w:pPr>
        <w:pStyle w:val="Heading2"/>
        <w:spacing w:after="0"/>
        <w:ind w:left="0"/>
        <w:rPr>
          <w:rStyle w:val="None"/>
          <w:rFonts w:ascii="Calibri" w:eastAsia="Calibri" w:hAnsi="Calibri" w:cs="Calibri"/>
          <w:lang w:val="en-US"/>
        </w:rPr>
      </w:pPr>
      <w:bookmarkStart w:id="52" w:name="_Toc8933084"/>
      <w:r w:rsidRPr="005516CD">
        <w:rPr>
          <w:rStyle w:val="None"/>
          <w:rFonts w:ascii="Calibri" w:eastAsia="Calibri" w:hAnsi="Calibri" w:cs="Calibri"/>
          <w:lang w:val="en-US"/>
        </w:rPr>
        <w:t>Selection of project beneficiaries</w:t>
      </w:r>
      <w:bookmarkEnd w:id="52"/>
    </w:p>
    <w:p w14:paraId="159675B4" w14:textId="21F8B820" w:rsidR="004C001B" w:rsidRPr="005516CD" w:rsidRDefault="004C001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As shown in </w:t>
      </w:r>
      <w:r w:rsidRPr="005516CD">
        <w:rPr>
          <w:rFonts w:asciiTheme="majorHAnsi" w:hAnsiTheme="majorHAnsi" w:cstheme="majorHAnsi"/>
          <w:sz w:val="20"/>
          <w:szCs w:val="20"/>
        </w:rPr>
        <w:fldChar w:fldCharType="begin"/>
      </w:r>
      <w:r w:rsidRPr="005516CD">
        <w:rPr>
          <w:rFonts w:asciiTheme="majorHAnsi" w:hAnsiTheme="majorHAnsi" w:cstheme="majorHAnsi"/>
          <w:sz w:val="20"/>
          <w:szCs w:val="20"/>
        </w:rPr>
        <w:instrText xml:space="preserve"> REF _Ref529877807 \r \h </w:instrText>
      </w:r>
      <w:r w:rsidR="005516CD">
        <w:rPr>
          <w:rFonts w:asciiTheme="majorHAnsi" w:hAnsiTheme="majorHAnsi" w:cstheme="majorHAnsi"/>
          <w:sz w:val="20"/>
          <w:szCs w:val="20"/>
        </w:rPr>
        <w:instrText xml:space="preserve"> \* MERGEFORMAT </w:instrText>
      </w:r>
      <w:r w:rsidRPr="005516CD">
        <w:rPr>
          <w:rFonts w:asciiTheme="majorHAnsi" w:hAnsiTheme="majorHAnsi" w:cstheme="majorHAnsi"/>
          <w:sz w:val="20"/>
          <w:szCs w:val="20"/>
        </w:rPr>
      </w:r>
      <w:r w:rsidRPr="005516CD">
        <w:rPr>
          <w:rFonts w:asciiTheme="majorHAnsi" w:hAnsiTheme="majorHAnsi" w:cstheme="majorHAnsi"/>
          <w:sz w:val="20"/>
          <w:szCs w:val="20"/>
        </w:rPr>
        <w:fldChar w:fldCharType="separate"/>
      </w:r>
      <w:r w:rsidR="00DD5948">
        <w:rPr>
          <w:rFonts w:asciiTheme="majorHAnsi" w:hAnsiTheme="majorHAnsi" w:cstheme="majorHAnsi"/>
          <w:sz w:val="20"/>
          <w:szCs w:val="20"/>
        </w:rPr>
        <w:t>Table 4</w:t>
      </w:r>
      <w:r w:rsidRPr="005516CD">
        <w:rPr>
          <w:rFonts w:asciiTheme="majorHAnsi" w:hAnsiTheme="majorHAnsi" w:cstheme="majorHAnsi"/>
          <w:sz w:val="20"/>
          <w:szCs w:val="20"/>
        </w:rPr>
        <w:fldChar w:fldCharType="end"/>
      </w:r>
      <w:r w:rsidRPr="005516CD">
        <w:rPr>
          <w:rFonts w:asciiTheme="majorHAnsi" w:hAnsiTheme="majorHAnsi" w:cstheme="majorHAnsi"/>
          <w:sz w:val="20"/>
          <w:szCs w:val="20"/>
        </w:rPr>
        <w:t xml:space="preserve">, the population of the target areas and communities is heterogenous, ranging from small (&lt;0.5 </w:t>
      </w:r>
      <w:proofErr w:type="spellStart"/>
      <w:r w:rsidRPr="005516CD">
        <w:rPr>
          <w:rFonts w:asciiTheme="majorHAnsi" w:hAnsiTheme="majorHAnsi" w:cstheme="majorHAnsi"/>
          <w:sz w:val="20"/>
          <w:szCs w:val="20"/>
        </w:rPr>
        <w:t>Cx</w:t>
      </w:r>
      <w:proofErr w:type="spellEnd"/>
      <w:r w:rsidR="004F334C" w:rsidRPr="005516CD">
        <w:rPr>
          <w:rStyle w:val="FootnoteReference"/>
          <w:rFonts w:asciiTheme="majorHAnsi" w:eastAsia="Times New Roman" w:hAnsiTheme="majorHAnsi" w:cstheme="majorHAnsi"/>
          <w:bCs/>
          <w:kern w:val="3"/>
          <w:sz w:val="20"/>
          <w:szCs w:val="20"/>
        </w:rPr>
        <w:footnoteReference w:id="54"/>
      </w:r>
      <w:r w:rsidRPr="005516CD">
        <w:rPr>
          <w:rFonts w:asciiTheme="majorHAnsi" w:hAnsiTheme="majorHAnsi" w:cstheme="majorHAnsi"/>
          <w:sz w:val="20"/>
          <w:szCs w:val="20"/>
        </w:rPr>
        <w:t xml:space="preserve">) or landless farmers to better-off farmers with 3-5 </w:t>
      </w:r>
      <w:proofErr w:type="spellStart"/>
      <w:r w:rsidRPr="005516CD">
        <w:rPr>
          <w:rFonts w:asciiTheme="majorHAnsi" w:hAnsiTheme="majorHAnsi" w:cstheme="majorHAnsi"/>
          <w:sz w:val="20"/>
          <w:szCs w:val="20"/>
        </w:rPr>
        <w:t>Cx</w:t>
      </w:r>
      <w:proofErr w:type="spellEnd"/>
      <w:r w:rsidRPr="005516CD">
        <w:rPr>
          <w:rFonts w:asciiTheme="majorHAnsi" w:hAnsiTheme="majorHAnsi" w:cstheme="majorHAnsi"/>
          <w:sz w:val="20"/>
          <w:szCs w:val="20"/>
        </w:rPr>
        <w:t xml:space="preserve"> of land</w:t>
      </w:r>
      <w:r w:rsidR="006C5605" w:rsidRPr="005516CD">
        <w:rPr>
          <w:rFonts w:asciiTheme="majorHAnsi" w:hAnsiTheme="majorHAnsi" w:cstheme="majorHAnsi"/>
          <w:sz w:val="20"/>
          <w:szCs w:val="20"/>
        </w:rPr>
        <w:t>; and farmers range from the highly vulnerable and food-insecure landless (category IV) to the relatively well-off, with diverse productive options, ample reserves of livelihood capital and a relatively high level of resilience to environmental and economic shocks (category I).</w:t>
      </w:r>
    </w:p>
    <w:p w14:paraId="482E31B0" w14:textId="77777777" w:rsidR="000C799A" w:rsidRPr="005516CD" w:rsidRDefault="006C560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Given that its strategy for delivering environmental </w:t>
      </w:r>
      <w:proofErr w:type="spellStart"/>
      <w:r w:rsidRPr="005516CD">
        <w:rPr>
          <w:rFonts w:asciiTheme="majorHAnsi" w:hAnsiTheme="majorHAnsi" w:cstheme="majorHAnsi"/>
          <w:sz w:val="20"/>
          <w:szCs w:val="20"/>
        </w:rPr>
        <w:t>benefis</w:t>
      </w:r>
      <w:proofErr w:type="spellEnd"/>
      <w:r w:rsidRPr="005516CD">
        <w:rPr>
          <w:rFonts w:asciiTheme="majorHAnsi" w:hAnsiTheme="majorHAnsi" w:cstheme="majorHAnsi"/>
          <w:sz w:val="20"/>
          <w:szCs w:val="20"/>
        </w:rPr>
        <w:t xml:space="preserve"> is based on achieving improvements at scale in the management of production systems, the principal target group of the project will be medium or larger-scale farmers (categories I – III): it is these sectors of society who have the potential to deliver impact in terms of area. Within this group, the project will focus </w:t>
      </w:r>
      <w:proofErr w:type="spellStart"/>
      <w:r w:rsidRPr="005516CD">
        <w:rPr>
          <w:rFonts w:asciiTheme="majorHAnsi" w:hAnsiTheme="majorHAnsi" w:cstheme="majorHAnsi"/>
          <w:sz w:val="20"/>
          <w:szCs w:val="20"/>
        </w:rPr>
        <w:t>primarly</w:t>
      </w:r>
      <w:proofErr w:type="spellEnd"/>
      <w:r w:rsidRPr="005516CD">
        <w:rPr>
          <w:rFonts w:asciiTheme="majorHAnsi" w:hAnsiTheme="majorHAnsi" w:cstheme="majorHAnsi"/>
          <w:sz w:val="20"/>
          <w:szCs w:val="20"/>
        </w:rPr>
        <w:t>, but not exclusively, on cacao and coffee producers; the principal criterion for selection, however, is the farmers’ willingness and potential to modify management of their production systems in order to increase, improve and diversify tree cover. On this basis, farmers with production systems other than cacao and coffee may also be included, if this potential exists.</w:t>
      </w:r>
    </w:p>
    <w:p w14:paraId="2F3508BA" w14:textId="77777777" w:rsidR="004C001B" w:rsidRPr="005516CD" w:rsidRDefault="000C799A"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Some Category IV farmers will also be included in order to contribute to the social acceptability of the project by broadening the distribution of social benefits, despite the relatively limited area of land on which they are able to have influence.</w:t>
      </w:r>
      <w:r w:rsidR="006C5605" w:rsidRPr="005516CD">
        <w:rPr>
          <w:rFonts w:asciiTheme="majorHAnsi" w:hAnsiTheme="majorHAnsi" w:cstheme="majorHAnsi"/>
          <w:sz w:val="20"/>
          <w:szCs w:val="20"/>
        </w:rPr>
        <w:t xml:space="preserve">  </w:t>
      </w:r>
      <w:r w:rsidRPr="005516CD">
        <w:rPr>
          <w:rFonts w:asciiTheme="majorHAnsi" w:hAnsiTheme="majorHAnsi" w:cstheme="majorHAnsi"/>
          <w:sz w:val="20"/>
          <w:szCs w:val="20"/>
        </w:rPr>
        <w:t>Category IV farmers will also benefit indirectly, even when not included as direct beneficiaries, through the generation of employment opportunities in the production systems, and associated processing and commerce activities, to be supported by the project.</w:t>
      </w:r>
      <w:r w:rsidR="006C5605" w:rsidRPr="005516CD">
        <w:rPr>
          <w:rFonts w:asciiTheme="majorHAnsi" w:hAnsiTheme="majorHAnsi" w:cstheme="majorHAnsi"/>
          <w:sz w:val="20"/>
          <w:szCs w:val="20"/>
        </w:rPr>
        <w:t xml:space="preserve"> </w:t>
      </w:r>
    </w:p>
    <w:p w14:paraId="209C8E9B" w14:textId="77777777" w:rsidR="001771FE" w:rsidRPr="005516CD" w:rsidRDefault="00045B04" w:rsidP="007B146B">
      <w:pPr>
        <w:pStyle w:val="Heading2"/>
        <w:spacing w:after="0"/>
        <w:ind w:left="0"/>
        <w:rPr>
          <w:rStyle w:val="None"/>
          <w:rFonts w:ascii="Calibri" w:eastAsia="Calibri" w:hAnsi="Calibri" w:cs="Calibri"/>
        </w:rPr>
      </w:pPr>
      <w:bookmarkStart w:id="53" w:name="_Toc8933085"/>
      <w:r w:rsidRPr="005516CD">
        <w:rPr>
          <w:rStyle w:val="None"/>
          <w:rFonts w:ascii="Calibri" w:eastAsia="Calibri" w:hAnsi="Calibri" w:cs="Calibri"/>
          <w:lang w:val="en-US"/>
        </w:rPr>
        <w:t>Relevance in relation to the baseline scenario</w:t>
      </w:r>
      <w:bookmarkEnd w:id="53"/>
    </w:p>
    <w:p w14:paraId="31178B47" w14:textId="77777777" w:rsidR="00D2063A" w:rsidRPr="005516CD"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u w:color="000000"/>
          <w:lang w:val="en-US"/>
        </w:rPr>
      </w:pPr>
      <w:r w:rsidRPr="005516CD">
        <w:rPr>
          <w:rFonts w:asciiTheme="majorHAnsi" w:hAnsiTheme="majorHAnsi" w:cstheme="majorHAnsi"/>
          <w:sz w:val="20"/>
          <w:szCs w:val="20"/>
          <w:lang w:val="en-US"/>
        </w:rPr>
        <w:t>The project is timely and relevant given the solid baseline of other investments with which it will be associated and on which it will build, and which in the absence of the project are expected to either exacerbate these negative impacts or fail to take advantage of opportunities to apply integrated and sustainable solutions</w:t>
      </w:r>
      <w:r w:rsidR="00E548E3" w:rsidRPr="005516CD">
        <w:rPr>
          <w:rFonts w:asciiTheme="majorHAnsi" w:hAnsiTheme="majorHAnsi" w:cstheme="majorHAnsi"/>
          <w:sz w:val="20"/>
          <w:szCs w:val="20"/>
          <w:lang w:val="en-US"/>
        </w:rPr>
        <w:t xml:space="preserve"> (see Section II for details of baseline investments</w:t>
      </w:r>
      <w:r w:rsidR="000408CF" w:rsidRPr="005516CD">
        <w:rPr>
          <w:rFonts w:asciiTheme="majorHAnsi" w:hAnsiTheme="majorHAnsi" w:cstheme="majorHAnsi"/>
          <w:sz w:val="20"/>
          <w:szCs w:val="20"/>
          <w:lang w:val="en-US"/>
        </w:rPr>
        <w:t>)</w:t>
      </w:r>
      <w:r w:rsidRPr="005516CD">
        <w:rPr>
          <w:rFonts w:asciiTheme="majorHAnsi" w:hAnsiTheme="majorHAnsi" w:cstheme="majorHAnsi"/>
          <w:sz w:val="20"/>
          <w:szCs w:val="20"/>
          <w:lang w:val="en-US"/>
        </w:rPr>
        <w:t>.</w:t>
      </w:r>
      <w:r w:rsidR="00487D9F" w:rsidRPr="005516CD">
        <w:rPr>
          <w:rFonts w:asciiTheme="majorHAnsi" w:hAnsiTheme="majorHAnsi" w:cstheme="majorHAnsi"/>
          <w:sz w:val="20"/>
          <w:szCs w:val="20"/>
          <w:lang w:val="en-US"/>
        </w:rPr>
        <w:t xml:space="preserve"> </w:t>
      </w:r>
    </w:p>
    <w:p w14:paraId="6F46FAC2" w14:textId="77777777" w:rsidR="008F59C0" w:rsidRPr="005516CD" w:rsidRDefault="001F2428"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Building on, complementing and synergizing with these baseline initiatives, GEF resources will be used in an incremental manner to deliver additional benefits (global environmental benefits or GEBs) in terms of the </w:t>
      </w:r>
      <w:r w:rsidRPr="005516CD">
        <w:rPr>
          <w:rFonts w:asciiTheme="majorHAnsi" w:hAnsiTheme="majorHAnsi" w:cstheme="majorHAnsi"/>
          <w:sz w:val="20"/>
          <w:szCs w:val="20"/>
          <w:lang w:val="en-US"/>
        </w:rPr>
        <w:t>conservation</w:t>
      </w:r>
      <w:r w:rsidRPr="005516CD">
        <w:rPr>
          <w:rFonts w:asciiTheme="majorHAnsi" w:hAnsiTheme="majorHAnsi" w:cstheme="majorHAnsi"/>
          <w:sz w:val="20"/>
          <w:szCs w:val="20"/>
        </w:rPr>
        <w:t xml:space="preserve"> status of globally important elements of biodiversity, while at the same time generating globally significant benefits in terms of sustainable land management. In qualitative terms, GEF funds will add incremental value to the baseline situation by showing how to deliver GEBs in the focal areas of BD and SLM in an integrated manner, through the promotion of tree-rich production and resource management systems that favour biodiversity, while at the same time stabilizing landscape dynamics and helping to protect the natural productive capital of the landscape units and their potential to yield environmental goods and services in a sustainable manner</w:t>
      </w:r>
      <w:r w:rsidR="0070118F" w:rsidRPr="005516CD">
        <w:rPr>
          <w:rFonts w:asciiTheme="majorHAnsi" w:hAnsiTheme="majorHAnsi" w:cstheme="majorHAnsi"/>
          <w:sz w:val="20"/>
          <w:szCs w:val="20"/>
        </w:rPr>
        <w:t>.</w:t>
      </w:r>
    </w:p>
    <w:p w14:paraId="110EC7C2" w14:textId="77777777" w:rsidR="001771FE" w:rsidRPr="005516CD" w:rsidRDefault="001771FE" w:rsidP="004C12F9">
      <w:pPr>
        <w:pStyle w:val="Heading"/>
        <w:pBdr>
          <w:top w:val="none" w:sz="0" w:space="0" w:color="auto"/>
          <w:left w:val="none" w:sz="0" w:space="0" w:color="auto"/>
          <w:bottom w:val="none" w:sz="0" w:space="0" w:color="auto"/>
          <w:right w:val="none" w:sz="0" w:space="0" w:color="auto"/>
          <w:between w:val="none" w:sz="0" w:space="0" w:color="auto"/>
          <w:bar w:val="none" w:sz="0" w:color="auto"/>
        </w:pBdr>
        <w:spacing w:before="0" w:after="0"/>
        <w:ind w:left="720" w:hanging="720"/>
        <w:rPr>
          <w:rFonts w:ascii="Calibri" w:eastAsia="Calibri" w:hAnsi="Calibri" w:cs="Calibri"/>
          <w:lang w:val="en-US"/>
        </w:rPr>
      </w:pPr>
    </w:p>
    <w:p w14:paraId="7F122AE0" w14:textId="77777777" w:rsidR="00DC7FB5" w:rsidRPr="005516CD" w:rsidRDefault="00DC7FB5">
      <w:pPr>
        <w:pBdr>
          <w:top w:val="nil"/>
          <w:left w:val="nil"/>
          <w:bottom w:val="nil"/>
          <w:right w:val="nil"/>
          <w:between w:val="nil"/>
          <w:bar w:val="nil"/>
        </w:pBdr>
        <w:rPr>
          <w:rStyle w:val="None"/>
          <w:rFonts w:ascii="Calibri" w:eastAsia="Calibri" w:hAnsi="Calibri" w:cs="Calibri"/>
          <w:b/>
          <w:bCs/>
          <w:smallCaps/>
          <w:color w:val="000000"/>
          <w:spacing w:val="-2"/>
          <w:sz w:val="28"/>
          <w:szCs w:val="28"/>
          <w:u w:color="000000"/>
          <w:bdr w:val="nil"/>
          <w:lang w:val="en-US"/>
        </w:rPr>
      </w:pPr>
      <w:r w:rsidRPr="005516CD">
        <w:rPr>
          <w:rStyle w:val="None"/>
          <w:rFonts w:ascii="Calibri" w:eastAsia="Calibri" w:hAnsi="Calibri" w:cs="Calibri"/>
          <w:lang w:val="en-US"/>
        </w:rPr>
        <w:br w:type="page"/>
      </w:r>
    </w:p>
    <w:p w14:paraId="7703C590" w14:textId="77777777" w:rsidR="001771FE" w:rsidRPr="005516CD" w:rsidRDefault="00045B04" w:rsidP="003B2210">
      <w:pPr>
        <w:pStyle w:val="Heading2"/>
        <w:numPr>
          <w:ilvl w:val="0"/>
          <w:numId w:val="170"/>
        </w:numPr>
        <w:spacing w:after="120"/>
        <w:rPr>
          <w:rFonts w:ascii="Calibri" w:eastAsia="Calibri" w:hAnsi="Calibri" w:cs="Calibri"/>
          <w:caps/>
          <w:sz w:val="22"/>
          <w:lang w:val="en-US"/>
        </w:rPr>
      </w:pPr>
      <w:bookmarkStart w:id="54" w:name="_Toc8933086"/>
      <w:r w:rsidRPr="005516CD">
        <w:rPr>
          <w:rFonts w:ascii="Calibri" w:eastAsia="Calibri" w:hAnsi="Calibri" w:cs="Calibri"/>
          <w:caps/>
          <w:sz w:val="22"/>
          <w:lang w:val="en-US"/>
        </w:rPr>
        <w:t>Results and Partnerships</w:t>
      </w:r>
      <w:bookmarkEnd w:id="54"/>
      <w:r w:rsidRPr="005516CD">
        <w:rPr>
          <w:rFonts w:ascii="Calibri" w:eastAsia="Calibri" w:hAnsi="Calibri" w:cs="Calibri"/>
          <w:caps/>
          <w:sz w:val="22"/>
          <w:lang w:val="en-US"/>
        </w:rPr>
        <w:t xml:space="preserve"> </w:t>
      </w:r>
    </w:p>
    <w:p w14:paraId="66BF1E9F" w14:textId="77777777" w:rsidR="001771FE" w:rsidRPr="005516CD" w:rsidRDefault="00045B04" w:rsidP="007B146B">
      <w:pPr>
        <w:pStyle w:val="Heading2"/>
        <w:spacing w:after="0"/>
        <w:ind w:left="0"/>
        <w:rPr>
          <w:rStyle w:val="None"/>
          <w:rFonts w:ascii="Calibri" w:eastAsia="Calibri" w:hAnsi="Calibri" w:cs="Calibri"/>
        </w:rPr>
      </w:pPr>
      <w:bookmarkStart w:id="55" w:name="_Toc8933087"/>
      <w:r w:rsidRPr="005516CD">
        <w:rPr>
          <w:rStyle w:val="None"/>
          <w:rFonts w:ascii="Calibri" w:eastAsia="Calibri" w:hAnsi="Calibri" w:cs="Calibri"/>
          <w:lang w:val="en-US"/>
        </w:rPr>
        <w:t>Expected Results:</w:t>
      </w:r>
      <w:bookmarkEnd w:id="55"/>
      <w:r w:rsidRPr="005516CD">
        <w:rPr>
          <w:rStyle w:val="None"/>
          <w:rFonts w:ascii="Calibri" w:eastAsia="Calibri" w:hAnsi="Calibri" w:cs="Calibri"/>
          <w:lang w:val="en-US"/>
        </w:rPr>
        <w:t xml:space="preserve">  </w:t>
      </w:r>
    </w:p>
    <w:p w14:paraId="4D069699" w14:textId="0EDE81AE" w:rsidR="001771FE" w:rsidRPr="00751FAE"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751FAE">
        <w:rPr>
          <w:rFonts w:asciiTheme="majorHAnsi" w:hAnsiTheme="majorHAnsi" w:cstheme="majorHAnsi"/>
          <w:sz w:val="20"/>
          <w:szCs w:val="20"/>
          <w:lang w:val="en-US"/>
        </w:rPr>
        <w:t xml:space="preserve">The objective of the project is </w:t>
      </w:r>
      <w:r w:rsidR="004016AC" w:rsidRPr="00751FAE">
        <w:rPr>
          <w:rFonts w:asciiTheme="majorHAnsi" w:hAnsiTheme="majorHAnsi" w:cstheme="majorHAnsi"/>
          <w:bCs/>
          <w:i/>
          <w:sz w:val="20"/>
          <w:szCs w:val="20"/>
        </w:rPr>
        <w:t>the generation of multiple environmental and social benefits through the integrated and sustainable management of wooded production landscapes in the Massif du Nord with globally significant biodiversity.</w:t>
      </w:r>
    </w:p>
    <w:p w14:paraId="10CC4773" w14:textId="77777777" w:rsidR="001771FE" w:rsidRPr="005516CD" w:rsidRDefault="00045B04" w:rsidP="007B146B">
      <w:pPr>
        <w:pStyle w:val="Heading2"/>
        <w:spacing w:after="0"/>
        <w:ind w:left="0"/>
        <w:rPr>
          <w:rStyle w:val="None"/>
          <w:rFonts w:asciiTheme="majorHAnsi" w:eastAsia="Calibri" w:hAnsiTheme="majorHAnsi" w:cstheme="majorHAnsi"/>
        </w:rPr>
      </w:pPr>
      <w:bookmarkStart w:id="56" w:name="_Toc8933088"/>
      <w:r w:rsidRPr="005516CD">
        <w:rPr>
          <w:rStyle w:val="None"/>
          <w:rFonts w:asciiTheme="majorHAnsi" w:eastAsia="Calibri" w:hAnsiTheme="majorHAnsi" w:cstheme="majorHAnsi"/>
          <w:lang w:val="en-US"/>
        </w:rPr>
        <w:t>Outcomes and components</w:t>
      </w:r>
      <w:bookmarkEnd w:id="56"/>
      <w:r w:rsidRPr="005516CD">
        <w:rPr>
          <w:rStyle w:val="None"/>
          <w:rFonts w:asciiTheme="majorHAnsi" w:eastAsia="Calibri" w:hAnsiTheme="majorHAnsi" w:cstheme="majorHAnsi"/>
          <w:lang w:val="en-US"/>
        </w:rPr>
        <w:t xml:space="preserve"> </w:t>
      </w:r>
    </w:p>
    <w:p w14:paraId="07DDAE6B" w14:textId="4291EF19" w:rsidR="001771FE" w:rsidRPr="008244FA" w:rsidRDefault="00045B04" w:rsidP="006B27F4">
      <w:pPr>
        <w:numPr>
          <w:ilvl w:val="0"/>
          <w:numId w:val="87"/>
        </w:numPr>
        <w:tabs>
          <w:tab w:val="clear" w:pos="720"/>
          <w:tab w:val="num" w:pos="-284"/>
          <w:tab w:val="left" w:pos="426"/>
        </w:tabs>
        <w:spacing w:after="120"/>
        <w:ind w:left="0" w:right="96" w:firstLine="0"/>
        <w:jc w:val="both"/>
        <w:rPr>
          <w:rStyle w:val="Hyperlink2"/>
          <w:rFonts w:asciiTheme="majorHAnsi" w:hAnsiTheme="majorHAnsi" w:cstheme="majorHAnsi"/>
          <w:sz w:val="20"/>
          <w:szCs w:val="20"/>
          <w:highlight w:val="green"/>
          <w:lang w:val="en-US"/>
        </w:rPr>
      </w:pPr>
      <w:r w:rsidRPr="005516CD">
        <w:rPr>
          <w:rStyle w:val="Hyperlink2"/>
          <w:rFonts w:asciiTheme="majorHAnsi" w:hAnsiTheme="majorHAnsi" w:cstheme="majorHAnsi"/>
          <w:sz w:val="20"/>
          <w:szCs w:val="20"/>
          <w:lang w:val="en-US"/>
        </w:rPr>
        <w:t xml:space="preserve">The objective of the project will be achieved through actions structured under </w:t>
      </w:r>
      <w:r w:rsidR="00572F10" w:rsidRPr="005516CD">
        <w:rPr>
          <w:rStyle w:val="Hyperlink2"/>
          <w:rFonts w:asciiTheme="majorHAnsi" w:hAnsiTheme="majorHAnsi" w:cstheme="majorHAnsi"/>
          <w:sz w:val="20"/>
          <w:szCs w:val="20"/>
          <w:lang w:val="en-US"/>
        </w:rPr>
        <w:t xml:space="preserve">three </w:t>
      </w:r>
      <w:r w:rsidRPr="005516CD">
        <w:rPr>
          <w:rStyle w:val="Hyperlink2"/>
          <w:rFonts w:asciiTheme="majorHAnsi" w:hAnsiTheme="majorHAnsi" w:cstheme="majorHAnsi"/>
          <w:sz w:val="20"/>
          <w:szCs w:val="20"/>
          <w:lang w:val="en-US"/>
        </w:rPr>
        <w:t xml:space="preserve">components. </w:t>
      </w:r>
      <w:r w:rsidR="00A80A2B" w:rsidRPr="008244FA">
        <w:rPr>
          <w:rStyle w:val="Hyperlink2"/>
          <w:rFonts w:asciiTheme="majorHAnsi" w:hAnsiTheme="majorHAnsi" w:cstheme="majorHAnsi"/>
          <w:sz w:val="20"/>
          <w:szCs w:val="20"/>
          <w:highlight w:val="cyan"/>
          <w:lang w:val="en-US"/>
        </w:rPr>
        <w:t>Components 1 and 2 will be executed by NGOs/CSOs with strong experience in this field</w:t>
      </w:r>
    </w:p>
    <w:p w14:paraId="5E78F5B8" w14:textId="77777777" w:rsidR="00C31DB7" w:rsidRPr="005516CD" w:rsidRDefault="00C31DB7"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In order to </w:t>
      </w:r>
      <w:r w:rsidRPr="005516CD">
        <w:rPr>
          <w:rFonts w:asciiTheme="majorHAnsi" w:hAnsiTheme="majorHAnsi" w:cstheme="majorHAnsi"/>
          <w:sz w:val="20"/>
          <w:szCs w:val="20"/>
        </w:rPr>
        <w:t>remove</w:t>
      </w:r>
      <w:r w:rsidRPr="005516CD">
        <w:rPr>
          <w:rFonts w:asciiTheme="majorHAnsi" w:eastAsia="Calibri" w:hAnsiTheme="majorHAnsi" w:cstheme="majorHAnsi"/>
          <w:sz w:val="20"/>
          <w:szCs w:val="20"/>
        </w:rPr>
        <w:t xml:space="preserve"> the barriers and achieve global environmental benefits, the financial resources of </w:t>
      </w:r>
      <w:r w:rsidRPr="005516CD">
        <w:rPr>
          <w:rFonts w:asciiTheme="majorHAnsi" w:hAnsiTheme="majorHAnsi" w:cstheme="majorHAnsi"/>
          <w:sz w:val="20"/>
          <w:szCs w:val="20"/>
        </w:rPr>
        <w:t>GEF will</w:t>
      </w:r>
      <w:r w:rsidRPr="005516CD">
        <w:rPr>
          <w:rFonts w:asciiTheme="majorHAnsi" w:eastAsia="Calibri" w:hAnsiTheme="majorHAnsi" w:cstheme="majorHAnsi"/>
          <w:sz w:val="20"/>
          <w:szCs w:val="20"/>
        </w:rPr>
        <w:t xml:space="preserve"> be invested in an incremental way to the aforementioned baseline initiatives, as detailed below:</w:t>
      </w:r>
    </w:p>
    <w:p w14:paraId="61776C2F" w14:textId="77777777" w:rsidR="00C31DB7" w:rsidRPr="005516CD" w:rsidRDefault="00C31DB7" w:rsidP="00497244">
      <w:pPr>
        <w:pStyle w:val="Heading6"/>
        <w:keepNext/>
        <w:spacing w:before="120" w:after="120"/>
        <w:rPr>
          <w:rFonts w:asciiTheme="majorHAnsi" w:eastAsia="Calibri" w:hAnsiTheme="majorHAnsi" w:cstheme="majorHAnsi"/>
          <w:b/>
          <w:i w:val="0"/>
          <w:sz w:val="20"/>
          <w:lang w:val="en-US"/>
        </w:rPr>
      </w:pPr>
      <w:r w:rsidRPr="005516CD">
        <w:rPr>
          <w:rFonts w:asciiTheme="majorHAnsi" w:eastAsia="Calibri" w:hAnsiTheme="majorHAnsi" w:cstheme="majorHAnsi"/>
          <w:b/>
          <w:i w:val="0"/>
          <w:sz w:val="20"/>
          <w:u w:val="single"/>
          <w:lang w:val="en-US"/>
        </w:rPr>
        <w:t>Component 1:</w:t>
      </w:r>
      <w:r w:rsidRPr="005516CD">
        <w:rPr>
          <w:rFonts w:asciiTheme="majorHAnsi" w:eastAsia="Calibri" w:hAnsiTheme="majorHAnsi" w:cstheme="majorHAnsi"/>
          <w:b/>
          <w:i w:val="0"/>
          <w:sz w:val="20"/>
          <w:lang w:val="en-US"/>
        </w:rPr>
        <w:t> Creation of enabling conditions for the application and scaling-up of the landscape management model</w:t>
      </w:r>
    </w:p>
    <w:p w14:paraId="79FB768B" w14:textId="5B8B85AF" w:rsidR="00700E4A" w:rsidRPr="001B64D1" w:rsidRDefault="00700E4A" w:rsidP="00700E4A">
      <w:pPr>
        <w:pStyle w:val="Heading7"/>
        <w:keepNext/>
        <w:numPr>
          <w:ilvl w:val="0"/>
          <w:numId w:val="87"/>
        </w:numPr>
        <w:tabs>
          <w:tab w:val="clear" w:pos="720"/>
          <w:tab w:val="num" w:pos="567"/>
        </w:tabs>
        <w:spacing w:before="0"/>
        <w:ind w:left="0" w:firstLine="0"/>
        <w:rPr>
          <w:rFonts w:asciiTheme="majorHAnsi" w:hAnsiTheme="majorHAnsi" w:cstheme="majorHAnsi"/>
          <w:highlight w:val="cyan"/>
        </w:rPr>
      </w:pPr>
      <w:r w:rsidRPr="001B64D1">
        <w:rPr>
          <w:rFonts w:asciiTheme="majorHAnsi" w:eastAsia="Calibri" w:hAnsiTheme="majorHAnsi" w:cstheme="majorHAnsi"/>
          <w:szCs w:val="20"/>
          <w:highlight w:val="cyan"/>
        </w:rPr>
        <w:t xml:space="preserve">This </w:t>
      </w:r>
      <w:r w:rsidR="00EA4B38" w:rsidRPr="00EA4B38">
        <w:rPr>
          <w:rFonts w:asciiTheme="majorHAnsi" w:eastAsia="Calibri" w:hAnsiTheme="majorHAnsi" w:cstheme="majorHAnsi"/>
          <w:szCs w:val="20"/>
        </w:rPr>
        <w:t>component will be implemented by NGO/CSO (such as FECCANO, RECOCARNO) with strong local experience, which were identified as most relevant during stakeholder’s consultation and assessment, and results of procurement processes</w:t>
      </w:r>
      <w:r w:rsidRPr="001B64D1">
        <w:rPr>
          <w:rFonts w:asciiTheme="majorHAnsi" w:eastAsia="Calibri" w:hAnsiTheme="majorHAnsi" w:cstheme="majorHAnsi"/>
          <w:szCs w:val="20"/>
          <w:highlight w:val="cyan"/>
        </w:rPr>
        <w:t>.</w:t>
      </w:r>
    </w:p>
    <w:p w14:paraId="3D7E26D5" w14:textId="56C90CC3" w:rsidR="00C31DB7" w:rsidRPr="005516CD" w:rsidRDefault="00C31DB7" w:rsidP="00F12340">
      <w:pPr>
        <w:pStyle w:val="Heading7"/>
        <w:keepNext/>
        <w:spacing w:before="0"/>
        <w:ind w:left="0"/>
        <w:rPr>
          <w:rFonts w:asciiTheme="majorHAnsi" w:hAnsiTheme="majorHAnsi" w:cstheme="majorHAnsi"/>
          <w:b/>
          <w:i/>
        </w:rPr>
      </w:pPr>
      <w:r w:rsidRPr="005516CD">
        <w:rPr>
          <w:rFonts w:asciiTheme="majorHAnsi" w:hAnsiTheme="majorHAnsi" w:cstheme="majorHAnsi"/>
          <w:b/>
          <w:i/>
        </w:rPr>
        <w:t xml:space="preserve">Output 1.1 Decision making tools to optimize the configuration of landscape elements in relation to spatial aspects of connectivity, biological importance, production potential, vulnerability and flows of ecosystem services: </w:t>
      </w:r>
    </w:p>
    <w:p w14:paraId="2BA49877" w14:textId="77777777" w:rsidR="00AA1860" w:rsidRPr="005516CD" w:rsidRDefault="00AA1860" w:rsidP="006B27F4">
      <w:pPr>
        <w:pStyle w:val="ListParagraph"/>
        <w:keepNext/>
        <w:numPr>
          <w:ilvl w:val="2"/>
          <w:numId w:val="107"/>
        </w:numPr>
        <w:tabs>
          <w:tab w:val="left" w:pos="426"/>
        </w:tabs>
        <w:spacing w:after="120"/>
        <w:ind w:left="426" w:right="96" w:hanging="426"/>
        <w:jc w:val="both"/>
        <w:rPr>
          <w:rFonts w:asciiTheme="majorHAnsi" w:hAnsiTheme="majorHAnsi" w:cstheme="majorHAnsi"/>
          <w:i/>
          <w:sz w:val="20"/>
          <w:szCs w:val="20"/>
        </w:rPr>
      </w:pPr>
      <w:r w:rsidRPr="005516CD">
        <w:rPr>
          <w:rFonts w:asciiTheme="majorHAnsi" w:hAnsiTheme="majorHAnsi" w:cstheme="majorHAnsi"/>
          <w:i/>
          <w:sz w:val="20"/>
          <w:szCs w:val="20"/>
        </w:rPr>
        <w:t>Region-wide framework for harmonizing interventions in relat</w:t>
      </w:r>
      <w:r w:rsidR="00F80021" w:rsidRPr="005516CD">
        <w:rPr>
          <w:rFonts w:asciiTheme="majorHAnsi" w:hAnsiTheme="majorHAnsi" w:cstheme="majorHAnsi"/>
          <w:i/>
          <w:sz w:val="20"/>
          <w:szCs w:val="20"/>
        </w:rPr>
        <w:t>io</w:t>
      </w:r>
      <w:r w:rsidRPr="005516CD">
        <w:rPr>
          <w:rFonts w:asciiTheme="majorHAnsi" w:hAnsiTheme="majorHAnsi" w:cstheme="majorHAnsi"/>
          <w:i/>
          <w:sz w:val="20"/>
          <w:szCs w:val="20"/>
        </w:rPr>
        <w:t>n to the promotion of sustaina</w:t>
      </w:r>
      <w:r w:rsidR="001537F0" w:rsidRPr="005516CD">
        <w:rPr>
          <w:rFonts w:asciiTheme="majorHAnsi" w:hAnsiTheme="majorHAnsi" w:cstheme="majorHAnsi"/>
          <w:i/>
          <w:sz w:val="20"/>
          <w:szCs w:val="20"/>
        </w:rPr>
        <w:t>b</w:t>
      </w:r>
      <w:r w:rsidRPr="005516CD">
        <w:rPr>
          <w:rFonts w:asciiTheme="majorHAnsi" w:hAnsiTheme="majorHAnsi" w:cstheme="majorHAnsi"/>
          <w:i/>
          <w:sz w:val="20"/>
          <w:szCs w:val="20"/>
        </w:rPr>
        <w:t>le production and management systems</w:t>
      </w:r>
    </w:p>
    <w:p w14:paraId="6479D3F6" w14:textId="77777777" w:rsidR="006A4376" w:rsidRPr="005516CD" w:rsidRDefault="00A6002D"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i/>
          <w:sz w:val="20"/>
          <w:szCs w:val="20"/>
        </w:rPr>
      </w:pPr>
      <w:r w:rsidRPr="005516CD">
        <w:rPr>
          <w:rFonts w:asciiTheme="majorHAnsi" w:hAnsiTheme="majorHAnsi" w:cstheme="majorHAnsi"/>
          <w:sz w:val="20"/>
          <w:szCs w:val="20"/>
        </w:rPr>
        <w:t xml:space="preserve"> </w:t>
      </w:r>
      <w:r w:rsidR="00EC5C20" w:rsidRPr="005516CD">
        <w:rPr>
          <w:rFonts w:asciiTheme="majorHAnsi" w:hAnsiTheme="majorHAnsi" w:cstheme="majorHAnsi"/>
          <w:sz w:val="20"/>
          <w:szCs w:val="20"/>
        </w:rPr>
        <w:t xml:space="preserve">The project will facilitate and inform </w:t>
      </w:r>
      <w:r w:rsidR="00A41D81" w:rsidRPr="005516CD">
        <w:rPr>
          <w:rFonts w:asciiTheme="majorHAnsi" w:hAnsiTheme="majorHAnsi" w:cstheme="majorHAnsi"/>
          <w:sz w:val="20"/>
          <w:szCs w:val="20"/>
        </w:rPr>
        <w:t xml:space="preserve">planning and negotiation </w:t>
      </w:r>
      <w:r w:rsidR="00EC5C20" w:rsidRPr="005516CD">
        <w:rPr>
          <w:rFonts w:asciiTheme="majorHAnsi" w:hAnsiTheme="majorHAnsi" w:cstheme="majorHAnsi"/>
          <w:sz w:val="20"/>
          <w:szCs w:val="20"/>
        </w:rPr>
        <w:t>processes</w:t>
      </w:r>
      <w:r w:rsidR="00A41D81" w:rsidRPr="005516CD">
        <w:rPr>
          <w:rFonts w:asciiTheme="majorHAnsi" w:hAnsiTheme="majorHAnsi" w:cstheme="majorHAnsi"/>
          <w:sz w:val="20"/>
          <w:szCs w:val="20"/>
        </w:rPr>
        <w:t xml:space="preserve">, covering the whole of the project intervention area and involving multiple stakeholders from central and regional </w:t>
      </w:r>
      <w:r w:rsidR="00C739AD" w:rsidRPr="005516CD">
        <w:rPr>
          <w:rFonts w:asciiTheme="majorHAnsi" w:hAnsiTheme="majorHAnsi" w:cstheme="majorHAnsi"/>
          <w:sz w:val="20"/>
          <w:szCs w:val="20"/>
        </w:rPr>
        <w:t xml:space="preserve">Governments and civil society, </w:t>
      </w:r>
      <w:r w:rsidR="00EC5C20" w:rsidRPr="005516CD">
        <w:rPr>
          <w:rFonts w:asciiTheme="majorHAnsi" w:hAnsiTheme="majorHAnsi" w:cstheme="majorHAnsi"/>
          <w:sz w:val="20"/>
          <w:szCs w:val="20"/>
        </w:rPr>
        <w:t xml:space="preserve">leading to the development of a harmonized and consensus-based framework </w:t>
      </w:r>
      <w:r w:rsidR="009E7B6D" w:rsidRPr="005516CD">
        <w:rPr>
          <w:rFonts w:asciiTheme="majorHAnsi" w:hAnsiTheme="majorHAnsi" w:cstheme="majorHAnsi"/>
          <w:sz w:val="20"/>
          <w:szCs w:val="20"/>
        </w:rPr>
        <w:t xml:space="preserve">(including principles, targets and region-wide plan specifying priority areas for connectivity and protective management) </w:t>
      </w:r>
      <w:r w:rsidR="004E7F9C" w:rsidRPr="005516CD">
        <w:rPr>
          <w:rFonts w:asciiTheme="majorHAnsi" w:hAnsiTheme="majorHAnsi" w:cstheme="majorHAnsi"/>
          <w:sz w:val="20"/>
          <w:szCs w:val="20"/>
        </w:rPr>
        <w:t>for interventions in relation to the promotion of sustainable production and management systems across the north and north-east of the country.</w:t>
      </w:r>
    </w:p>
    <w:p w14:paraId="30C57031" w14:textId="77777777" w:rsidR="00F43478" w:rsidRPr="005516CD" w:rsidRDefault="00F43478" w:rsidP="006B27F4">
      <w:pPr>
        <w:pStyle w:val="ListParagraph"/>
        <w:keepNext/>
        <w:numPr>
          <w:ilvl w:val="2"/>
          <w:numId w:val="107"/>
        </w:numPr>
        <w:tabs>
          <w:tab w:val="left" w:pos="426"/>
        </w:tabs>
        <w:spacing w:after="120"/>
        <w:ind w:left="426" w:right="96" w:hanging="426"/>
        <w:jc w:val="both"/>
        <w:rPr>
          <w:rFonts w:asciiTheme="majorHAnsi" w:hAnsiTheme="majorHAnsi" w:cstheme="majorHAnsi"/>
          <w:i/>
          <w:sz w:val="20"/>
          <w:szCs w:val="20"/>
        </w:rPr>
      </w:pPr>
      <w:bookmarkStart w:id="57" w:name="_Hlk2067240"/>
      <w:r w:rsidRPr="005516CD">
        <w:rPr>
          <w:rFonts w:asciiTheme="majorHAnsi" w:hAnsiTheme="majorHAnsi" w:cstheme="majorHAnsi"/>
          <w:i/>
          <w:sz w:val="20"/>
          <w:szCs w:val="20"/>
        </w:rPr>
        <w:t xml:space="preserve">Social and economic development plans formulated and implemented by </w:t>
      </w:r>
      <w:r w:rsidR="00D14515" w:rsidRPr="005516CD">
        <w:rPr>
          <w:rFonts w:asciiTheme="majorHAnsi" w:hAnsiTheme="majorHAnsi" w:cstheme="majorHAnsi"/>
          <w:i/>
          <w:sz w:val="20"/>
          <w:szCs w:val="20"/>
        </w:rPr>
        <w:t>local</w:t>
      </w:r>
      <w:r w:rsidRPr="005516CD">
        <w:rPr>
          <w:rFonts w:asciiTheme="majorHAnsi" w:hAnsiTheme="majorHAnsi" w:cstheme="majorHAnsi"/>
          <w:i/>
          <w:sz w:val="20"/>
          <w:szCs w:val="20"/>
        </w:rPr>
        <w:t xml:space="preserve"> governments that include provisions for the promotion of BD-friendly production systems</w:t>
      </w:r>
    </w:p>
    <w:p w14:paraId="216DC9E4" w14:textId="77777777" w:rsidR="00EC5C20" w:rsidRPr="005516CD" w:rsidRDefault="00EC5C2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In </w:t>
      </w:r>
      <w:r w:rsidRPr="005516CD">
        <w:rPr>
          <w:rFonts w:asciiTheme="majorHAnsi" w:eastAsia="Calibri" w:hAnsiTheme="majorHAnsi" w:cstheme="majorHAnsi"/>
          <w:sz w:val="20"/>
          <w:szCs w:val="20"/>
        </w:rPr>
        <w:t>order</w:t>
      </w:r>
      <w:r w:rsidRPr="005516CD">
        <w:rPr>
          <w:rFonts w:asciiTheme="majorHAnsi" w:hAnsiTheme="majorHAnsi" w:cstheme="majorHAnsi"/>
          <w:sz w:val="20"/>
          <w:szCs w:val="20"/>
        </w:rPr>
        <w:t xml:space="preserve"> to </w:t>
      </w:r>
      <w:r w:rsidRPr="005516CD">
        <w:rPr>
          <w:rFonts w:ascii="Calibri" w:hAnsi="Calibri" w:cs="Calibri"/>
          <w:sz w:val="20"/>
          <w:szCs w:val="20"/>
          <w:lang w:val="en-US"/>
        </w:rPr>
        <w:t>optimize</w:t>
      </w:r>
      <w:r w:rsidRPr="005516CD">
        <w:rPr>
          <w:rFonts w:asciiTheme="majorHAnsi" w:hAnsiTheme="majorHAnsi" w:cstheme="majorHAnsi"/>
          <w:sz w:val="20"/>
          <w:szCs w:val="20"/>
        </w:rPr>
        <w:t xml:space="preserve"> impacts in relation to the spatial dynamics of ecosystems, environmental services and threats, the farm level support proposed under Component 2 will need to be carried out within the framework of landscape-wide tools for decision-making and planning. To this end the project will support</w:t>
      </w:r>
      <w:r w:rsidR="00B55B54" w:rsidRPr="005516CD">
        <w:rPr>
          <w:rFonts w:asciiTheme="majorHAnsi" w:hAnsiTheme="majorHAnsi" w:cstheme="majorHAnsi"/>
          <w:sz w:val="20"/>
          <w:szCs w:val="20"/>
        </w:rPr>
        <w:t>, and strengthen the institutional capacities of,</w:t>
      </w:r>
      <w:r w:rsidRPr="005516CD">
        <w:rPr>
          <w:rFonts w:asciiTheme="majorHAnsi" w:hAnsiTheme="majorHAnsi" w:cstheme="majorHAnsi"/>
          <w:sz w:val="20"/>
          <w:szCs w:val="20"/>
        </w:rPr>
        <w:t xml:space="preserve"> regional governments in incorporating these environmental considerations into spatial zoning plans covering their areas of jurisdiction, and in ensuring that the spatial plans of the different regional governments that cover the target massifs are effectively harmonized. This will be accompanied by the development and adoption of a robust protocol for the monitoring of biodiversity conditions and emplacement of implementation structure</w:t>
      </w:r>
      <w:r w:rsidR="00B55B54" w:rsidRPr="005516CD">
        <w:rPr>
          <w:rFonts w:asciiTheme="majorHAnsi" w:hAnsiTheme="majorHAnsi" w:cstheme="majorHAnsi"/>
          <w:sz w:val="20"/>
          <w:szCs w:val="20"/>
        </w:rPr>
        <w:t>, supported by the provision of training to regional governments in its application</w:t>
      </w:r>
      <w:r w:rsidRPr="005516CD">
        <w:rPr>
          <w:rFonts w:asciiTheme="majorHAnsi" w:hAnsiTheme="majorHAnsi" w:cstheme="majorHAnsi"/>
          <w:sz w:val="20"/>
          <w:szCs w:val="20"/>
        </w:rPr>
        <w:t xml:space="preserve">. Similar mainstreaming support will be provided for social and economic development plans developed by regional governments, in order to highlight potential risks of development proposals undermining environmental </w:t>
      </w:r>
      <w:proofErr w:type="gramStart"/>
      <w:r w:rsidRPr="005516CD">
        <w:rPr>
          <w:rFonts w:asciiTheme="majorHAnsi" w:hAnsiTheme="majorHAnsi" w:cstheme="majorHAnsi"/>
          <w:sz w:val="20"/>
          <w:szCs w:val="20"/>
        </w:rPr>
        <w:t>values, and</w:t>
      </w:r>
      <w:proofErr w:type="gramEnd"/>
      <w:r w:rsidRPr="005516CD">
        <w:rPr>
          <w:rFonts w:asciiTheme="majorHAnsi" w:hAnsiTheme="majorHAnsi" w:cstheme="majorHAnsi"/>
          <w:sz w:val="20"/>
          <w:szCs w:val="20"/>
        </w:rPr>
        <w:t xml:space="preserve"> propose mitigation measures accordingly. </w:t>
      </w:r>
    </w:p>
    <w:p w14:paraId="0BE6EB40" w14:textId="77777777" w:rsidR="00EC5C20" w:rsidRPr="005516CD" w:rsidRDefault="00EC5C2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project’s </w:t>
      </w:r>
      <w:r w:rsidRPr="005516CD">
        <w:rPr>
          <w:rFonts w:ascii="Calibri" w:hAnsi="Calibri" w:cs="Calibri"/>
          <w:sz w:val="20"/>
          <w:szCs w:val="20"/>
          <w:lang w:val="en-US"/>
        </w:rPr>
        <w:t>support</w:t>
      </w:r>
      <w:r w:rsidRPr="005516CD">
        <w:rPr>
          <w:rFonts w:asciiTheme="majorHAnsi" w:hAnsiTheme="majorHAnsi" w:cstheme="majorHAnsi"/>
          <w:sz w:val="20"/>
          <w:szCs w:val="20"/>
        </w:rPr>
        <w:t xml:space="preserve"> to these planning instruments will include facilitation and capacity development for the definition of specific territorial zones to be prioritised for different management objectives, including connectivity, protection and restoration, on the basis of region-wide variations in factors including BD values, connectivity needs and current natural resource conditions</w:t>
      </w:r>
    </w:p>
    <w:p w14:paraId="34DBAB4D" w14:textId="77777777" w:rsidR="00D14515" w:rsidRPr="005516CD" w:rsidRDefault="00D1451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Facilitation, advisory</w:t>
      </w:r>
      <w:r w:rsidR="00B55B54" w:rsidRPr="005516CD">
        <w:rPr>
          <w:rFonts w:asciiTheme="majorHAnsi" w:hAnsiTheme="majorHAnsi" w:cstheme="majorHAnsi"/>
          <w:sz w:val="20"/>
          <w:szCs w:val="20"/>
        </w:rPr>
        <w:t>,</w:t>
      </w:r>
      <w:r w:rsidRPr="005516CD">
        <w:rPr>
          <w:rFonts w:asciiTheme="majorHAnsi" w:hAnsiTheme="majorHAnsi" w:cstheme="majorHAnsi"/>
          <w:sz w:val="20"/>
          <w:szCs w:val="20"/>
        </w:rPr>
        <w:t xml:space="preserve"> information </w:t>
      </w:r>
      <w:r w:rsidR="00B55B54" w:rsidRPr="005516CD">
        <w:rPr>
          <w:rFonts w:asciiTheme="majorHAnsi" w:hAnsiTheme="majorHAnsi" w:cstheme="majorHAnsi"/>
          <w:sz w:val="20"/>
          <w:szCs w:val="20"/>
        </w:rPr>
        <w:t xml:space="preserve">and capacity development </w:t>
      </w:r>
      <w:r w:rsidRPr="005516CD">
        <w:rPr>
          <w:rFonts w:asciiTheme="majorHAnsi" w:hAnsiTheme="majorHAnsi" w:cstheme="majorHAnsi"/>
          <w:sz w:val="20"/>
          <w:szCs w:val="20"/>
        </w:rPr>
        <w:t xml:space="preserve">support will be provided to local governments (at commune or </w:t>
      </w:r>
      <w:proofErr w:type="spellStart"/>
      <w:r w:rsidRPr="005516CD">
        <w:rPr>
          <w:rFonts w:asciiTheme="majorHAnsi" w:hAnsiTheme="majorHAnsi" w:cstheme="majorHAnsi"/>
          <w:i/>
          <w:sz w:val="20"/>
          <w:szCs w:val="20"/>
        </w:rPr>
        <w:t>collectivité</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térritoriale</w:t>
      </w:r>
      <w:proofErr w:type="spellEnd"/>
      <w:r w:rsidRPr="005516CD">
        <w:rPr>
          <w:rFonts w:asciiTheme="majorHAnsi" w:hAnsiTheme="majorHAnsi" w:cstheme="majorHAnsi"/>
          <w:sz w:val="20"/>
          <w:szCs w:val="20"/>
        </w:rPr>
        <w:t xml:space="preserve"> level) for the formulation of plans setting out their thematic and spatial priorities for social and economic development, with particular emphasis on the inclusion of provisions for environmental sustainability, and with particular reference to sustainable production systems. Needs for project support will be defined on a case-by-case basis, but may include the training of local functionaries on aspects of planning and environmental sustainability (including for example considerations of landscape-wide flows of ecosystem services)</w:t>
      </w:r>
      <w:r w:rsidR="00F8469B" w:rsidRPr="005516CD">
        <w:rPr>
          <w:rFonts w:asciiTheme="majorHAnsi" w:hAnsiTheme="majorHAnsi" w:cstheme="majorHAnsi"/>
          <w:sz w:val="20"/>
          <w:szCs w:val="20"/>
        </w:rPr>
        <w:t>;</w:t>
      </w:r>
      <w:r w:rsidRPr="005516CD">
        <w:rPr>
          <w:rFonts w:asciiTheme="majorHAnsi" w:hAnsiTheme="majorHAnsi" w:cstheme="majorHAnsi"/>
          <w:sz w:val="20"/>
          <w:szCs w:val="20"/>
        </w:rPr>
        <w:t xml:space="preserve"> the provision of reliable, relevant and up to date information on </w:t>
      </w:r>
      <w:r w:rsidR="00F8469B" w:rsidRPr="005516CD">
        <w:rPr>
          <w:rFonts w:asciiTheme="majorHAnsi" w:hAnsiTheme="majorHAnsi" w:cstheme="majorHAnsi"/>
          <w:sz w:val="20"/>
          <w:szCs w:val="20"/>
        </w:rPr>
        <w:t xml:space="preserve">biophysical and socioeconomic variables, including their spatial dimensions; the establishment or strengthening of systems for information management, planning and monitoring in the local Governments; the facilitation of multi-stakeholder processes for the participatory formulation of the planning instruments; and the publication and dissemination of the instruments. In some cases (for example the commune of </w:t>
      </w:r>
      <w:proofErr w:type="spellStart"/>
      <w:r w:rsidR="00F8469B" w:rsidRPr="005516CD">
        <w:rPr>
          <w:rFonts w:asciiTheme="majorHAnsi" w:hAnsiTheme="majorHAnsi" w:cstheme="majorHAnsi"/>
          <w:sz w:val="20"/>
          <w:szCs w:val="20"/>
        </w:rPr>
        <w:t>Marmelade</w:t>
      </w:r>
      <w:proofErr w:type="spellEnd"/>
      <w:r w:rsidR="00F8469B" w:rsidRPr="005516CD">
        <w:rPr>
          <w:rFonts w:asciiTheme="majorHAnsi" w:hAnsiTheme="majorHAnsi" w:cstheme="majorHAnsi"/>
          <w:sz w:val="20"/>
          <w:szCs w:val="20"/>
        </w:rPr>
        <w:t>), social and economic development plans may already have been formulated; in</w:t>
      </w:r>
      <w:r w:rsidR="004F0950" w:rsidRPr="005516CD">
        <w:rPr>
          <w:rFonts w:asciiTheme="majorHAnsi" w:hAnsiTheme="majorHAnsi" w:cstheme="majorHAnsi"/>
          <w:sz w:val="20"/>
          <w:szCs w:val="20"/>
        </w:rPr>
        <w:t xml:space="preserve"> such cases, the project will be focus on supporting and overseeing their implementation, with particular attention to issues of environmental sustainability, and on mainstreaming considerations of environmental sustainability when the time comes for them to be updated.  </w:t>
      </w:r>
    </w:p>
    <w:p w14:paraId="6A477386" w14:textId="77777777" w:rsidR="00AA1860" w:rsidRPr="005516CD" w:rsidRDefault="00AA1860" w:rsidP="006B27F4">
      <w:pPr>
        <w:pStyle w:val="ListParagraph"/>
        <w:keepNext/>
        <w:keepLines/>
        <w:numPr>
          <w:ilvl w:val="2"/>
          <w:numId w:val="107"/>
        </w:numPr>
        <w:tabs>
          <w:tab w:val="left" w:pos="426"/>
        </w:tabs>
        <w:spacing w:after="120"/>
        <w:ind w:left="425" w:right="96" w:hanging="425"/>
        <w:jc w:val="both"/>
        <w:rPr>
          <w:rFonts w:asciiTheme="majorHAnsi" w:hAnsiTheme="majorHAnsi" w:cstheme="majorHAnsi"/>
          <w:i/>
          <w:sz w:val="20"/>
          <w:szCs w:val="20"/>
        </w:rPr>
      </w:pPr>
      <w:r w:rsidRPr="005516CD">
        <w:rPr>
          <w:rFonts w:asciiTheme="majorHAnsi" w:hAnsiTheme="majorHAnsi" w:cstheme="majorHAnsi"/>
          <w:i/>
          <w:sz w:val="20"/>
          <w:szCs w:val="20"/>
        </w:rPr>
        <w:t xml:space="preserve">Systems for environmental monitoring and information management at landscape level established and </w:t>
      </w:r>
      <w:proofErr w:type="spellStart"/>
      <w:r w:rsidRPr="005516CD">
        <w:rPr>
          <w:rFonts w:asciiTheme="majorHAnsi" w:hAnsiTheme="majorHAnsi" w:cstheme="majorHAnsi"/>
          <w:i/>
          <w:sz w:val="20"/>
          <w:szCs w:val="20"/>
        </w:rPr>
        <w:t>operationalised</w:t>
      </w:r>
      <w:proofErr w:type="spellEnd"/>
      <w:r w:rsidRPr="005516CD">
        <w:rPr>
          <w:rFonts w:asciiTheme="majorHAnsi" w:hAnsiTheme="majorHAnsi" w:cstheme="majorHAnsi"/>
          <w:i/>
          <w:sz w:val="20"/>
          <w:szCs w:val="20"/>
        </w:rPr>
        <w:t xml:space="preserve"> in Department and Commune governments (including Commune Agricultural Offices), permitting management of landscapes in </w:t>
      </w:r>
      <w:proofErr w:type="spellStart"/>
      <w:r w:rsidRPr="005516CD">
        <w:rPr>
          <w:rFonts w:asciiTheme="majorHAnsi" w:hAnsiTheme="majorHAnsi" w:cstheme="majorHAnsi"/>
          <w:i/>
          <w:sz w:val="20"/>
          <w:szCs w:val="20"/>
        </w:rPr>
        <w:t>favour</w:t>
      </w:r>
      <w:proofErr w:type="spellEnd"/>
      <w:r w:rsidRPr="005516CD">
        <w:rPr>
          <w:rFonts w:asciiTheme="majorHAnsi" w:hAnsiTheme="majorHAnsi" w:cstheme="majorHAnsi"/>
          <w:i/>
          <w:sz w:val="20"/>
          <w:szCs w:val="20"/>
        </w:rPr>
        <w:t xml:space="preserve"> of environmental benefits to respond adaptively to evolving social, economic and environmental conditions:</w:t>
      </w:r>
    </w:p>
    <w:p w14:paraId="5227D19E" w14:textId="77777777" w:rsidR="008F2DE5" w:rsidRPr="005516CD" w:rsidRDefault="008F2DE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In order to help maximize the effectiveness and ongoing relevance</w:t>
      </w:r>
      <w:r w:rsidR="00B55B54" w:rsidRPr="005516CD">
        <w:rPr>
          <w:rFonts w:asciiTheme="majorHAnsi" w:hAnsiTheme="majorHAnsi" w:cstheme="majorHAnsi"/>
          <w:sz w:val="20"/>
          <w:szCs w:val="20"/>
        </w:rPr>
        <w:t xml:space="preserve"> of planning and management instruments</w:t>
      </w:r>
      <w:r w:rsidRPr="005516CD">
        <w:rPr>
          <w:rFonts w:asciiTheme="majorHAnsi" w:hAnsiTheme="majorHAnsi" w:cstheme="majorHAnsi"/>
          <w:sz w:val="20"/>
          <w:szCs w:val="20"/>
        </w:rPr>
        <w:t xml:space="preserve">, the project will ensure </w:t>
      </w:r>
      <w:r w:rsidR="00B55B54" w:rsidRPr="005516CD">
        <w:rPr>
          <w:rFonts w:asciiTheme="majorHAnsi" w:hAnsiTheme="majorHAnsi" w:cstheme="majorHAnsi"/>
          <w:sz w:val="20"/>
          <w:szCs w:val="20"/>
        </w:rPr>
        <w:t xml:space="preserve">that they </w:t>
      </w:r>
      <w:r w:rsidRPr="005516CD">
        <w:rPr>
          <w:rFonts w:asciiTheme="majorHAnsi" w:hAnsiTheme="majorHAnsi" w:cstheme="majorHAnsi"/>
          <w:sz w:val="20"/>
          <w:szCs w:val="20"/>
        </w:rPr>
        <w:t>are supported by flows of reliable and relevant information on conditions in the target landscapes, for example in relation to vegetation status, land uses and biodiversity values. This support will take advantage of and build upon existing information management systems and platforms such as ONEV.</w:t>
      </w:r>
    </w:p>
    <w:p w14:paraId="5CA1707D" w14:textId="77777777" w:rsidR="008F2DE5" w:rsidRPr="005516CD" w:rsidRDefault="008F2DE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These systems will include, for example:</w:t>
      </w:r>
    </w:p>
    <w:p w14:paraId="3865604D" w14:textId="77777777" w:rsidR="008F2DE5" w:rsidRPr="005516CD" w:rsidRDefault="008F2DE5" w:rsidP="006B27F4">
      <w:pPr>
        <w:pStyle w:val="ListParagraph"/>
        <w:numPr>
          <w:ilvl w:val="0"/>
          <w:numId w:val="88"/>
        </w:numPr>
        <w:tabs>
          <w:tab w:val="left" w:pos="567"/>
        </w:tabs>
        <w:ind w:left="567" w:right="96" w:hanging="210"/>
        <w:jc w:val="both"/>
        <w:rPr>
          <w:rFonts w:asciiTheme="majorHAnsi" w:hAnsiTheme="majorHAnsi" w:cstheme="majorHAnsi"/>
          <w:sz w:val="20"/>
          <w:szCs w:val="20"/>
        </w:rPr>
      </w:pPr>
      <w:r w:rsidRPr="005516CD">
        <w:rPr>
          <w:rFonts w:asciiTheme="majorHAnsi" w:hAnsiTheme="majorHAnsi" w:cstheme="majorHAnsi"/>
          <w:sz w:val="20"/>
          <w:szCs w:val="20"/>
        </w:rPr>
        <w:t>GIS-based mapping</w:t>
      </w:r>
    </w:p>
    <w:p w14:paraId="242C2B3D" w14:textId="77777777" w:rsidR="008F2DE5" w:rsidRPr="005516CD" w:rsidRDefault="00A6002D" w:rsidP="006B27F4">
      <w:pPr>
        <w:pStyle w:val="ListParagraph"/>
        <w:numPr>
          <w:ilvl w:val="0"/>
          <w:numId w:val="88"/>
        </w:numPr>
        <w:tabs>
          <w:tab w:val="left" w:pos="567"/>
        </w:tabs>
        <w:ind w:left="567" w:right="96" w:hanging="210"/>
        <w:jc w:val="both"/>
        <w:rPr>
          <w:rFonts w:asciiTheme="majorHAnsi" w:hAnsiTheme="majorHAnsi" w:cstheme="majorHAnsi"/>
          <w:sz w:val="20"/>
          <w:szCs w:val="20"/>
        </w:rPr>
      </w:pPr>
      <w:r w:rsidRPr="005516CD">
        <w:rPr>
          <w:rFonts w:asciiTheme="majorHAnsi" w:hAnsiTheme="majorHAnsi" w:cstheme="majorHAnsi"/>
          <w:sz w:val="20"/>
          <w:szCs w:val="20"/>
        </w:rPr>
        <w:t xml:space="preserve">Systems for the </w:t>
      </w:r>
      <w:r w:rsidR="008F2DE5" w:rsidRPr="005516CD">
        <w:rPr>
          <w:rFonts w:asciiTheme="majorHAnsi" w:hAnsiTheme="majorHAnsi" w:cstheme="majorHAnsi"/>
          <w:sz w:val="20"/>
          <w:szCs w:val="20"/>
        </w:rPr>
        <w:t>management and communicati</w:t>
      </w:r>
      <w:r w:rsidRPr="005516CD">
        <w:rPr>
          <w:rFonts w:asciiTheme="majorHAnsi" w:hAnsiTheme="majorHAnsi" w:cstheme="majorHAnsi"/>
          <w:sz w:val="20"/>
          <w:szCs w:val="20"/>
        </w:rPr>
        <w:t>o</w:t>
      </w:r>
      <w:r w:rsidR="008F2DE5" w:rsidRPr="005516CD">
        <w:rPr>
          <w:rFonts w:asciiTheme="majorHAnsi" w:hAnsiTheme="majorHAnsi" w:cstheme="majorHAnsi"/>
          <w:sz w:val="20"/>
          <w:szCs w:val="20"/>
        </w:rPr>
        <w:t xml:space="preserve">n </w:t>
      </w:r>
      <w:r w:rsidRPr="005516CD">
        <w:rPr>
          <w:rFonts w:asciiTheme="majorHAnsi" w:hAnsiTheme="majorHAnsi" w:cstheme="majorHAnsi"/>
          <w:sz w:val="20"/>
          <w:szCs w:val="20"/>
        </w:rPr>
        <w:t>of information</w:t>
      </w:r>
      <w:r w:rsidR="008F2DE5" w:rsidRPr="005516CD">
        <w:rPr>
          <w:rFonts w:asciiTheme="majorHAnsi" w:hAnsiTheme="majorHAnsi" w:cstheme="majorHAnsi"/>
          <w:sz w:val="20"/>
          <w:szCs w:val="20"/>
        </w:rPr>
        <w:t>, including web-based portals</w:t>
      </w:r>
    </w:p>
    <w:p w14:paraId="4D837EA7" w14:textId="77777777" w:rsidR="008F2DE5" w:rsidRPr="005516CD" w:rsidRDefault="00F967A0" w:rsidP="006B27F4">
      <w:pPr>
        <w:pStyle w:val="ListParagraph"/>
        <w:numPr>
          <w:ilvl w:val="0"/>
          <w:numId w:val="88"/>
        </w:numPr>
        <w:tabs>
          <w:tab w:val="left" w:pos="567"/>
        </w:tabs>
        <w:ind w:left="567" w:right="96" w:hanging="210"/>
        <w:jc w:val="both"/>
        <w:rPr>
          <w:rFonts w:asciiTheme="majorHAnsi" w:hAnsiTheme="majorHAnsi" w:cstheme="majorHAnsi"/>
          <w:sz w:val="20"/>
          <w:szCs w:val="20"/>
        </w:rPr>
      </w:pPr>
      <w:r w:rsidRPr="005516CD">
        <w:rPr>
          <w:rFonts w:asciiTheme="majorHAnsi" w:hAnsiTheme="majorHAnsi" w:cstheme="majorHAnsi"/>
          <w:sz w:val="20"/>
          <w:szCs w:val="20"/>
        </w:rPr>
        <w:t>Further s</w:t>
      </w:r>
      <w:r w:rsidR="008F2DE5" w:rsidRPr="005516CD">
        <w:rPr>
          <w:rFonts w:asciiTheme="majorHAnsi" w:hAnsiTheme="majorHAnsi" w:cstheme="majorHAnsi"/>
          <w:sz w:val="20"/>
          <w:szCs w:val="20"/>
        </w:rPr>
        <w:t>tudies of value chain opportunities and market trends</w:t>
      </w:r>
      <w:r w:rsidRPr="005516CD">
        <w:rPr>
          <w:rFonts w:asciiTheme="majorHAnsi" w:hAnsiTheme="majorHAnsi" w:cstheme="majorHAnsi"/>
          <w:sz w:val="20"/>
          <w:szCs w:val="20"/>
        </w:rPr>
        <w:t>, including other crops and products in addition to cacao and coffee, and emerging opportunities.</w:t>
      </w:r>
    </w:p>
    <w:p w14:paraId="489EAF0C" w14:textId="77777777" w:rsidR="008F2DE5" w:rsidRPr="005516CD" w:rsidRDefault="008F2DE5" w:rsidP="006B27F4">
      <w:pPr>
        <w:pStyle w:val="ListParagraph"/>
        <w:numPr>
          <w:ilvl w:val="0"/>
          <w:numId w:val="88"/>
        </w:numPr>
        <w:tabs>
          <w:tab w:val="left" w:pos="567"/>
        </w:tabs>
        <w:spacing w:after="120"/>
        <w:ind w:left="567" w:right="96" w:hanging="210"/>
        <w:jc w:val="both"/>
        <w:rPr>
          <w:rFonts w:asciiTheme="majorHAnsi" w:hAnsiTheme="majorHAnsi" w:cstheme="majorHAnsi"/>
          <w:sz w:val="20"/>
          <w:szCs w:val="20"/>
        </w:rPr>
      </w:pPr>
      <w:r w:rsidRPr="005516CD">
        <w:rPr>
          <w:rFonts w:asciiTheme="majorHAnsi" w:hAnsiTheme="majorHAnsi" w:cstheme="majorHAnsi"/>
          <w:sz w:val="20"/>
          <w:szCs w:val="20"/>
        </w:rPr>
        <w:t>Community-based systems for participatory monitoring of social and environmental trends, including the definition of appropriate indicators and mechanisms for information management, exchange and use</w:t>
      </w:r>
    </w:p>
    <w:p w14:paraId="0AAE4C29" w14:textId="77777777" w:rsidR="00F967A0" w:rsidRPr="005516CD" w:rsidRDefault="00F967A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i/>
          <w:sz w:val="20"/>
          <w:szCs w:val="20"/>
        </w:rPr>
      </w:pPr>
      <w:r w:rsidRPr="005516CD">
        <w:rPr>
          <w:rFonts w:asciiTheme="majorHAnsi" w:hAnsiTheme="majorHAnsi" w:cstheme="majorHAnsi"/>
          <w:sz w:val="20"/>
          <w:szCs w:val="20"/>
        </w:rPr>
        <w:t xml:space="preserve">The project will provide advisory and training support </w:t>
      </w:r>
      <w:r w:rsidR="00B55B54" w:rsidRPr="005516CD">
        <w:rPr>
          <w:rFonts w:asciiTheme="majorHAnsi" w:hAnsiTheme="majorHAnsi" w:cstheme="majorHAnsi"/>
          <w:sz w:val="20"/>
          <w:szCs w:val="20"/>
        </w:rPr>
        <w:t xml:space="preserve">to local institutions </w:t>
      </w:r>
      <w:r w:rsidRPr="005516CD">
        <w:rPr>
          <w:rFonts w:asciiTheme="majorHAnsi" w:hAnsiTheme="majorHAnsi" w:cstheme="majorHAnsi"/>
          <w:sz w:val="20"/>
          <w:szCs w:val="20"/>
        </w:rPr>
        <w:t>for the application of a range of information management and planning tools, the utility of which has been widely proven by FAO in similar situations elsewhere, including Collect Earth for augmented visual interpretation for land monitoring</w:t>
      </w:r>
      <w:r w:rsidRPr="005516CD">
        <w:rPr>
          <w:rStyle w:val="FootnoteReference"/>
          <w:rFonts w:asciiTheme="majorHAnsi" w:hAnsiTheme="majorHAnsi" w:cstheme="majorHAnsi"/>
          <w:sz w:val="20"/>
          <w:szCs w:val="20"/>
        </w:rPr>
        <w:footnoteReference w:id="55"/>
      </w:r>
      <w:r w:rsidRPr="005516CD">
        <w:rPr>
          <w:rFonts w:asciiTheme="majorHAnsi" w:hAnsiTheme="majorHAnsi" w:cstheme="majorHAnsi"/>
          <w:sz w:val="20"/>
          <w:szCs w:val="20"/>
        </w:rPr>
        <w:t xml:space="preserve">, </w:t>
      </w:r>
      <w:r w:rsidR="00780E49" w:rsidRPr="005516CD">
        <w:rPr>
          <w:rFonts w:asciiTheme="majorHAnsi" w:hAnsiTheme="majorHAnsi" w:cstheme="majorHAnsi"/>
          <w:sz w:val="20"/>
          <w:szCs w:val="20"/>
        </w:rPr>
        <w:t xml:space="preserve">the WOCAT database and WOCAT-LADA mapping tool, </w:t>
      </w:r>
      <w:r w:rsidRPr="005516CD">
        <w:rPr>
          <w:rFonts w:asciiTheme="majorHAnsi" w:hAnsiTheme="majorHAnsi" w:cstheme="majorHAnsi"/>
          <w:sz w:val="20"/>
          <w:szCs w:val="20"/>
        </w:rPr>
        <w:t>L</w:t>
      </w:r>
      <w:r w:rsidR="004F334C" w:rsidRPr="005516CD">
        <w:rPr>
          <w:rFonts w:asciiTheme="majorHAnsi" w:hAnsiTheme="majorHAnsi" w:cstheme="majorHAnsi"/>
          <w:sz w:val="20"/>
          <w:szCs w:val="20"/>
        </w:rPr>
        <w:t>and Degradation Assessmen</w:t>
      </w:r>
      <w:r w:rsidR="000408CF" w:rsidRPr="005516CD">
        <w:rPr>
          <w:rFonts w:asciiTheme="majorHAnsi" w:hAnsiTheme="majorHAnsi" w:cstheme="majorHAnsi"/>
          <w:sz w:val="20"/>
          <w:szCs w:val="20"/>
        </w:rPr>
        <w:t>t</w:t>
      </w:r>
      <w:r w:rsidR="004F334C" w:rsidRPr="005516CD">
        <w:rPr>
          <w:rFonts w:asciiTheme="majorHAnsi" w:hAnsiTheme="majorHAnsi" w:cstheme="majorHAnsi"/>
          <w:sz w:val="20"/>
          <w:szCs w:val="20"/>
        </w:rPr>
        <w:t xml:space="preserve"> in Drylands (L</w:t>
      </w:r>
      <w:r w:rsidRPr="005516CD">
        <w:rPr>
          <w:rFonts w:asciiTheme="majorHAnsi" w:hAnsiTheme="majorHAnsi" w:cstheme="majorHAnsi"/>
          <w:sz w:val="20"/>
          <w:szCs w:val="20"/>
        </w:rPr>
        <w:t>ADA</w:t>
      </w:r>
      <w:r w:rsidR="004F334C" w:rsidRPr="005516CD">
        <w:rPr>
          <w:rFonts w:asciiTheme="majorHAnsi" w:hAnsiTheme="majorHAnsi" w:cstheme="majorHAnsi"/>
          <w:sz w:val="20"/>
          <w:szCs w:val="20"/>
        </w:rPr>
        <w:t>)</w:t>
      </w:r>
      <w:r w:rsidRPr="005516CD">
        <w:rPr>
          <w:rFonts w:asciiTheme="majorHAnsi" w:hAnsiTheme="majorHAnsi" w:cstheme="majorHAnsi"/>
          <w:sz w:val="20"/>
          <w:szCs w:val="20"/>
        </w:rPr>
        <w:t xml:space="preserve"> </w:t>
      </w:r>
      <w:r w:rsidR="000408CF" w:rsidRPr="005516CD">
        <w:rPr>
          <w:rFonts w:asciiTheme="majorHAnsi" w:hAnsiTheme="majorHAnsi" w:cstheme="majorHAnsi"/>
          <w:sz w:val="20"/>
          <w:szCs w:val="20"/>
        </w:rPr>
        <w:t xml:space="preserve">for </w:t>
      </w:r>
      <w:r w:rsidRPr="005516CD">
        <w:rPr>
          <w:rFonts w:asciiTheme="majorHAnsi" w:hAnsiTheme="majorHAnsi" w:cstheme="majorHAnsi"/>
          <w:sz w:val="20"/>
          <w:szCs w:val="20"/>
        </w:rPr>
        <w:t>local level assessments of land degradation and sustainable land management</w:t>
      </w:r>
      <w:r w:rsidRPr="005516CD">
        <w:rPr>
          <w:rStyle w:val="FootnoteReference"/>
          <w:rFonts w:asciiTheme="majorHAnsi" w:hAnsiTheme="majorHAnsi" w:cstheme="majorHAnsi"/>
          <w:sz w:val="20"/>
          <w:szCs w:val="20"/>
        </w:rPr>
        <w:footnoteReference w:id="56"/>
      </w:r>
      <w:r w:rsidRPr="005516CD">
        <w:rPr>
          <w:rFonts w:asciiTheme="majorHAnsi" w:hAnsiTheme="majorHAnsi" w:cstheme="majorHAnsi"/>
          <w:sz w:val="20"/>
          <w:szCs w:val="20"/>
        </w:rPr>
        <w:t xml:space="preserve"> and the </w:t>
      </w:r>
      <w:r w:rsidR="001C5382" w:rsidRPr="005516CD">
        <w:rPr>
          <w:rFonts w:asciiTheme="majorHAnsi" w:hAnsiTheme="majorHAnsi" w:cstheme="majorHAnsi"/>
          <w:sz w:val="20"/>
          <w:szCs w:val="20"/>
        </w:rPr>
        <w:t>Ex-Ante Carbon Balance Tool (</w:t>
      </w:r>
      <w:r w:rsidRPr="005516CD">
        <w:rPr>
          <w:rFonts w:asciiTheme="majorHAnsi" w:hAnsiTheme="majorHAnsi" w:cstheme="majorHAnsi"/>
          <w:sz w:val="20"/>
          <w:szCs w:val="20"/>
        </w:rPr>
        <w:t>Ex-ACT</w:t>
      </w:r>
      <w:r w:rsidR="001C5382" w:rsidRPr="005516CD">
        <w:rPr>
          <w:rFonts w:asciiTheme="majorHAnsi" w:hAnsiTheme="majorHAnsi" w:cstheme="majorHAnsi"/>
          <w:sz w:val="20"/>
          <w:szCs w:val="20"/>
        </w:rPr>
        <w:t>)</w:t>
      </w:r>
      <w:r w:rsidRPr="005516CD">
        <w:rPr>
          <w:rFonts w:asciiTheme="majorHAnsi" w:hAnsiTheme="majorHAnsi" w:cstheme="majorHAnsi"/>
          <w:sz w:val="20"/>
          <w:szCs w:val="20"/>
        </w:rPr>
        <w:t xml:space="preserve"> (for land use change and value chains)</w:t>
      </w:r>
      <w:r w:rsidRPr="005516CD">
        <w:rPr>
          <w:rStyle w:val="FootnoteReference"/>
          <w:rFonts w:asciiTheme="majorHAnsi" w:hAnsiTheme="majorHAnsi" w:cstheme="majorHAnsi"/>
          <w:sz w:val="20"/>
          <w:szCs w:val="20"/>
        </w:rPr>
        <w:footnoteReference w:id="57"/>
      </w:r>
      <w:r w:rsidRPr="005516CD">
        <w:rPr>
          <w:rFonts w:asciiTheme="majorHAnsi" w:hAnsiTheme="majorHAnsi" w:cstheme="majorHAnsi"/>
          <w:sz w:val="20"/>
          <w:szCs w:val="20"/>
        </w:rPr>
        <w:t>. Collect Earth, for example, would be of use for the monitoring of ecosystem conditions in response to changes in the management of production systems. These tools are all free and available on line, and the project will provide local staff with training on their application.</w:t>
      </w:r>
    </w:p>
    <w:bookmarkEnd w:id="57"/>
    <w:p w14:paraId="5BAC6A7A" w14:textId="77777777" w:rsidR="00AA1860" w:rsidRPr="005516CD" w:rsidRDefault="00AA1860" w:rsidP="006B27F4">
      <w:pPr>
        <w:pStyle w:val="ListParagraph"/>
        <w:keepNext/>
        <w:numPr>
          <w:ilvl w:val="2"/>
          <w:numId w:val="107"/>
        </w:numPr>
        <w:tabs>
          <w:tab w:val="left" w:pos="426"/>
        </w:tabs>
        <w:spacing w:after="120"/>
        <w:ind w:left="426" w:right="96" w:hanging="426"/>
        <w:jc w:val="both"/>
        <w:rPr>
          <w:rFonts w:asciiTheme="majorHAnsi" w:hAnsiTheme="majorHAnsi" w:cstheme="majorHAnsi"/>
          <w:i/>
          <w:sz w:val="20"/>
          <w:szCs w:val="20"/>
        </w:rPr>
      </w:pPr>
      <w:r w:rsidRPr="005516CD">
        <w:rPr>
          <w:rFonts w:asciiTheme="majorHAnsi" w:hAnsiTheme="majorHAnsi" w:cstheme="majorHAnsi"/>
          <w:i/>
          <w:sz w:val="20"/>
          <w:szCs w:val="20"/>
        </w:rPr>
        <w:t xml:space="preserve">Consolidation </w:t>
      </w:r>
      <w:r w:rsidR="006A4376" w:rsidRPr="005516CD">
        <w:rPr>
          <w:rFonts w:asciiTheme="majorHAnsi" w:hAnsiTheme="majorHAnsi" w:cstheme="majorHAnsi"/>
          <w:i/>
          <w:sz w:val="20"/>
          <w:szCs w:val="20"/>
        </w:rPr>
        <w:t xml:space="preserve">of the capacities of producer </w:t>
      </w:r>
      <w:r w:rsidRPr="005516CD">
        <w:rPr>
          <w:rFonts w:asciiTheme="majorHAnsi" w:hAnsiTheme="majorHAnsi" w:cstheme="majorHAnsi"/>
          <w:i/>
          <w:sz w:val="20"/>
          <w:szCs w:val="20"/>
        </w:rPr>
        <w:t>coop</w:t>
      </w:r>
      <w:r w:rsidR="006A4376" w:rsidRPr="005516CD">
        <w:rPr>
          <w:rFonts w:asciiTheme="majorHAnsi" w:hAnsiTheme="majorHAnsi" w:cstheme="majorHAnsi"/>
          <w:i/>
          <w:sz w:val="20"/>
          <w:szCs w:val="20"/>
        </w:rPr>
        <w:t>er</w:t>
      </w:r>
      <w:r w:rsidRPr="005516CD">
        <w:rPr>
          <w:rFonts w:asciiTheme="majorHAnsi" w:hAnsiTheme="majorHAnsi" w:cstheme="majorHAnsi"/>
          <w:i/>
          <w:sz w:val="20"/>
          <w:szCs w:val="20"/>
        </w:rPr>
        <w:t>atives/f</w:t>
      </w:r>
      <w:r w:rsidR="006A4376" w:rsidRPr="005516CD">
        <w:rPr>
          <w:rFonts w:asciiTheme="majorHAnsi" w:hAnsiTheme="majorHAnsi" w:cstheme="majorHAnsi"/>
          <w:i/>
          <w:sz w:val="20"/>
          <w:szCs w:val="20"/>
        </w:rPr>
        <w:t>e</w:t>
      </w:r>
      <w:r w:rsidRPr="005516CD">
        <w:rPr>
          <w:rFonts w:asciiTheme="majorHAnsi" w:hAnsiTheme="majorHAnsi" w:cstheme="majorHAnsi"/>
          <w:i/>
          <w:sz w:val="20"/>
          <w:szCs w:val="20"/>
        </w:rPr>
        <w:t>d</w:t>
      </w:r>
      <w:r w:rsidR="006A4376" w:rsidRPr="005516CD">
        <w:rPr>
          <w:rFonts w:asciiTheme="majorHAnsi" w:hAnsiTheme="majorHAnsi" w:cstheme="majorHAnsi"/>
          <w:i/>
          <w:sz w:val="20"/>
          <w:szCs w:val="20"/>
        </w:rPr>
        <w:t>e</w:t>
      </w:r>
      <w:r w:rsidRPr="005516CD">
        <w:rPr>
          <w:rFonts w:asciiTheme="majorHAnsi" w:hAnsiTheme="majorHAnsi" w:cstheme="majorHAnsi"/>
          <w:i/>
          <w:sz w:val="20"/>
          <w:szCs w:val="20"/>
        </w:rPr>
        <w:t xml:space="preserve">rations </w:t>
      </w:r>
      <w:r w:rsidR="006A4376" w:rsidRPr="005516CD">
        <w:rPr>
          <w:rFonts w:asciiTheme="majorHAnsi" w:hAnsiTheme="majorHAnsi" w:cstheme="majorHAnsi"/>
          <w:i/>
          <w:sz w:val="20"/>
          <w:szCs w:val="20"/>
        </w:rPr>
        <w:t>for monitoring the compliance of their member producers with environmental management and traceability standards</w:t>
      </w:r>
    </w:p>
    <w:p w14:paraId="007DC342" w14:textId="77777777" w:rsidR="00AA1860" w:rsidRPr="005516CD" w:rsidRDefault="00E62BA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Although responsibility for the inspection of farms to ensure their compliance with certification standards lies with the certification bodies themselves, it is also necessary for producer organisations to ensure compliance of their members prior to inspection. The project will support the producer organisations </w:t>
      </w:r>
      <w:r w:rsidR="007C78BA" w:rsidRPr="005516CD">
        <w:rPr>
          <w:rFonts w:asciiTheme="majorHAnsi" w:hAnsiTheme="majorHAnsi" w:cstheme="majorHAnsi"/>
          <w:sz w:val="20"/>
          <w:szCs w:val="20"/>
        </w:rPr>
        <w:t xml:space="preserve">and their members </w:t>
      </w:r>
      <w:r w:rsidRPr="005516CD">
        <w:rPr>
          <w:rFonts w:asciiTheme="majorHAnsi" w:hAnsiTheme="majorHAnsi" w:cstheme="majorHAnsi"/>
          <w:sz w:val="20"/>
          <w:szCs w:val="20"/>
        </w:rPr>
        <w:t>in develop</w:t>
      </w:r>
      <w:r w:rsidR="007C78BA" w:rsidRPr="005516CD">
        <w:rPr>
          <w:rFonts w:asciiTheme="majorHAnsi" w:hAnsiTheme="majorHAnsi" w:cstheme="majorHAnsi"/>
          <w:sz w:val="20"/>
          <w:szCs w:val="20"/>
        </w:rPr>
        <w:t>ing</w:t>
      </w:r>
      <w:r w:rsidRPr="005516CD">
        <w:rPr>
          <w:rFonts w:asciiTheme="majorHAnsi" w:hAnsiTheme="majorHAnsi" w:cstheme="majorHAnsi"/>
          <w:sz w:val="20"/>
          <w:szCs w:val="20"/>
        </w:rPr>
        <w:t xml:space="preserve"> and appl</w:t>
      </w:r>
      <w:r w:rsidR="007C78BA" w:rsidRPr="005516CD">
        <w:rPr>
          <w:rFonts w:asciiTheme="majorHAnsi" w:hAnsiTheme="majorHAnsi" w:cstheme="majorHAnsi"/>
          <w:sz w:val="20"/>
          <w:szCs w:val="20"/>
        </w:rPr>
        <w:t xml:space="preserve">ying administrative procedures to ensure effective inspection of compliance, including effective record-keeping and traceability systems. </w:t>
      </w:r>
    </w:p>
    <w:p w14:paraId="73B874E5" w14:textId="77777777" w:rsidR="00C31DB7" w:rsidRPr="005516CD" w:rsidRDefault="00C31DB7" w:rsidP="00F12340">
      <w:pPr>
        <w:pStyle w:val="Heading7"/>
        <w:keepNext/>
        <w:spacing w:before="0"/>
        <w:ind w:left="0"/>
        <w:rPr>
          <w:rFonts w:asciiTheme="majorHAnsi" w:hAnsiTheme="majorHAnsi" w:cstheme="majorHAnsi"/>
          <w:b/>
          <w:i/>
        </w:rPr>
      </w:pPr>
      <w:r w:rsidRPr="005516CD">
        <w:rPr>
          <w:rFonts w:asciiTheme="majorHAnsi" w:hAnsiTheme="majorHAnsi" w:cstheme="majorHAnsi"/>
          <w:b/>
          <w:i/>
        </w:rPr>
        <w:t>Output 1.2. Socially- and institutionally sustainable mechanisms for governance in support of tree-rich production systems:</w:t>
      </w:r>
    </w:p>
    <w:p w14:paraId="06695EB2" w14:textId="77777777" w:rsidR="00F446A9" w:rsidRPr="005516CD" w:rsidRDefault="00F446A9" w:rsidP="006B27F4">
      <w:pPr>
        <w:pStyle w:val="ListParagraph"/>
        <w:keepNext/>
        <w:numPr>
          <w:ilvl w:val="2"/>
          <w:numId w:val="108"/>
        </w:numPr>
        <w:tabs>
          <w:tab w:val="left" w:pos="426"/>
        </w:tabs>
        <w:spacing w:after="120"/>
        <w:ind w:left="426" w:right="96" w:hanging="426"/>
        <w:jc w:val="both"/>
        <w:rPr>
          <w:rFonts w:asciiTheme="majorHAnsi" w:hAnsiTheme="majorHAnsi" w:cstheme="majorHAnsi"/>
          <w:i/>
          <w:sz w:val="20"/>
          <w:szCs w:val="20"/>
        </w:rPr>
      </w:pPr>
      <w:r w:rsidRPr="005516CD">
        <w:rPr>
          <w:rFonts w:asciiTheme="majorHAnsi" w:hAnsiTheme="majorHAnsi" w:cstheme="majorHAnsi"/>
          <w:i/>
          <w:sz w:val="20"/>
          <w:szCs w:val="20"/>
        </w:rPr>
        <w:t xml:space="preserve">Community-based mechanisms for countering threats to community interests in relation to natural resources </w:t>
      </w:r>
    </w:p>
    <w:p w14:paraId="13628817" w14:textId="77777777" w:rsidR="00C31DB7" w:rsidRPr="005516CD" w:rsidRDefault="00C31DB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Building where possible on existing social structures, the project will support the establishment and/or consolidation of </w:t>
      </w:r>
      <w:r w:rsidR="003453C1" w:rsidRPr="005516CD">
        <w:rPr>
          <w:rFonts w:asciiTheme="majorHAnsi" w:hAnsiTheme="majorHAnsi" w:cstheme="majorHAnsi"/>
          <w:sz w:val="20"/>
          <w:szCs w:val="20"/>
        </w:rPr>
        <w:t xml:space="preserve">community-based </w:t>
      </w:r>
      <w:r w:rsidRPr="005516CD">
        <w:rPr>
          <w:rFonts w:asciiTheme="majorHAnsi" w:hAnsiTheme="majorHAnsi" w:cstheme="majorHAnsi"/>
          <w:sz w:val="20"/>
          <w:szCs w:val="20"/>
        </w:rPr>
        <w:t xml:space="preserve">mechanisms </w:t>
      </w:r>
      <w:r w:rsidR="000408CF" w:rsidRPr="005516CD">
        <w:rPr>
          <w:rFonts w:asciiTheme="majorHAnsi" w:hAnsiTheme="majorHAnsi" w:cstheme="majorHAnsi"/>
          <w:sz w:val="20"/>
          <w:szCs w:val="20"/>
        </w:rPr>
        <w:t xml:space="preserve">for joint work at watershed level to </w:t>
      </w:r>
      <w:r w:rsidR="003453C1" w:rsidRPr="005516CD">
        <w:rPr>
          <w:rFonts w:asciiTheme="majorHAnsi" w:hAnsiTheme="majorHAnsi" w:cstheme="majorHAnsi"/>
          <w:sz w:val="20"/>
          <w:szCs w:val="20"/>
        </w:rPr>
        <w:t xml:space="preserve">counter threats that affect the interests of community members, such as encroachment on areas of importance for the protection of community water supplies, or the felling of trees in the community for charcoal, by external actors. </w:t>
      </w:r>
    </w:p>
    <w:p w14:paraId="460BA163" w14:textId="77777777" w:rsidR="00F446A9" w:rsidRPr="005516CD" w:rsidRDefault="00F446A9" w:rsidP="006B27F4">
      <w:pPr>
        <w:pStyle w:val="ListParagraph"/>
        <w:keepNext/>
        <w:numPr>
          <w:ilvl w:val="2"/>
          <w:numId w:val="108"/>
        </w:numPr>
        <w:tabs>
          <w:tab w:val="left" w:pos="426"/>
        </w:tabs>
        <w:spacing w:after="120"/>
        <w:ind w:left="426" w:right="96" w:hanging="426"/>
        <w:jc w:val="both"/>
        <w:rPr>
          <w:rFonts w:asciiTheme="majorHAnsi" w:hAnsiTheme="majorHAnsi" w:cstheme="majorHAnsi"/>
          <w:i/>
          <w:sz w:val="20"/>
          <w:szCs w:val="20"/>
        </w:rPr>
      </w:pPr>
      <w:r w:rsidRPr="005516CD">
        <w:rPr>
          <w:rFonts w:asciiTheme="majorHAnsi" w:hAnsiTheme="majorHAnsi" w:cstheme="majorHAnsi"/>
          <w:i/>
          <w:sz w:val="20"/>
          <w:szCs w:val="20"/>
        </w:rPr>
        <w:t xml:space="preserve">Community-based </w:t>
      </w:r>
      <w:proofErr w:type="spellStart"/>
      <w:r w:rsidRPr="005516CD">
        <w:rPr>
          <w:rFonts w:asciiTheme="majorHAnsi" w:hAnsiTheme="majorHAnsi" w:cstheme="majorHAnsi"/>
          <w:i/>
          <w:sz w:val="20"/>
          <w:szCs w:val="20"/>
        </w:rPr>
        <w:t>organisations</w:t>
      </w:r>
      <w:proofErr w:type="spellEnd"/>
      <w:r w:rsidRPr="005516CD">
        <w:rPr>
          <w:rFonts w:asciiTheme="majorHAnsi" w:hAnsiTheme="majorHAnsi" w:cstheme="majorHAnsi"/>
          <w:i/>
          <w:sz w:val="20"/>
          <w:szCs w:val="20"/>
        </w:rPr>
        <w:t xml:space="preserve"> strengthened to facilitate joint action in support of BD-friendly landscape and ecosystem management such as the protection of remnants of vegetation and the restoration of degraded areas around water catchment areas, and the effective social control of threats</w:t>
      </w:r>
    </w:p>
    <w:p w14:paraId="473B344C" w14:textId="77777777" w:rsidR="00F446A9" w:rsidRPr="005516CD" w:rsidRDefault="00F446A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Similarly, the project will support the strengthening of community-based institutions capable of organizing joint action in support of BD-friendly landscape and ecosystem management, such as the establishment and protection by communities of riparian reserves, the restoration of degraded areas, and the effective social control of threats, such as fire, affecting such areas and other environmental values. This will to some extent compensate for the limited capacities and resource of State institutions with responsibility for overseeing environmental governance.</w:t>
      </w:r>
    </w:p>
    <w:p w14:paraId="45521F93" w14:textId="77777777" w:rsidR="00C31DB7" w:rsidRPr="005516CD" w:rsidRDefault="00C31DB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In this regard, the project will take into account lessons learned from other projects in the past</w:t>
      </w:r>
      <w:r w:rsidRPr="005516CD">
        <w:rPr>
          <w:rStyle w:val="FootnoteReference"/>
          <w:rFonts w:asciiTheme="majorHAnsi" w:hAnsiTheme="majorHAnsi" w:cstheme="majorHAnsi"/>
          <w:sz w:val="20"/>
          <w:szCs w:val="20"/>
        </w:rPr>
        <w:footnoteReference w:id="58"/>
      </w:r>
      <w:r w:rsidRPr="005516CD">
        <w:rPr>
          <w:rFonts w:asciiTheme="majorHAnsi" w:hAnsiTheme="majorHAnsi" w:cstheme="majorHAnsi"/>
          <w:sz w:val="20"/>
          <w:szCs w:val="20"/>
        </w:rPr>
        <w:t xml:space="preserve"> regarding the importance of building on relevant existing community structures wherever possible</w:t>
      </w:r>
      <w:r w:rsidRPr="005516CD">
        <w:rPr>
          <w:rStyle w:val="FootnoteReference"/>
          <w:rFonts w:asciiTheme="majorHAnsi" w:hAnsiTheme="majorHAnsi" w:cstheme="majorHAnsi"/>
          <w:sz w:val="20"/>
          <w:szCs w:val="20"/>
        </w:rPr>
        <w:footnoteReference w:id="59"/>
      </w:r>
      <w:r w:rsidRPr="005516CD">
        <w:rPr>
          <w:rFonts w:asciiTheme="majorHAnsi" w:hAnsiTheme="majorHAnsi" w:cstheme="majorHAnsi"/>
          <w:sz w:val="20"/>
          <w:szCs w:val="20"/>
        </w:rPr>
        <w:t xml:space="preserve">, before developing new ones, in order to promote community acceptance and sustainability. Such existing associations can function as the primary channels for diffusion and adoption of technical innovations and awareness-raising messages. </w:t>
      </w:r>
    </w:p>
    <w:p w14:paraId="7A922DAE" w14:textId="77777777" w:rsidR="00C31DB7" w:rsidRPr="005516CD" w:rsidRDefault="00C31DB7" w:rsidP="00F12340">
      <w:pPr>
        <w:pStyle w:val="Heading7"/>
        <w:keepNext/>
        <w:spacing w:before="0"/>
        <w:ind w:left="0"/>
        <w:rPr>
          <w:rFonts w:asciiTheme="majorHAnsi" w:hAnsiTheme="majorHAnsi" w:cstheme="majorHAnsi"/>
          <w:b/>
          <w:i/>
        </w:rPr>
      </w:pPr>
      <w:r w:rsidRPr="005516CD">
        <w:rPr>
          <w:rFonts w:asciiTheme="majorHAnsi" w:hAnsiTheme="majorHAnsi" w:cstheme="majorHAnsi"/>
          <w:b/>
          <w:i/>
        </w:rPr>
        <w:t>Output 1.3 Market-based instruments to facilitate the delivery of environmental benefits:</w:t>
      </w:r>
    </w:p>
    <w:p w14:paraId="54EF5FE6" w14:textId="77777777" w:rsidR="00C31DB7" w:rsidRPr="005516CD" w:rsidRDefault="00C31DB7"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The project will support the use of market-based instruments to motivate application of production practices that favour the </w:t>
      </w:r>
      <w:r w:rsidRPr="005516CD">
        <w:rPr>
          <w:rFonts w:asciiTheme="majorHAnsi" w:hAnsiTheme="majorHAnsi" w:cstheme="majorHAnsi"/>
          <w:sz w:val="20"/>
          <w:szCs w:val="20"/>
        </w:rPr>
        <w:t>generation</w:t>
      </w:r>
      <w:r w:rsidRPr="005516CD">
        <w:rPr>
          <w:rFonts w:asciiTheme="majorHAnsi" w:eastAsia="Calibri" w:hAnsiTheme="majorHAnsi" w:cstheme="majorHAnsi"/>
          <w:sz w:val="20"/>
          <w:szCs w:val="20"/>
        </w:rPr>
        <w:t xml:space="preserve"> of environmental benefits. </w:t>
      </w:r>
      <w:r w:rsidR="003453C1" w:rsidRPr="005516CD">
        <w:rPr>
          <w:rFonts w:asciiTheme="majorHAnsi" w:eastAsia="Calibri" w:hAnsiTheme="majorHAnsi" w:cstheme="majorHAnsi"/>
          <w:sz w:val="20"/>
          <w:szCs w:val="20"/>
        </w:rPr>
        <w:t>Studies during the PPG phase show that the price differentials obtainable through certification far outweighs the costs of becoming certified, resulting in significant net financial benefits for cooperatives and their members. Conversely, analyses show that the</w:t>
      </w:r>
      <w:r w:rsidR="009C1854" w:rsidRPr="005516CD">
        <w:rPr>
          <w:rFonts w:asciiTheme="majorHAnsi" w:eastAsia="Calibri" w:hAnsiTheme="majorHAnsi" w:cstheme="majorHAnsi"/>
          <w:sz w:val="20"/>
          <w:szCs w:val="20"/>
        </w:rPr>
        <w:t>re is limited motivation for private sector actors in Haiti to impose environmental standards</w:t>
      </w:r>
      <w:r w:rsidR="003453C1" w:rsidRPr="005516CD">
        <w:rPr>
          <w:rFonts w:asciiTheme="majorHAnsi" w:eastAsia="Calibri" w:hAnsiTheme="majorHAnsi" w:cstheme="majorHAnsi"/>
          <w:sz w:val="20"/>
          <w:szCs w:val="20"/>
        </w:rPr>
        <w:t xml:space="preserve"> </w:t>
      </w:r>
      <w:r w:rsidR="009C1854" w:rsidRPr="005516CD">
        <w:rPr>
          <w:rFonts w:asciiTheme="majorHAnsi" w:eastAsia="Calibri" w:hAnsiTheme="majorHAnsi" w:cstheme="majorHAnsi"/>
          <w:sz w:val="20"/>
          <w:szCs w:val="20"/>
        </w:rPr>
        <w:t xml:space="preserve">on producers, given that the demand for coffee and particularly cacao far outweighs supply: the principal strategy whereby private sector actors will be able to influence the environmental stability of their supply chains will be through the provision of technical support to producers. </w:t>
      </w:r>
    </w:p>
    <w:tbl>
      <w:tblPr>
        <w:tblStyle w:val="TableGrid"/>
        <w:tblW w:w="0" w:type="auto"/>
        <w:tblLook w:val="04A0" w:firstRow="1" w:lastRow="0" w:firstColumn="1" w:lastColumn="0" w:noHBand="0" w:noVBand="1"/>
      </w:tblPr>
      <w:tblGrid>
        <w:gridCol w:w="9010"/>
      </w:tblGrid>
      <w:tr w:rsidR="00B036EA" w:rsidRPr="005516CD" w14:paraId="0E84598C" w14:textId="77777777" w:rsidTr="00B036EA">
        <w:tc>
          <w:tcPr>
            <w:tcW w:w="9010" w:type="dxa"/>
          </w:tcPr>
          <w:p w14:paraId="7E3EE5C6" w14:textId="77777777" w:rsidR="00B036EA" w:rsidRPr="005516CD" w:rsidRDefault="00B036EA" w:rsidP="006B27F4">
            <w:pPr>
              <w:pStyle w:val="ListParagraph"/>
              <w:numPr>
                <w:ilvl w:val="0"/>
                <w:numId w:val="114"/>
              </w:numPr>
              <w:tabs>
                <w:tab w:val="left" w:pos="594"/>
              </w:tabs>
              <w:spacing w:after="120"/>
              <w:ind w:left="306" w:right="96" w:hanging="357"/>
              <w:jc w:val="both"/>
              <w:rPr>
                <w:rFonts w:asciiTheme="majorHAnsi" w:eastAsia="Calibri" w:hAnsiTheme="majorHAnsi" w:cstheme="majorHAnsi"/>
                <w:b/>
                <w:sz w:val="20"/>
                <w:szCs w:val="20"/>
              </w:rPr>
            </w:pPr>
            <w:r w:rsidRPr="005516CD">
              <w:rPr>
                <w:rFonts w:asciiTheme="majorHAnsi" w:hAnsiTheme="majorHAnsi" w:cstheme="majorHAnsi"/>
                <w:b/>
                <w:sz w:val="20"/>
                <w:szCs w:val="22"/>
              </w:rPr>
              <w:t>Certification</w:t>
            </w:r>
            <w:r w:rsidRPr="005516CD">
              <w:rPr>
                <w:rFonts w:asciiTheme="majorHAnsi" w:eastAsia="Calibri" w:hAnsiTheme="majorHAnsi" w:cstheme="majorHAnsi"/>
                <w:b/>
                <w:sz w:val="20"/>
                <w:szCs w:val="20"/>
              </w:rPr>
              <w:t>: the case of FECCANO</w:t>
            </w:r>
            <w:r w:rsidR="00F12340" w:rsidRPr="005516CD">
              <w:rPr>
                <w:rStyle w:val="FootnoteReference"/>
                <w:rFonts w:asciiTheme="majorHAnsi" w:hAnsiTheme="majorHAnsi" w:cstheme="majorHAnsi"/>
                <w:b/>
                <w:i/>
                <w:sz w:val="20"/>
                <w:szCs w:val="20"/>
              </w:rPr>
              <w:footnoteReference w:id="60"/>
            </w:r>
          </w:p>
          <w:p w14:paraId="4E01DA5C" w14:textId="77777777" w:rsidR="00FD2B16" w:rsidRPr="005516CD" w:rsidRDefault="00B036EA" w:rsidP="00B036EA">
            <w:pPr>
              <w:tabs>
                <w:tab w:val="left" w:pos="426"/>
              </w:tabs>
              <w:spacing w:before="120" w:after="120"/>
              <w:ind w:right="96"/>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FECCANO has three forms of certification: </w:t>
            </w:r>
            <w:proofErr w:type="spellStart"/>
            <w:r w:rsidRPr="005516CD">
              <w:rPr>
                <w:rFonts w:asciiTheme="majorHAnsi" w:eastAsia="Calibri" w:hAnsiTheme="majorHAnsi" w:cstheme="majorHAnsi"/>
                <w:sz w:val="20"/>
                <w:szCs w:val="20"/>
              </w:rPr>
              <w:t>Ecocert</w:t>
            </w:r>
            <w:proofErr w:type="spellEnd"/>
            <w:r w:rsidRPr="005516CD">
              <w:rPr>
                <w:rFonts w:asciiTheme="majorHAnsi" w:eastAsia="Calibri" w:hAnsiTheme="majorHAnsi" w:cstheme="majorHAnsi"/>
                <w:sz w:val="20"/>
                <w:szCs w:val="20"/>
              </w:rPr>
              <w:t xml:space="preserve">, </w:t>
            </w:r>
            <w:proofErr w:type="spellStart"/>
            <w:r w:rsidRPr="005516CD">
              <w:rPr>
                <w:rFonts w:asciiTheme="majorHAnsi" w:eastAsia="Calibri" w:hAnsiTheme="majorHAnsi" w:cstheme="majorHAnsi"/>
                <w:sz w:val="20"/>
                <w:szCs w:val="20"/>
              </w:rPr>
              <w:t>Symbole</w:t>
            </w:r>
            <w:proofErr w:type="spellEnd"/>
            <w:r w:rsidRPr="005516CD">
              <w:rPr>
                <w:rFonts w:asciiTheme="majorHAnsi" w:eastAsia="Calibri" w:hAnsiTheme="majorHAnsi" w:cstheme="majorHAnsi"/>
                <w:sz w:val="20"/>
                <w:szCs w:val="20"/>
              </w:rPr>
              <w:t xml:space="preserve"> de </w:t>
            </w:r>
            <w:proofErr w:type="spellStart"/>
            <w:r w:rsidRPr="005516CD">
              <w:rPr>
                <w:rFonts w:asciiTheme="majorHAnsi" w:eastAsia="Calibri" w:hAnsiTheme="majorHAnsi" w:cstheme="majorHAnsi"/>
                <w:sz w:val="20"/>
                <w:szCs w:val="20"/>
              </w:rPr>
              <w:t>Producteurs</w:t>
            </w:r>
            <w:proofErr w:type="spellEnd"/>
            <w:r w:rsidRPr="005516CD">
              <w:rPr>
                <w:rFonts w:asciiTheme="majorHAnsi" w:eastAsia="Calibri" w:hAnsiTheme="majorHAnsi" w:cstheme="majorHAnsi"/>
                <w:sz w:val="20"/>
                <w:szCs w:val="20"/>
              </w:rPr>
              <w:t xml:space="preserve"> Paysans and Fairtrade. The cost of certification varies in accordance with the number of producers (although the certification is held by FECCANO itself).</w:t>
            </w:r>
            <w:r w:rsidR="00FD2B16" w:rsidRPr="005516CD">
              <w:rPr>
                <w:rFonts w:asciiTheme="majorHAnsi" w:eastAsia="Calibri" w:hAnsiTheme="majorHAnsi" w:cstheme="majorHAnsi"/>
                <w:sz w:val="20"/>
                <w:szCs w:val="20"/>
              </w:rPr>
              <w:t xml:space="preserve"> </w:t>
            </w:r>
          </w:p>
          <w:p w14:paraId="3822D7F6" w14:textId="77777777" w:rsidR="00FD2B16" w:rsidRPr="005516CD" w:rsidRDefault="00FD2B16" w:rsidP="00B036EA">
            <w:pPr>
              <w:tabs>
                <w:tab w:val="left" w:pos="426"/>
              </w:tabs>
              <w:spacing w:before="120" w:after="120"/>
              <w:ind w:right="96"/>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The total annual cost to FECCANO of holding these three certifications is USD 18,000, equal to USD 200/t of cacao (the certification covers 4,200 producers in 8 member cooperatives, with a total annual production of 200 t of cacao). </w:t>
            </w:r>
          </w:p>
          <w:p w14:paraId="2BC3B85C" w14:textId="77777777" w:rsidR="00B036EA" w:rsidRPr="005516CD" w:rsidRDefault="00FD2B16" w:rsidP="00B036EA">
            <w:pPr>
              <w:tabs>
                <w:tab w:val="left" w:pos="426"/>
              </w:tabs>
              <w:spacing w:before="120" w:after="120"/>
              <w:ind w:right="96"/>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Certification allows producers to obtain a price differential of USD 1,500/t, however (USD 4,000/t instead of USD 2,500/t), giving a net benefit of USD 1,410/t (56% on top of non-certified). </w:t>
            </w:r>
          </w:p>
        </w:tc>
      </w:tr>
    </w:tbl>
    <w:p w14:paraId="066C0536" w14:textId="77777777" w:rsidR="00B036EA" w:rsidRPr="005516CD" w:rsidRDefault="00B036EA" w:rsidP="00B036EA">
      <w:pPr>
        <w:tabs>
          <w:tab w:val="left" w:pos="426"/>
        </w:tabs>
        <w:spacing w:after="120"/>
        <w:ind w:right="96"/>
        <w:jc w:val="both"/>
        <w:rPr>
          <w:rFonts w:asciiTheme="majorHAnsi" w:eastAsia="Calibri" w:hAnsiTheme="majorHAnsi" w:cstheme="majorHAnsi"/>
          <w:sz w:val="20"/>
          <w:szCs w:val="20"/>
        </w:rPr>
      </w:pPr>
    </w:p>
    <w:p w14:paraId="7910A8AD" w14:textId="77777777" w:rsidR="005864C3" w:rsidRPr="005516CD" w:rsidRDefault="0047607C" w:rsidP="006B27F4">
      <w:pPr>
        <w:pStyle w:val="ListParagraph"/>
        <w:numPr>
          <w:ilvl w:val="2"/>
          <w:numId w:val="109"/>
        </w:numPr>
        <w:tabs>
          <w:tab w:val="left" w:pos="426"/>
        </w:tabs>
        <w:spacing w:after="120"/>
        <w:ind w:left="426" w:right="96" w:hanging="426"/>
        <w:jc w:val="both"/>
        <w:rPr>
          <w:rFonts w:asciiTheme="majorHAnsi" w:hAnsiTheme="majorHAnsi" w:cstheme="majorHAnsi"/>
          <w:i/>
          <w:sz w:val="20"/>
          <w:szCs w:val="20"/>
          <w:lang w:val="en-GB"/>
        </w:rPr>
      </w:pPr>
      <w:bookmarkStart w:id="58" w:name="_Hlk2067401"/>
      <w:r w:rsidRPr="005516CD">
        <w:rPr>
          <w:rFonts w:asciiTheme="majorHAnsi" w:hAnsiTheme="majorHAnsi" w:cstheme="majorHAnsi"/>
          <w:i/>
          <w:sz w:val="20"/>
          <w:szCs w:val="20"/>
          <w:lang w:val="en-GB"/>
        </w:rPr>
        <w:t xml:space="preserve">Coherent framework for </w:t>
      </w:r>
      <w:r w:rsidR="005864C3" w:rsidRPr="005516CD">
        <w:rPr>
          <w:rFonts w:asciiTheme="majorHAnsi" w:hAnsiTheme="majorHAnsi" w:cstheme="majorHAnsi"/>
          <w:i/>
          <w:sz w:val="20"/>
          <w:szCs w:val="20"/>
          <w:lang w:val="en-GB"/>
        </w:rPr>
        <w:t xml:space="preserve">Government </w:t>
      </w:r>
      <w:r w:rsidRPr="005516CD">
        <w:rPr>
          <w:rFonts w:asciiTheme="majorHAnsi" w:hAnsiTheme="majorHAnsi" w:cstheme="majorHAnsi"/>
          <w:i/>
          <w:sz w:val="20"/>
          <w:szCs w:val="20"/>
          <w:lang w:val="en-GB"/>
        </w:rPr>
        <w:t xml:space="preserve">support to </w:t>
      </w:r>
      <w:r w:rsidR="00253EED" w:rsidRPr="005516CD">
        <w:rPr>
          <w:rFonts w:asciiTheme="majorHAnsi" w:hAnsiTheme="majorHAnsi" w:cstheme="majorHAnsi"/>
          <w:i/>
          <w:sz w:val="20"/>
          <w:szCs w:val="20"/>
          <w:lang w:val="en-GB"/>
        </w:rPr>
        <w:t>integrati</w:t>
      </w:r>
      <w:r w:rsidRPr="005516CD">
        <w:rPr>
          <w:rFonts w:asciiTheme="majorHAnsi" w:hAnsiTheme="majorHAnsi" w:cstheme="majorHAnsi"/>
          <w:i/>
          <w:sz w:val="20"/>
          <w:szCs w:val="20"/>
          <w:lang w:val="en-GB"/>
        </w:rPr>
        <w:t>ng</w:t>
      </w:r>
      <w:r w:rsidR="00253EED" w:rsidRPr="005516CD">
        <w:rPr>
          <w:rFonts w:asciiTheme="majorHAnsi" w:hAnsiTheme="majorHAnsi" w:cstheme="majorHAnsi"/>
          <w:i/>
          <w:sz w:val="20"/>
          <w:szCs w:val="20"/>
          <w:lang w:val="en-GB"/>
        </w:rPr>
        <w:t xml:space="preserve"> producers into markets </w:t>
      </w:r>
      <w:r w:rsidRPr="005516CD">
        <w:rPr>
          <w:rFonts w:asciiTheme="majorHAnsi" w:hAnsiTheme="majorHAnsi" w:cstheme="majorHAnsi"/>
          <w:i/>
          <w:sz w:val="20"/>
          <w:szCs w:val="20"/>
          <w:lang w:val="en-GB"/>
        </w:rPr>
        <w:t xml:space="preserve">that favour </w:t>
      </w:r>
      <w:r w:rsidR="00253EED" w:rsidRPr="005516CD">
        <w:rPr>
          <w:rFonts w:asciiTheme="majorHAnsi" w:hAnsiTheme="majorHAnsi" w:cstheme="majorHAnsi"/>
          <w:i/>
          <w:sz w:val="20"/>
          <w:szCs w:val="20"/>
          <w:lang w:val="en-GB"/>
        </w:rPr>
        <w:t>sustainable production</w:t>
      </w:r>
      <w:r w:rsidR="005864C3" w:rsidRPr="005516CD">
        <w:rPr>
          <w:rFonts w:asciiTheme="majorHAnsi" w:hAnsiTheme="majorHAnsi" w:cstheme="majorHAnsi"/>
          <w:i/>
          <w:sz w:val="20"/>
          <w:szCs w:val="20"/>
          <w:lang w:val="en-GB"/>
        </w:rPr>
        <w:t xml:space="preserve"> </w:t>
      </w:r>
    </w:p>
    <w:p w14:paraId="0F2400AB" w14:textId="77777777" w:rsidR="0047607C" w:rsidRPr="005516CD" w:rsidRDefault="0047607C"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w:t>
      </w:r>
      <w:r w:rsidR="00C83B7E" w:rsidRPr="005516CD">
        <w:rPr>
          <w:rFonts w:asciiTheme="majorHAnsi" w:hAnsiTheme="majorHAnsi" w:cstheme="majorHAnsi"/>
          <w:sz w:val="20"/>
          <w:szCs w:val="20"/>
        </w:rPr>
        <w:t xml:space="preserve">project </w:t>
      </w:r>
      <w:r w:rsidR="00F42520" w:rsidRPr="005516CD">
        <w:rPr>
          <w:rFonts w:asciiTheme="majorHAnsi" w:hAnsiTheme="majorHAnsi" w:cstheme="majorHAnsi"/>
          <w:sz w:val="20"/>
          <w:szCs w:val="20"/>
        </w:rPr>
        <w:t xml:space="preserve">will work with key relevant sector institutions (particularly the Ministry of Agriculture, the Ministry of Environment and </w:t>
      </w:r>
      <w:r w:rsidR="001C5382" w:rsidRPr="005516CD">
        <w:rPr>
          <w:rFonts w:asciiTheme="majorHAnsi" w:hAnsiTheme="majorHAnsi" w:cstheme="majorHAnsi"/>
          <w:sz w:val="20"/>
          <w:szCs w:val="20"/>
        </w:rPr>
        <w:t xml:space="preserve">the National Coffee Institute </w:t>
      </w:r>
      <w:r w:rsidR="00F42520" w:rsidRPr="005516CD">
        <w:rPr>
          <w:rFonts w:asciiTheme="majorHAnsi" w:hAnsiTheme="majorHAnsi" w:cstheme="majorHAnsi"/>
          <w:sz w:val="20"/>
          <w:szCs w:val="20"/>
        </w:rPr>
        <w:t xml:space="preserve">INCAH), to consolidate cross-sector policy support for sustainable production systems, and for the development of corresponding markets and value chains. This will result for example in policy documents recognising their importance and </w:t>
      </w:r>
      <w:proofErr w:type="gramStart"/>
      <w:r w:rsidR="00F42520" w:rsidRPr="005516CD">
        <w:rPr>
          <w:rFonts w:asciiTheme="majorHAnsi" w:hAnsiTheme="majorHAnsi" w:cstheme="majorHAnsi"/>
          <w:sz w:val="20"/>
          <w:szCs w:val="20"/>
        </w:rPr>
        <w:t>potential, and</w:t>
      </w:r>
      <w:proofErr w:type="gramEnd"/>
      <w:r w:rsidR="00F42520" w:rsidRPr="005516CD">
        <w:rPr>
          <w:rFonts w:asciiTheme="majorHAnsi" w:hAnsiTheme="majorHAnsi" w:cstheme="majorHAnsi"/>
          <w:sz w:val="20"/>
          <w:szCs w:val="20"/>
        </w:rPr>
        <w:t xml:space="preserve"> identifying them as institutional priorities; and the institutionalisation of mechanisms for cross-sector and public-private coordination in support of these systems and value chains. </w:t>
      </w:r>
      <w:bookmarkEnd w:id="58"/>
      <w:r w:rsidR="00F42520" w:rsidRPr="005516CD">
        <w:rPr>
          <w:rFonts w:asciiTheme="majorHAnsi" w:hAnsiTheme="majorHAnsi" w:cstheme="majorHAnsi"/>
          <w:sz w:val="20"/>
          <w:szCs w:val="20"/>
        </w:rPr>
        <w:t xml:space="preserve">Examples of specific issues to be prioritised may include commitments to supporting third-party certification; financial instruments to allow producers to invest in carrying out sustainable production practices and in meeting the quality requirements of prime/niche markets; and the development and promotion of (a) national brand(s) featuring environmental sustainability and tradition as selling points.   </w:t>
      </w:r>
    </w:p>
    <w:p w14:paraId="733A517F" w14:textId="77777777" w:rsidR="00335995" w:rsidRPr="005516CD" w:rsidRDefault="00335995" w:rsidP="006B27F4">
      <w:pPr>
        <w:pStyle w:val="ListParagraph"/>
        <w:numPr>
          <w:ilvl w:val="2"/>
          <w:numId w:val="109"/>
        </w:numPr>
        <w:tabs>
          <w:tab w:val="left" w:pos="426"/>
        </w:tabs>
        <w:spacing w:after="120"/>
        <w:ind w:left="426" w:right="96" w:hanging="426"/>
        <w:jc w:val="both"/>
        <w:rPr>
          <w:rFonts w:asciiTheme="majorHAnsi" w:hAnsiTheme="majorHAnsi" w:cstheme="majorHAnsi"/>
          <w:i/>
          <w:sz w:val="20"/>
          <w:szCs w:val="20"/>
        </w:rPr>
      </w:pPr>
      <w:r w:rsidRPr="005516CD">
        <w:rPr>
          <w:rFonts w:asciiTheme="majorHAnsi" w:hAnsiTheme="majorHAnsi" w:cstheme="majorHAnsi"/>
          <w:i/>
          <w:sz w:val="20"/>
          <w:szCs w:val="20"/>
        </w:rPr>
        <w:t xml:space="preserve">Branding based on socio-cultural-environmental factors </w:t>
      </w:r>
    </w:p>
    <w:p w14:paraId="1F5569E1" w14:textId="77777777" w:rsidR="00335995" w:rsidRPr="005516CD" w:rsidRDefault="0033599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project will provide specific support to the development of branding based on a combination of factors including quality, environmental sustainability and cultural traditions (for example using a term such as “Creole Garden” or « </w:t>
      </w:r>
      <w:r w:rsidRPr="005516CD">
        <w:rPr>
          <w:rFonts w:asciiTheme="majorHAnsi" w:hAnsiTheme="majorHAnsi" w:cstheme="majorHAnsi"/>
          <w:i/>
          <w:sz w:val="20"/>
          <w:szCs w:val="20"/>
        </w:rPr>
        <w:t>Jaden Creole</w:t>
      </w:r>
      <w:r w:rsidRPr="005516CD">
        <w:rPr>
          <w:rFonts w:asciiTheme="majorHAnsi" w:hAnsiTheme="majorHAnsi" w:cstheme="majorHAnsi"/>
          <w:sz w:val="20"/>
          <w:szCs w:val="20"/>
        </w:rPr>
        <w:t xml:space="preserve"> » to deliver this message). </w:t>
      </w:r>
      <w:r w:rsidR="005C3EAA" w:rsidRPr="005516CD">
        <w:rPr>
          <w:rFonts w:asciiTheme="majorHAnsi" w:hAnsiTheme="majorHAnsi" w:cstheme="majorHAnsi"/>
          <w:sz w:val="20"/>
          <w:szCs w:val="20"/>
        </w:rPr>
        <w:t xml:space="preserve">Project support will include market preference surveys in both local and export markets; advisory support </w:t>
      </w:r>
      <w:r w:rsidR="00CB5FAF" w:rsidRPr="005516CD">
        <w:rPr>
          <w:rFonts w:asciiTheme="majorHAnsi" w:hAnsiTheme="majorHAnsi" w:cstheme="majorHAnsi"/>
          <w:sz w:val="20"/>
          <w:szCs w:val="20"/>
        </w:rPr>
        <w:t xml:space="preserve">for </w:t>
      </w:r>
      <w:r w:rsidR="005C3EAA" w:rsidRPr="005516CD">
        <w:rPr>
          <w:rFonts w:asciiTheme="majorHAnsi" w:hAnsiTheme="majorHAnsi" w:cstheme="majorHAnsi"/>
          <w:sz w:val="20"/>
          <w:szCs w:val="20"/>
        </w:rPr>
        <w:t xml:space="preserve">the definition of the precise </w:t>
      </w:r>
      <w:r w:rsidR="00CB5FAF" w:rsidRPr="005516CD">
        <w:rPr>
          <w:rFonts w:asciiTheme="majorHAnsi" w:hAnsiTheme="majorHAnsi" w:cstheme="majorHAnsi"/>
          <w:sz w:val="20"/>
          <w:szCs w:val="20"/>
        </w:rPr>
        <w:t xml:space="preserve">product characteristics on which the brand would be based (quality standards, origins and growing/processing methods); and development of marketing materials. A brand such as “Creole Garden” would have the potential to be applied </w:t>
      </w:r>
      <w:r w:rsidR="002B019B" w:rsidRPr="005516CD">
        <w:rPr>
          <w:rFonts w:asciiTheme="majorHAnsi" w:hAnsiTheme="majorHAnsi" w:cstheme="majorHAnsi"/>
          <w:sz w:val="20"/>
          <w:szCs w:val="20"/>
        </w:rPr>
        <w:t>not only to specific products, but also as an overall marketing slogan for the country.</w:t>
      </w:r>
    </w:p>
    <w:p w14:paraId="2ACB9037" w14:textId="77777777" w:rsidR="005864C3" w:rsidRPr="005516CD" w:rsidRDefault="008C3140" w:rsidP="006B27F4">
      <w:pPr>
        <w:pStyle w:val="ListParagraph"/>
        <w:numPr>
          <w:ilvl w:val="2"/>
          <w:numId w:val="109"/>
        </w:numPr>
        <w:tabs>
          <w:tab w:val="left" w:pos="426"/>
        </w:tabs>
        <w:spacing w:after="120"/>
        <w:ind w:left="426" w:right="96" w:hanging="426"/>
        <w:jc w:val="both"/>
        <w:rPr>
          <w:rFonts w:asciiTheme="majorHAnsi" w:hAnsiTheme="majorHAnsi" w:cstheme="majorHAnsi"/>
          <w:i/>
          <w:sz w:val="20"/>
          <w:szCs w:val="20"/>
        </w:rPr>
      </w:pPr>
      <w:r w:rsidRPr="005516CD">
        <w:rPr>
          <w:rFonts w:asciiTheme="majorHAnsi" w:hAnsiTheme="majorHAnsi" w:cstheme="majorHAnsi"/>
          <w:i/>
          <w:sz w:val="20"/>
          <w:szCs w:val="20"/>
        </w:rPr>
        <w:t>Local and national value chains</w:t>
      </w:r>
    </w:p>
    <w:p w14:paraId="5E685FA7" w14:textId="77777777" w:rsidR="008C3140" w:rsidRPr="005516CD" w:rsidRDefault="008C314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In order to lessen the risks associated with exclusive dependence on export markets (which, in the case of cacao and coffee are notoriously fickle), the project will work with producers, cooperatives, the national private sector and the Government to strengthen local and national value chains for cacao, coffee and other products of diverse agroforestry systems. </w:t>
      </w:r>
    </w:p>
    <w:p w14:paraId="652A630E" w14:textId="77777777" w:rsidR="008C3140" w:rsidRPr="005516CD" w:rsidRDefault="008C314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strategies to be pursued will vary between crops. In the case of food crops</w:t>
      </w:r>
      <w:r w:rsidR="00A47C63" w:rsidRPr="005516CD">
        <w:rPr>
          <w:rFonts w:asciiTheme="majorHAnsi" w:hAnsiTheme="majorHAnsi" w:cstheme="majorHAnsi"/>
          <w:sz w:val="20"/>
          <w:szCs w:val="20"/>
        </w:rPr>
        <w:t xml:space="preserve"> (such as yam and plantain)</w:t>
      </w:r>
      <w:r w:rsidRPr="005516CD">
        <w:rPr>
          <w:rFonts w:asciiTheme="majorHAnsi" w:hAnsiTheme="majorHAnsi" w:cstheme="majorHAnsi"/>
          <w:sz w:val="20"/>
          <w:szCs w:val="20"/>
        </w:rPr>
        <w:t>, for which value chains tend to be relatively short (</w:t>
      </w:r>
      <w:r w:rsidR="00A47C63" w:rsidRPr="005516CD">
        <w:rPr>
          <w:rFonts w:asciiTheme="majorHAnsi" w:hAnsiTheme="majorHAnsi" w:cstheme="majorHAnsi"/>
          <w:sz w:val="20"/>
          <w:szCs w:val="20"/>
        </w:rPr>
        <w:t xml:space="preserve">with </w:t>
      </w:r>
      <w:r w:rsidRPr="005516CD">
        <w:rPr>
          <w:rFonts w:asciiTheme="majorHAnsi" w:hAnsiTheme="majorHAnsi" w:cstheme="majorHAnsi"/>
          <w:sz w:val="20"/>
          <w:szCs w:val="20"/>
        </w:rPr>
        <w:t xml:space="preserve">a large proportion being consumed </w:t>
      </w:r>
      <w:r w:rsidR="00A47C63" w:rsidRPr="005516CD">
        <w:rPr>
          <w:rFonts w:asciiTheme="majorHAnsi" w:hAnsiTheme="majorHAnsi" w:cstheme="majorHAnsi"/>
          <w:sz w:val="20"/>
          <w:szCs w:val="20"/>
        </w:rPr>
        <w:t>in the producer communities or in nearby urban centres), the project will for example support the development of Participatory Guarantee Systems (PGS). The PGS model has been widely tested in over 70 countries globally: it is a low-cost, locally-based system of quality assurance with a strong emphasis on social control and knowledge building; it is based on the active participation of farmers, consumers, rural advisors, local authorities, who come together in order to make decisions, visit farms, support each other and check that farmers are producing according to agreed standards.</w:t>
      </w:r>
    </w:p>
    <w:p w14:paraId="262704AD" w14:textId="77777777" w:rsidR="005D01D2" w:rsidRPr="005516CD" w:rsidRDefault="00A47C63"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In the case of non-staple crops such as coffee and cacao, the principal focus will be on the more discerning middle-class market, located mainly in urban centres, and including the growing number of cafés, hotels and supermarkets that cater for consumers seeking quality coffee. </w:t>
      </w:r>
      <w:r w:rsidR="002973D5" w:rsidRPr="005516CD">
        <w:rPr>
          <w:rFonts w:asciiTheme="majorHAnsi" w:hAnsiTheme="majorHAnsi" w:cstheme="majorHAnsi"/>
          <w:sz w:val="20"/>
          <w:szCs w:val="20"/>
        </w:rPr>
        <w:t xml:space="preserve">The </w:t>
      </w:r>
      <w:r w:rsidR="00831B47" w:rsidRPr="005516CD">
        <w:rPr>
          <w:rFonts w:asciiTheme="majorHAnsi" w:hAnsiTheme="majorHAnsi" w:cstheme="majorHAnsi"/>
          <w:sz w:val="20"/>
          <w:szCs w:val="20"/>
        </w:rPr>
        <w:t xml:space="preserve">project will work with </w:t>
      </w:r>
      <w:r w:rsidR="002973D5" w:rsidRPr="005516CD">
        <w:rPr>
          <w:rFonts w:asciiTheme="majorHAnsi" w:hAnsiTheme="majorHAnsi" w:cstheme="majorHAnsi"/>
          <w:sz w:val="20"/>
          <w:szCs w:val="20"/>
        </w:rPr>
        <w:t xml:space="preserve">private sector companies (such as REBO and Wiener) to develop this market, </w:t>
      </w:r>
      <w:r w:rsidRPr="005516CD">
        <w:rPr>
          <w:rFonts w:asciiTheme="majorHAnsi" w:hAnsiTheme="majorHAnsi" w:cstheme="majorHAnsi"/>
          <w:sz w:val="20"/>
          <w:szCs w:val="20"/>
        </w:rPr>
        <w:t xml:space="preserve">focusing (as in the case of export markets, as described above) on the promotion of branding based on a combination of quality, environmental sustainability and cultural traditions (creole “gardens”). </w:t>
      </w:r>
      <w:r w:rsidR="00252400" w:rsidRPr="005516CD">
        <w:rPr>
          <w:rFonts w:asciiTheme="majorHAnsi" w:hAnsiTheme="majorHAnsi" w:cstheme="majorHAnsi"/>
          <w:sz w:val="20"/>
          <w:szCs w:val="20"/>
        </w:rPr>
        <w:t xml:space="preserve">It will also work to link specific growers and cooperatives in the target communes with such outlets and branding schemes, thereby helping to ensure their reliable access to favourable markets, while at the same time helping to ensure that upstream value chain actors and retailers have access to reliable sources of supply capable of consistently satisfying requirements for quality and environmental compliance. </w:t>
      </w:r>
    </w:p>
    <w:p w14:paraId="41EB2C9A" w14:textId="77777777" w:rsidR="005864C3" w:rsidRPr="005516CD" w:rsidRDefault="00252400" w:rsidP="006B27F4">
      <w:pPr>
        <w:pStyle w:val="ListParagraph"/>
        <w:numPr>
          <w:ilvl w:val="2"/>
          <w:numId w:val="109"/>
        </w:numPr>
        <w:tabs>
          <w:tab w:val="left" w:pos="426"/>
        </w:tabs>
        <w:spacing w:after="120"/>
        <w:ind w:left="426" w:right="96" w:hanging="426"/>
        <w:jc w:val="both"/>
        <w:rPr>
          <w:rFonts w:asciiTheme="majorHAnsi" w:hAnsiTheme="majorHAnsi" w:cstheme="majorHAnsi"/>
          <w:i/>
          <w:sz w:val="20"/>
          <w:szCs w:val="20"/>
          <w:lang w:val="en-GB"/>
        </w:rPr>
      </w:pPr>
      <w:r w:rsidRPr="005516CD">
        <w:rPr>
          <w:rFonts w:asciiTheme="majorHAnsi" w:hAnsiTheme="majorHAnsi" w:cstheme="majorHAnsi"/>
          <w:i/>
          <w:sz w:val="20"/>
          <w:szCs w:val="20"/>
          <w:lang w:val="en-GB"/>
        </w:rPr>
        <w:t>Increased involvement of chambers of commerce in support of sustainable production systems</w:t>
      </w:r>
    </w:p>
    <w:p w14:paraId="761ADBEB" w14:textId="77777777" w:rsidR="00252400" w:rsidRPr="005516CD" w:rsidRDefault="00252400"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Local chambers of commerce typically bring together the main business actors operating at local level, including those involved in marketing and processing. They therefore potentially </w:t>
      </w:r>
      <w:proofErr w:type="spellStart"/>
      <w:r w:rsidRPr="005516CD">
        <w:rPr>
          <w:rFonts w:asciiTheme="majorHAnsi" w:hAnsiTheme="majorHAnsi" w:cstheme="majorHAnsi"/>
          <w:sz w:val="20"/>
          <w:szCs w:val="20"/>
        </w:rPr>
        <w:t>consistute</w:t>
      </w:r>
      <w:proofErr w:type="spellEnd"/>
      <w:r w:rsidRPr="005516CD">
        <w:rPr>
          <w:rFonts w:asciiTheme="majorHAnsi" w:hAnsiTheme="majorHAnsi" w:cstheme="majorHAnsi"/>
          <w:sz w:val="20"/>
          <w:szCs w:val="20"/>
        </w:rPr>
        <w:t xml:space="preserve"> a valuable entry point for interventions aimed at developing and strengthening green value chains, and fora for </w:t>
      </w:r>
      <w:r w:rsidR="00AC0808" w:rsidRPr="005516CD">
        <w:rPr>
          <w:rFonts w:asciiTheme="majorHAnsi" w:hAnsiTheme="majorHAnsi" w:cstheme="majorHAnsi"/>
          <w:sz w:val="20"/>
          <w:szCs w:val="20"/>
        </w:rPr>
        <w:t xml:space="preserve">bringing together producer organisations and value chain actors in order to discuss opportunities for commercial partnerships. Often, their members are also of high social and political standing, potentially making them useful entry points for policy lobbying in relation to issues of environmental sustainability and green value chains. </w:t>
      </w:r>
    </w:p>
    <w:p w14:paraId="7F73CD9D" w14:textId="77777777" w:rsidR="00AC0808" w:rsidRPr="005516CD" w:rsidRDefault="00AC0808"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project will develop interest and capacities in chambers of commerce through the provision of information materials and awareness-raising sessions regarding the commercial potential of environmentally-sustainable production systems, and opportunities and potential benefits for developing commercial links with sustainable growers and cooperatives. </w:t>
      </w:r>
      <w:r w:rsidR="006C4318" w:rsidRPr="005516CD">
        <w:rPr>
          <w:rFonts w:asciiTheme="majorHAnsi" w:hAnsiTheme="majorHAnsi" w:cstheme="majorHAnsi"/>
          <w:sz w:val="20"/>
          <w:szCs w:val="20"/>
        </w:rPr>
        <w:t xml:space="preserve">Project </w:t>
      </w:r>
      <w:r w:rsidR="00335995" w:rsidRPr="005516CD">
        <w:rPr>
          <w:rFonts w:asciiTheme="majorHAnsi" w:hAnsiTheme="majorHAnsi" w:cstheme="majorHAnsi"/>
          <w:sz w:val="20"/>
          <w:szCs w:val="20"/>
        </w:rPr>
        <w:t>staff will also provide active facilitation support to meetings between chambers of commerce and producers in order to enable the development of such links.</w:t>
      </w:r>
    </w:p>
    <w:p w14:paraId="18A3FAFF" w14:textId="77777777" w:rsidR="00C31DB7" w:rsidRPr="005516CD" w:rsidRDefault="00C31DB7" w:rsidP="00F12340">
      <w:pPr>
        <w:pStyle w:val="Heading6"/>
        <w:keepNext/>
        <w:spacing w:before="120" w:after="120"/>
        <w:rPr>
          <w:rFonts w:asciiTheme="majorHAnsi" w:eastAsia="Calibri" w:hAnsiTheme="majorHAnsi" w:cstheme="majorHAnsi"/>
          <w:b/>
          <w:i w:val="0"/>
          <w:sz w:val="20"/>
          <w:lang w:val="en-US"/>
        </w:rPr>
      </w:pPr>
      <w:r w:rsidRPr="005516CD">
        <w:rPr>
          <w:rFonts w:asciiTheme="majorHAnsi" w:eastAsia="Calibri" w:hAnsiTheme="majorHAnsi" w:cstheme="majorHAnsi"/>
          <w:b/>
          <w:i w:val="0"/>
          <w:sz w:val="20"/>
          <w:u w:val="single"/>
          <w:lang w:val="en-US"/>
        </w:rPr>
        <w:t>Component 2:</w:t>
      </w:r>
      <w:r w:rsidRPr="005516CD">
        <w:rPr>
          <w:rFonts w:asciiTheme="majorHAnsi" w:eastAsia="Calibri" w:hAnsiTheme="majorHAnsi" w:cstheme="majorHAnsi"/>
          <w:b/>
          <w:i w:val="0"/>
          <w:sz w:val="20"/>
          <w:lang w:val="en-US"/>
        </w:rPr>
        <w:t xml:space="preserve"> Conservation compatible tree-based production systems as part of sustainable landscape mosaics</w:t>
      </w:r>
    </w:p>
    <w:p w14:paraId="65E0BEF5" w14:textId="0B7F2DC1" w:rsidR="00C31DB7" w:rsidRPr="005516CD" w:rsidRDefault="00C31DB7"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This </w:t>
      </w:r>
      <w:r w:rsidRPr="005516CD">
        <w:rPr>
          <w:rFonts w:asciiTheme="majorHAnsi" w:hAnsiTheme="majorHAnsi" w:cstheme="majorHAnsi"/>
          <w:sz w:val="20"/>
          <w:szCs w:val="20"/>
        </w:rPr>
        <w:t>component</w:t>
      </w:r>
      <w:r w:rsidRPr="005516CD">
        <w:rPr>
          <w:rFonts w:asciiTheme="majorHAnsi" w:eastAsia="Calibri" w:hAnsiTheme="majorHAnsi" w:cstheme="majorHAnsi"/>
          <w:sz w:val="20"/>
          <w:szCs w:val="20"/>
        </w:rPr>
        <w:t xml:space="preserve"> will focus on developing capacities and mechanisms among</w:t>
      </w:r>
      <w:r w:rsidR="006C5A4E" w:rsidRPr="005516CD">
        <w:rPr>
          <w:rFonts w:asciiTheme="majorHAnsi" w:eastAsia="Calibri" w:hAnsiTheme="majorHAnsi" w:cstheme="majorHAnsi"/>
          <w:sz w:val="20"/>
          <w:szCs w:val="20"/>
        </w:rPr>
        <w:t xml:space="preserve"> local</w:t>
      </w:r>
      <w:r w:rsidRPr="005516CD">
        <w:rPr>
          <w:rFonts w:asciiTheme="majorHAnsi" w:eastAsia="Calibri" w:hAnsiTheme="majorHAnsi" w:cstheme="majorHAnsi"/>
          <w:sz w:val="20"/>
          <w:szCs w:val="20"/>
        </w:rPr>
        <w:t xml:space="preserve"> </w:t>
      </w:r>
      <w:r w:rsidR="006C5A4E" w:rsidRPr="005516CD">
        <w:rPr>
          <w:rFonts w:asciiTheme="majorHAnsi" w:eastAsia="Calibri" w:hAnsiTheme="majorHAnsi" w:cstheme="majorHAnsi"/>
          <w:sz w:val="20"/>
          <w:szCs w:val="20"/>
        </w:rPr>
        <w:t xml:space="preserve">institutions, </w:t>
      </w:r>
      <w:r w:rsidRPr="005516CD">
        <w:rPr>
          <w:rFonts w:asciiTheme="majorHAnsi" w:eastAsia="Calibri" w:hAnsiTheme="majorHAnsi" w:cstheme="majorHAnsi"/>
          <w:sz w:val="20"/>
          <w:szCs w:val="20"/>
        </w:rPr>
        <w:t xml:space="preserve">farmers and value chain actors to enable the expansion of </w:t>
      </w:r>
      <w:r w:rsidRPr="005516CD">
        <w:rPr>
          <w:rFonts w:asciiTheme="majorHAnsi" w:hAnsiTheme="majorHAnsi" w:cstheme="majorHAnsi"/>
          <w:sz w:val="20"/>
          <w:szCs w:val="20"/>
        </w:rPr>
        <w:t>the</w:t>
      </w:r>
      <w:r w:rsidRPr="005516CD">
        <w:rPr>
          <w:rFonts w:asciiTheme="majorHAnsi" w:eastAsia="Calibri" w:hAnsiTheme="majorHAnsi" w:cstheme="majorHAnsi"/>
          <w:sz w:val="20"/>
          <w:szCs w:val="20"/>
        </w:rPr>
        <w:t xml:space="preserve"> area managed under conservation-friendly tree-rich production systems. </w:t>
      </w:r>
      <w:r w:rsidR="00EA4B38" w:rsidRPr="00EA4B38">
        <w:rPr>
          <w:rFonts w:asciiTheme="majorHAnsi" w:eastAsia="Calibri" w:hAnsiTheme="majorHAnsi" w:cstheme="majorHAnsi"/>
          <w:sz w:val="20"/>
          <w:szCs w:val="20"/>
        </w:rPr>
        <w:t xml:space="preserve">This component will be implemented by NGO/CSO (such as FECCANO, RECOCARNO) with strong local experience, which were identified as most relevant during stakeholder’s consultation and assessment, and results of procurement </w:t>
      </w:r>
      <w:proofErr w:type="gramStart"/>
      <w:r w:rsidR="00EA4B38" w:rsidRPr="00EA4B38">
        <w:rPr>
          <w:rFonts w:asciiTheme="majorHAnsi" w:eastAsia="Calibri" w:hAnsiTheme="majorHAnsi" w:cstheme="majorHAnsi"/>
          <w:sz w:val="20"/>
          <w:szCs w:val="20"/>
        </w:rPr>
        <w:t>processes</w:t>
      </w:r>
      <w:r w:rsidR="00EA4B38">
        <w:rPr>
          <w:rFonts w:asciiTheme="majorHAnsi" w:eastAsia="Calibri" w:hAnsiTheme="majorHAnsi" w:cstheme="majorHAnsi"/>
          <w:sz w:val="20"/>
          <w:szCs w:val="20"/>
        </w:rPr>
        <w:t>.</w:t>
      </w:r>
      <w:r w:rsidR="00700E4A" w:rsidRPr="001B64D1">
        <w:rPr>
          <w:rFonts w:asciiTheme="majorHAnsi" w:eastAsia="Calibri" w:hAnsiTheme="majorHAnsi" w:cstheme="majorHAnsi"/>
          <w:sz w:val="20"/>
          <w:szCs w:val="20"/>
          <w:highlight w:val="cyan"/>
        </w:rPr>
        <w:t>.</w:t>
      </w:r>
      <w:proofErr w:type="gramEnd"/>
    </w:p>
    <w:p w14:paraId="7A0AB14A" w14:textId="77777777" w:rsidR="00C31DB7" w:rsidRPr="005516CD" w:rsidRDefault="00C31DB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b/>
          <w:i/>
          <w:sz w:val="20"/>
          <w:szCs w:val="20"/>
        </w:rPr>
      </w:pPr>
      <w:r w:rsidRPr="005516CD">
        <w:rPr>
          <w:rFonts w:asciiTheme="majorHAnsi" w:eastAsia="Calibri" w:hAnsiTheme="majorHAnsi" w:cstheme="majorHAnsi"/>
          <w:sz w:val="20"/>
          <w:szCs w:val="20"/>
        </w:rPr>
        <w:t>As a result of this support, there will be an increase of</w:t>
      </w:r>
      <w:r w:rsidR="008E2093" w:rsidRPr="005516CD">
        <w:rPr>
          <w:rFonts w:asciiTheme="majorHAnsi" w:eastAsia="Calibri" w:hAnsiTheme="majorHAnsi" w:cstheme="majorHAnsi"/>
          <w:sz w:val="20"/>
          <w:szCs w:val="20"/>
        </w:rPr>
        <w:t xml:space="preserve"> 5,838 ha in the area of land </w:t>
      </w:r>
      <w:r w:rsidR="008E2093" w:rsidRPr="005516CD">
        <w:rPr>
          <w:rFonts w:asciiTheme="majorHAnsi" w:eastAsia="Calibri" w:hAnsiTheme="majorHAnsi" w:cstheme="majorHAnsi"/>
          <w:bCs/>
          <w:sz w:val="20"/>
          <w:szCs w:val="20"/>
        </w:rPr>
        <w:t xml:space="preserve">with improved condition and management that favours BD habitat and connectivity (e.g. increased diversity of structure and composition), increases overall economic viability, contributes to food security, and responds to provisions of spatial plans that provide for BD connectivity and ecosystem services. This will include </w:t>
      </w:r>
      <w:r w:rsidRPr="005516CD">
        <w:rPr>
          <w:rFonts w:asciiTheme="majorHAnsi" w:eastAsia="Calibri" w:hAnsiTheme="majorHAnsi" w:cstheme="majorHAnsi"/>
          <w:sz w:val="20"/>
          <w:szCs w:val="20"/>
        </w:rPr>
        <w:t>5</w:t>
      </w:r>
      <w:r w:rsidR="00170D8C" w:rsidRPr="005516CD">
        <w:rPr>
          <w:rFonts w:asciiTheme="majorHAnsi" w:eastAsia="Calibri" w:hAnsiTheme="majorHAnsi" w:cstheme="majorHAnsi"/>
          <w:sz w:val="20"/>
          <w:szCs w:val="20"/>
        </w:rPr>
        <w:t>,040</w:t>
      </w:r>
      <w:r w:rsidRPr="005516CD">
        <w:rPr>
          <w:rFonts w:asciiTheme="majorHAnsi" w:eastAsia="Calibri" w:hAnsiTheme="majorHAnsi" w:cstheme="majorHAnsi"/>
          <w:sz w:val="20"/>
          <w:szCs w:val="20"/>
        </w:rPr>
        <w:t xml:space="preserve"> ha of </w:t>
      </w:r>
      <w:r w:rsidR="00170D8C" w:rsidRPr="005516CD">
        <w:rPr>
          <w:rFonts w:asciiTheme="majorHAnsi" w:eastAsia="Calibri" w:hAnsiTheme="majorHAnsi" w:cstheme="majorHAnsi"/>
          <w:sz w:val="20"/>
          <w:szCs w:val="20"/>
        </w:rPr>
        <w:t>cacao agroforests</w:t>
      </w:r>
      <w:r w:rsidR="008E2093" w:rsidRPr="005516CD">
        <w:rPr>
          <w:rFonts w:asciiTheme="majorHAnsi" w:eastAsia="Calibri" w:hAnsiTheme="majorHAnsi" w:cstheme="majorHAnsi"/>
          <w:sz w:val="20"/>
          <w:szCs w:val="20"/>
        </w:rPr>
        <w:t>,</w:t>
      </w:r>
      <w:r w:rsidR="00170D8C" w:rsidRPr="005516CD">
        <w:rPr>
          <w:rFonts w:asciiTheme="majorHAnsi" w:eastAsia="Calibri" w:hAnsiTheme="majorHAnsi" w:cstheme="majorHAnsi"/>
          <w:sz w:val="20"/>
          <w:szCs w:val="20"/>
        </w:rPr>
        <w:t xml:space="preserve"> 3</w:t>
      </w:r>
      <w:r w:rsidRPr="005516CD">
        <w:rPr>
          <w:rFonts w:asciiTheme="majorHAnsi" w:eastAsia="Calibri" w:hAnsiTheme="majorHAnsi" w:cstheme="majorHAnsi"/>
          <w:sz w:val="20"/>
          <w:szCs w:val="20"/>
        </w:rPr>
        <w:t xml:space="preserve">0 ha </w:t>
      </w:r>
      <w:r w:rsidR="00170D8C" w:rsidRPr="005516CD">
        <w:rPr>
          <w:rFonts w:asciiTheme="majorHAnsi" w:eastAsia="Calibri" w:hAnsiTheme="majorHAnsi" w:cstheme="majorHAnsi"/>
          <w:sz w:val="20"/>
          <w:szCs w:val="20"/>
        </w:rPr>
        <w:t xml:space="preserve">of coffee agroforests and 630 ha of </w:t>
      </w:r>
      <w:r w:rsidR="00170D8C" w:rsidRPr="005516CD">
        <w:rPr>
          <w:rFonts w:asciiTheme="majorHAnsi" w:hAnsiTheme="majorHAnsi" w:cstheme="majorHAnsi"/>
          <w:bCs/>
          <w:noProof/>
          <w:sz w:val="19"/>
          <w:szCs w:val="19"/>
        </w:rPr>
        <w:t>home gardens, annual cropping and grazing areas with agroforestry,</w:t>
      </w:r>
      <w:r w:rsidR="00170D8C" w:rsidRPr="005516CD">
        <w:rPr>
          <w:rFonts w:asciiTheme="majorHAnsi" w:eastAsia="Calibri" w:hAnsiTheme="majorHAnsi" w:cstheme="majorHAnsi"/>
          <w:bCs/>
          <w:sz w:val="20"/>
          <w:szCs w:val="20"/>
        </w:rPr>
        <w:t xml:space="preserve"> </w:t>
      </w:r>
      <w:r w:rsidR="008E2093" w:rsidRPr="005516CD">
        <w:rPr>
          <w:rFonts w:asciiTheme="majorHAnsi" w:eastAsia="Calibri" w:hAnsiTheme="majorHAnsi" w:cstheme="majorHAnsi"/>
          <w:bCs/>
          <w:sz w:val="20"/>
          <w:szCs w:val="20"/>
        </w:rPr>
        <w:t>as well as a</w:t>
      </w:r>
      <w:r w:rsidR="006F42D3" w:rsidRPr="005516CD">
        <w:rPr>
          <w:rFonts w:asciiTheme="majorHAnsi" w:eastAsia="Calibri" w:hAnsiTheme="majorHAnsi" w:cstheme="majorHAnsi"/>
          <w:bCs/>
          <w:sz w:val="20"/>
          <w:szCs w:val="20"/>
        </w:rPr>
        <w:t xml:space="preserve"> further 138 ha </w:t>
      </w:r>
      <w:r w:rsidR="006F42D3" w:rsidRPr="005516CD">
        <w:rPr>
          <w:rFonts w:asciiTheme="majorHAnsi" w:hAnsiTheme="majorHAnsi" w:cstheme="majorHAnsi"/>
          <w:bCs/>
          <w:noProof/>
          <w:sz w:val="19"/>
          <w:szCs w:val="19"/>
        </w:rPr>
        <w:t>of deforested land restored to forest</w:t>
      </w:r>
      <w:r w:rsidR="008E2093" w:rsidRPr="005516CD">
        <w:rPr>
          <w:rFonts w:asciiTheme="majorHAnsi" w:hAnsiTheme="majorHAnsi" w:cstheme="majorHAnsi"/>
          <w:bCs/>
          <w:noProof/>
          <w:sz w:val="19"/>
          <w:szCs w:val="19"/>
        </w:rPr>
        <w:t xml:space="preserve"> or </w:t>
      </w:r>
      <w:r w:rsidR="006F42D3" w:rsidRPr="005516CD">
        <w:rPr>
          <w:rFonts w:asciiTheme="majorHAnsi" w:hAnsiTheme="majorHAnsi" w:cstheme="majorHAnsi"/>
          <w:bCs/>
          <w:noProof/>
          <w:sz w:val="19"/>
          <w:szCs w:val="19"/>
        </w:rPr>
        <w:t xml:space="preserve">forested land </w:t>
      </w:r>
      <w:r w:rsidR="008E2093" w:rsidRPr="005516CD">
        <w:rPr>
          <w:rFonts w:asciiTheme="majorHAnsi" w:hAnsiTheme="majorHAnsi" w:cstheme="majorHAnsi"/>
          <w:bCs/>
          <w:noProof/>
          <w:sz w:val="19"/>
          <w:szCs w:val="19"/>
        </w:rPr>
        <w:t xml:space="preserve">with </w:t>
      </w:r>
      <w:r w:rsidR="006F42D3" w:rsidRPr="005516CD">
        <w:rPr>
          <w:rFonts w:asciiTheme="majorHAnsi" w:hAnsiTheme="majorHAnsi" w:cstheme="majorHAnsi"/>
          <w:bCs/>
          <w:noProof/>
          <w:sz w:val="19"/>
          <w:szCs w:val="19"/>
        </w:rPr>
        <w:t>improved tree cover, through direct support to restoration by the project or through partnership with the USAID Reforestation Project.</w:t>
      </w:r>
    </w:p>
    <w:p w14:paraId="0740607E" w14:textId="77777777" w:rsidR="00C31DB7" w:rsidRPr="005516CD" w:rsidRDefault="00C31DB7" w:rsidP="00F12340">
      <w:pPr>
        <w:pStyle w:val="Heading7"/>
        <w:keepNext/>
        <w:spacing w:before="0"/>
        <w:ind w:left="0"/>
        <w:rPr>
          <w:rFonts w:asciiTheme="majorHAnsi" w:hAnsiTheme="majorHAnsi" w:cstheme="majorHAnsi"/>
          <w:b/>
          <w:i/>
        </w:rPr>
      </w:pPr>
      <w:r w:rsidRPr="005516CD">
        <w:rPr>
          <w:rFonts w:asciiTheme="majorHAnsi" w:hAnsiTheme="majorHAnsi" w:cstheme="majorHAnsi"/>
          <w:b/>
          <w:i/>
        </w:rPr>
        <w:t>Output 2.1 Improved service delivery systems for technical assistance:</w:t>
      </w:r>
    </w:p>
    <w:p w14:paraId="4BC277F2" w14:textId="77777777" w:rsidR="00C31DB7" w:rsidRPr="005516CD" w:rsidRDefault="00C31DB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principal incremental focus of technical assistance support to coffee and cacao producers will be on the application of management measures capable of delivering environmental benefits, such as the diversification of shade trees to favour bird species, the management of ground cover to favour amphibians, reptiles and </w:t>
      </w:r>
      <w:proofErr w:type="spellStart"/>
      <w:r w:rsidRPr="005516CD">
        <w:rPr>
          <w:rFonts w:asciiTheme="majorHAnsi" w:hAnsiTheme="majorHAnsi" w:cstheme="majorHAnsi"/>
          <w:sz w:val="20"/>
          <w:szCs w:val="20"/>
        </w:rPr>
        <w:t>microfauna</w:t>
      </w:r>
      <w:proofErr w:type="spellEnd"/>
      <w:r w:rsidRPr="005516CD">
        <w:rPr>
          <w:rFonts w:asciiTheme="majorHAnsi" w:hAnsiTheme="majorHAnsi" w:cstheme="majorHAnsi"/>
          <w:sz w:val="20"/>
          <w:szCs w:val="20"/>
        </w:rPr>
        <w:t xml:space="preserve">, and the protection of riparian zones in plantations to favour aquatic fauna. These messages will benefit farmers by helping to ensure their compliance with the requirements of green value chains and certification systems. However, as mentioned above, this may often not be an adequate motivation for producers to adopt environmentally-beneficial practices. The incremental messages will therefore be delivered as part of broader extension packages focused principally on considerations of productivity and resilience, which are likely to be of more immediate concern to farmers. </w:t>
      </w:r>
    </w:p>
    <w:p w14:paraId="7E806543" w14:textId="77777777" w:rsidR="00A84C17" w:rsidRPr="005516CD" w:rsidRDefault="00A84C17" w:rsidP="006B27F4">
      <w:pPr>
        <w:pStyle w:val="ListParagraph"/>
        <w:numPr>
          <w:ilvl w:val="2"/>
          <w:numId w:val="110"/>
        </w:numPr>
        <w:tabs>
          <w:tab w:val="left" w:pos="426"/>
        </w:tabs>
        <w:spacing w:after="120"/>
        <w:ind w:left="426" w:right="96" w:hanging="426"/>
        <w:jc w:val="both"/>
        <w:rPr>
          <w:rFonts w:asciiTheme="majorHAnsi" w:hAnsiTheme="majorHAnsi" w:cstheme="majorHAnsi"/>
          <w:i/>
          <w:sz w:val="20"/>
          <w:szCs w:val="20"/>
          <w:lang w:val="en-GB"/>
        </w:rPr>
      </w:pPr>
      <w:bookmarkStart w:id="59" w:name="_Hlk2067526"/>
      <w:r w:rsidRPr="005516CD">
        <w:rPr>
          <w:rFonts w:asciiTheme="majorHAnsi" w:hAnsiTheme="majorHAnsi" w:cstheme="majorHAnsi"/>
          <w:i/>
          <w:sz w:val="20"/>
          <w:szCs w:val="20"/>
          <w:lang w:val="en-GB"/>
        </w:rPr>
        <w:t xml:space="preserve">Mechanisms for the </w:t>
      </w:r>
      <w:r w:rsidR="00D35114" w:rsidRPr="005516CD">
        <w:rPr>
          <w:rFonts w:asciiTheme="majorHAnsi" w:hAnsiTheme="majorHAnsi" w:cstheme="majorHAnsi"/>
          <w:i/>
          <w:sz w:val="20"/>
          <w:szCs w:val="20"/>
          <w:lang w:val="en-GB"/>
        </w:rPr>
        <w:t xml:space="preserve">generation and transfer of knowledge on </w:t>
      </w:r>
      <w:r w:rsidRPr="005516CD">
        <w:rPr>
          <w:rFonts w:asciiTheme="majorHAnsi" w:hAnsiTheme="majorHAnsi" w:cstheme="majorHAnsi"/>
          <w:i/>
          <w:sz w:val="20"/>
          <w:szCs w:val="20"/>
          <w:lang w:val="en-GB"/>
        </w:rPr>
        <w:t>the application of tree-based systems generating multiple environmental benefits</w:t>
      </w:r>
    </w:p>
    <w:bookmarkEnd w:id="59"/>
    <w:p w14:paraId="1EB9C031" w14:textId="77777777" w:rsidR="00A84C17" w:rsidRPr="005516CD" w:rsidRDefault="00A84C1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Wherever possible, GEF support will be added incrementally to co-financed technical assistance programmes, with GEF support focusing specifically on the mainstreaming of global environmental considerations. This will be the case, for example, with farmers participating in PITAG, who will receive technical support from </w:t>
      </w:r>
      <w:bookmarkStart w:id="60" w:name="_Hlk2066613"/>
      <w:r w:rsidRPr="005516CD">
        <w:rPr>
          <w:rFonts w:asciiTheme="majorHAnsi" w:hAnsiTheme="majorHAnsi" w:cstheme="majorHAnsi"/>
          <w:sz w:val="20"/>
          <w:szCs w:val="20"/>
        </w:rPr>
        <w:t>service providers</w:t>
      </w:r>
      <w:r w:rsidR="00B55B54" w:rsidRPr="005516CD">
        <w:rPr>
          <w:rFonts w:asciiTheme="majorHAnsi" w:hAnsiTheme="majorHAnsi" w:cstheme="majorHAnsi"/>
          <w:sz w:val="20"/>
          <w:szCs w:val="20"/>
        </w:rPr>
        <w:t xml:space="preserve"> (including local technicians, technical assistance companies and NGOs)</w:t>
      </w:r>
      <w:r w:rsidRPr="005516CD">
        <w:rPr>
          <w:rFonts w:asciiTheme="majorHAnsi" w:hAnsiTheme="majorHAnsi" w:cstheme="majorHAnsi"/>
          <w:sz w:val="20"/>
          <w:szCs w:val="20"/>
        </w:rPr>
        <w:t xml:space="preserve">; </w:t>
      </w:r>
      <w:bookmarkEnd w:id="60"/>
      <w:r w:rsidRPr="005516CD">
        <w:rPr>
          <w:rFonts w:asciiTheme="majorHAnsi" w:hAnsiTheme="majorHAnsi" w:cstheme="majorHAnsi"/>
          <w:sz w:val="20"/>
          <w:szCs w:val="20"/>
        </w:rPr>
        <w:t xml:space="preserve">both the farmers and the service providers will receive support through the project in relation to the selection and application of production systems that optimise environmental benefits, and accessing favourable markets for the products of these systems. In cases where such </w:t>
      </w:r>
      <w:proofErr w:type="spellStart"/>
      <w:r w:rsidRPr="005516CD">
        <w:rPr>
          <w:rFonts w:asciiTheme="majorHAnsi" w:hAnsiTheme="majorHAnsi" w:cstheme="majorHAnsi"/>
          <w:sz w:val="20"/>
          <w:szCs w:val="20"/>
        </w:rPr>
        <w:t>cofinancing</w:t>
      </w:r>
      <w:proofErr w:type="spellEnd"/>
      <w:r w:rsidRPr="005516CD">
        <w:rPr>
          <w:rFonts w:asciiTheme="majorHAnsi" w:hAnsiTheme="majorHAnsi" w:cstheme="majorHAnsi"/>
          <w:sz w:val="20"/>
          <w:szCs w:val="20"/>
        </w:rPr>
        <w:t xml:space="preserve"> support is not available, GEF funds will be used for the direct provision of technical assistance covering both productivity and environmental issues, either by project staff or by </w:t>
      </w:r>
      <w:r w:rsidR="0052351D" w:rsidRPr="005516CD">
        <w:rPr>
          <w:rFonts w:asciiTheme="majorHAnsi" w:hAnsiTheme="majorHAnsi" w:cstheme="majorHAnsi"/>
          <w:sz w:val="20"/>
          <w:szCs w:val="20"/>
        </w:rPr>
        <w:t>sub-</w:t>
      </w:r>
      <w:r w:rsidRPr="005516CD">
        <w:rPr>
          <w:rFonts w:asciiTheme="majorHAnsi" w:hAnsiTheme="majorHAnsi" w:cstheme="majorHAnsi"/>
          <w:sz w:val="20"/>
          <w:szCs w:val="20"/>
        </w:rPr>
        <w:t xml:space="preserve">contractors. </w:t>
      </w:r>
    </w:p>
    <w:p w14:paraId="570ECD39" w14:textId="77777777" w:rsidR="00D35114" w:rsidRPr="005516CD" w:rsidRDefault="00A84C1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i/>
          <w:sz w:val="20"/>
          <w:szCs w:val="20"/>
        </w:rPr>
      </w:pPr>
      <w:r w:rsidRPr="005516CD">
        <w:rPr>
          <w:rFonts w:asciiTheme="majorHAnsi" w:hAnsiTheme="majorHAnsi" w:cstheme="majorHAnsi"/>
          <w:sz w:val="20"/>
          <w:szCs w:val="20"/>
        </w:rPr>
        <w:t>The project will emphasise the application of participatory approaches to technology development and transfer, such as Farmer Field Schools, in order to maximize ownership of the extension messages by farmers.</w:t>
      </w:r>
      <w:r w:rsidR="00D35114" w:rsidRPr="005516CD">
        <w:rPr>
          <w:rFonts w:asciiTheme="majorHAnsi" w:eastAsia="Calibri" w:hAnsiTheme="majorHAnsi" w:cstheme="majorHAnsi"/>
          <w:sz w:val="20"/>
          <w:szCs w:val="20"/>
        </w:rPr>
        <w:t xml:space="preserve"> This will </w:t>
      </w:r>
      <w:r w:rsidR="00D35114" w:rsidRPr="005516CD">
        <w:rPr>
          <w:rFonts w:asciiTheme="majorHAnsi" w:hAnsiTheme="majorHAnsi" w:cstheme="majorHAnsi"/>
          <w:sz w:val="20"/>
          <w:szCs w:val="20"/>
        </w:rPr>
        <w:t>include</w:t>
      </w:r>
      <w:r w:rsidR="00D35114" w:rsidRPr="005516CD">
        <w:rPr>
          <w:rFonts w:asciiTheme="majorHAnsi" w:eastAsia="Calibri" w:hAnsiTheme="majorHAnsi" w:cstheme="majorHAnsi"/>
          <w:sz w:val="20"/>
          <w:szCs w:val="20"/>
        </w:rPr>
        <w:t xml:space="preserve"> f</w:t>
      </w:r>
      <w:r w:rsidR="00D35114" w:rsidRPr="005516CD">
        <w:rPr>
          <w:rFonts w:asciiTheme="majorHAnsi" w:hAnsiTheme="majorHAnsi" w:cstheme="majorHAnsi"/>
          <w:sz w:val="20"/>
          <w:szCs w:val="20"/>
        </w:rPr>
        <w:t>armer-based participatory systematization and knowledge exchange, as well as farmer-based systems for the production and exchange of planting material</w:t>
      </w:r>
    </w:p>
    <w:p w14:paraId="6DE3F11A" w14:textId="78C1DA1C" w:rsidR="00A84C17" w:rsidRPr="005516CD" w:rsidRDefault="00A84C1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bookmarkStart w:id="61" w:name="_Hlk2067543"/>
      <w:r w:rsidRPr="005516CD">
        <w:rPr>
          <w:rFonts w:asciiTheme="majorHAnsi" w:hAnsiTheme="majorHAnsi" w:cstheme="majorHAnsi"/>
          <w:sz w:val="20"/>
          <w:szCs w:val="20"/>
        </w:rPr>
        <w:t xml:space="preserve">The project will </w:t>
      </w:r>
      <w:r w:rsidR="0052351D" w:rsidRPr="005516CD">
        <w:rPr>
          <w:rFonts w:asciiTheme="majorHAnsi" w:hAnsiTheme="majorHAnsi" w:cstheme="majorHAnsi"/>
          <w:sz w:val="20"/>
          <w:szCs w:val="20"/>
        </w:rPr>
        <w:t xml:space="preserve">invest in the development of lasting </w:t>
      </w:r>
      <w:r w:rsidR="00D71C2F" w:rsidRPr="005516CD">
        <w:rPr>
          <w:rFonts w:asciiTheme="majorHAnsi" w:hAnsiTheme="majorHAnsi" w:cstheme="majorHAnsi"/>
          <w:sz w:val="20"/>
          <w:szCs w:val="20"/>
        </w:rPr>
        <w:t xml:space="preserve">institutional </w:t>
      </w:r>
      <w:r w:rsidR="0052351D" w:rsidRPr="005516CD">
        <w:rPr>
          <w:rFonts w:asciiTheme="majorHAnsi" w:hAnsiTheme="majorHAnsi" w:cstheme="majorHAnsi"/>
          <w:sz w:val="20"/>
          <w:szCs w:val="20"/>
        </w:rPr>
        <w:t xml:space="preserve">capacities for technical support, rather than limiting itself to short-term support during its own implementation period (and that of co-financing partners). This will be achieved in part through the provision of orientation to the service providers working with co-financing partners (PITAG), which will leave them with lasting knowledge and </w:t>
      </w:r>
      <w:r w:rsidR="00D71C2F" w:rsidRPr="005516CD">
        <w:rPr>
          <w:rFonts w:asciiTheme="majorHAnsi" w:hAnsiTheme="majorHAnsi" w:cstheme="majorHAnsi"/>
          <w:sz w:val="20"/>
          <w:szCs w:val="20"/>
        </w:rPr>
        <w:t>skills</w:t>
      </w:r>
      <w:r w:rsidR="0052351D" w:rsidRPr="005516CD">
        <w:rPr>
          <w:rFonts w:asciiTheme="majorHAnsi" w:hAnsiTheme="majorHAnsi" w:cstheme="majorHAnsi"/>
          <w:sz w:val="20"/>
          <w:szCs w:val="20"/>
        </w:rPr>
        <w:t>; in part through the sub-contracting by the project itself of service providers (including local NGOs and groups of professionals); and in part through the provision of direct training support to cooperatives, groups of professionals, NGOs</w:t>
      </w:r>
      <w:r w:rsidR="006C5A4E" w:rsidRPr="005516CD">
        <w:rPr>
          <w:rFonts w:asciiTheme="majorHAnsi" w:hAnsiTheme="majorHAnsi" w:cstheme="majorHAnsi"/>
          <w:sz w:val="20"/>
          <w:szCs w:val="20"/>
        </w:rPr>
        <w:t>, local Governments</w:t>
      </w:r>
      <w:r w:rsidR="0052351D" w:rsidRPr="005516CD">
        <w:rPr>
          <w:rFonts w:asciiTheme="majorHAnsi" w:hAnsiTheme="majorHAnsi" w:cstheme="majorHAnsi"/>
          <w:sz w:val="20"/>
          <w:szCs w:val="20"/>
        </w:rPr>
        <w:t xml:space="preserve"> and others, in technical aspects of tree-based production systems as well as Farmer Field School methodologies. </w:t>
      </w:r>
    </w:p>
    <w:bookmarkEnd w:id="61"/>
    <w:p w14:paraId="5CA553C7" w14:textId="77777777" w:rsidR="00A84C17" w:rsidRPr="005516CD" w:rsidRDefault="00A84C1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project will also promote and support the role of the private sector in the development and consolidation of systems for the provision of technical assistance to their supplying farmers, including environmental considerations. This approach will serve to address concerns raised by private sector actors regarding the lack of continuity of the technical assistance typically provided by short-term development projects. The project will work with multiple private sector actors in this regard, in order to promote economies of scale and harmonization of technical assistance packages. </w:t>
      </w:r>
    </w:p>
    <w:p w14:paraId="4D8BD155" w14:textId="77777777" w:rsidR="00170D8C" w:rsidRPr="005516CD" w:rsidRDefault="00170D8C"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As a result of these actions, a total of 7,500 farming families throughout the project area will have improved access to reliable sources of technical support for the application of sustainable production systems, and an estimated 4,740 families will as a result apply and maintain modifications to their farms as a result of the knowledge gained.</w:t>
      </w:r>
    </w:p>
    <w:p w14:paraId="07EA9422" w14:textId="77777777" w:rsidR="00A062EB" w:rsidRPr="005516CD" w:rsidRDefault="00F93FFA" w:rsidP="00FB5829">
      <w:pPr>
        <w:pStyle w:val="ListParagraph"/>
        <w:keepNext/>
        <w:numPr>
          <w:ilvl w:val="2"/>
          <w:numId w:val="110"/>
        </w:numPr>
        <w:tabs>
          <w:tab w:val="left" w:pos="426"/>
        </w:tabs>
        <w:spacing w:after="120"/>
        <w:ind w:left="425" w:right="96" w:hanging="425"/>
        <w:jc w:val="both"/>
        <w:rPr>
          <w:rFonts w:asciiTheme="majorHAnsi" w:hAnsiTheme="majorHAnsi" w:cstheme="majorHAnsi"/>
          <w:i/>
          <w:sz w:val="20"/>
          <w:szCs w:val="20"/>
        </w:rPr>
      </w:pPr>
      <w:bookmarkStart w:id="62" w:name="_Hlk2067609"/>
      <w:r w:rsidRPr="005516CD">
        <w:rPr>
          <w:rFonts w:asciiTheme="majorHAnsi" w:hAnsiTheme="majorHAnsi" w:cstheme="majorHAnsi"/>
          <w:i/>
          <w:sz w:val="20"/>
          <w:szCs w:val="20"/>
        </w:rPr>
        <w:t xml:space="preserve">Technical </w:t>
      </w:r>
      <w:r w:rsidRPr="005516CD">
        <w:rPr>
          <w:rFonts w:asciiTheme="majorHAnsi" w:hAnsiTheme="majorHAnsi" w:cstheme="majorHAnsi"/>
          <w:i/>
          <w:sz w:val="20"/>
          <w:szCs w:val="20"/>
          <w:lang w:val="en-GB"/>
        </w:rPr>
        <w:t>guidelines</w:t>
      </w:r>
      <w:r w:rsidRPr="005516CD">
        <w:rPr>
          <w:rFonts w:asciiTheme="majorHAnsi" w:hAnsiTheme="majorHAnsi" w:cstheme="majorHAnsi"/>
          <w:i/>
          <w:sz w:val="20"/>
          <w:szCs w:val="20"/>
        </w:rPr>
        <w:t xml:space="preserve"> and extension materials on </w:t>
      </w:r>
      <w:r w:rsidR="00D35114" w:rsidRPr="005516CD">
        <w:rPr>
          <w:rFonts w:asciiTheme="majorHAnsi" w:hAnsiTheme="majorHAnsi" w:cstheme="majorHAnsi"/>
          <w:i/>
          <w:sz w:val="20"/>
          <w:szCs w:val="20"/>
        </w:rPr>
        <w:t xml:space="preserve">the </w:t>
      </w:r>
      <w:r w:rsidRPr="005516CD">
        <w:rPr>
          <w:rFonts w:asciiTheme="majorHAnsi" w:hAnsiTheme="majorHAnsi" w:cstheme="majorHAnsi"/>
          <w:i/>
          <w:sz w:val="20"/>
          <w:szCs w:val="20"/>
        </w:rPr>
        <w:t xml:space="preserve">management </w:t>
      </w:r>
      <w:r w:rsidR="00D35114" w:rsidRPr="005516CD">
        <w:rPr>
          <w:rFonts w:asciiTheme="majorHAnsi" w:hAnsiTheme="majorHAnsi" w:cstheme="majorHAnsi"/>
          <w:i/>
          <w:sz w:val="20"/>
          <w:szCs w:val="20"/>
        </w:rPr>
        <w:t>of</w:t>
      </w:r>
      <w:r w:rsidRPr="005516CD">
        <w:rPr>
          <w:rFonts w:asciiTheme="majorHAnsi" w:hAnsiTheme="majorHAnsi" w:cstheme="majorHAnsi"/>
          <w:i/>
          <w:sz w:val="20"/>
          <w:szCs w:val="20"/>
        </w:rPr>
        <w:t xml:space="preserve"> tree-based production systems.</w:t>
      </w:r>
    </w:p>
    <w:p w14:paraId="4D417F31" w14:textId="77777777" w:rsidR="00A84C17" w:rsidRPr="005516CD" w:rsidRDefault="00D3511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i/>
          <w:sz w:val="20"/>
          <w:szCs w:val="20"/>
        </w:rPr>
      </w:pPr>
      <w:r w:rsidRPr="005516CD">
        <w:rPr>
          <w:rFonts w:asciiTheme="majorHAnsi" w:hAnsiTheme="majorHAnsi" w:cstheme="majorHAnsi"/>
          <w:sz w:val="20"/>
          <w:szCs w:val="20"/>
        </w:rPr>
        <w:t xml:space="preserve">The project </w:t>
      </w:r>
      <w:r w:rsidR="00A84C17" w:rsidRPr="005516CD">
        <w:rPr>
          <w:rFonts w:asciiTheme="majorHAnsi" w:hAnsiTheme="majorHAnsi" w:cstheme="majorHAnsi"/>
          <w:sz w:val="20"/>
          <w:szCs w:val="20"/>
        </w:rPr>
        <w:t xml:space="preserve">will in addition invest in the production of technical guidelines and extension materials for use by farmers and by extension agents in Government, development agency project technicians, NGOs and private sector, focusing particularly on BD-friendly management practices. </w:t>
      </w:r>
      <w:r w:rsidR="0052351D" w:rsidRPr="005516CD">
        <w:rPr>
          <w:rFonts w:asciiTheme="majorHAnsi" w:hAnsiTheme="majorHAnsi" w:cstheme="majorHAnsi"/>
          <w:sz w:val="20"/>
          <w:szCs w:val="20"/>
        </w:rPr>
        <w:t xml:space="preserve">These materials will constitute a lasting resource which will contribute to the ongoing communication and uptake of project messages in the future, beyond the life of the project. </w:t>
      </w:r>
    </w:p>
    <w:bookmarkEnd w:id="62"/>
    <w:p w14:paraId="64B96665" w14:textId="77777777" w:rsidR="00C31DB7" w:rsidRPr="005516CD" w:rsidRDefault="00C31DB7" w:rsidP="00F12340">
      <w:pPr>
        <w:pStyle w:val="Heading7"/>
        <w:keepNext/>
        <w:spacing w:before="0"/>
        <w:ind w:left="0"/>
        <w:rPr>
          <w:rFonts w:asciiTheme="majorHAnsi" w:hAnsiTheme="majorHAnsi" w:cstheme="majorHAnsi"/>
          <w:b/>
          <w:i/>
        </w:rPr>
      </w:pPr>
      <w:r w:rsidRPr="005516CD">
        <w:rPr>
          <w:rFonts w:asciiTheme="majorHAnsi" w:hAnsiTheme="majorHAnsi" w:cstheme="majorHAnsi"/>
          <w:b/>
          <w:i/>
        </w:rPr>
        <w:t>Output 2.2 Improved financing mechanisms for tree-based production systems:</w:t>
      </w:r>
    </w:p>
    <w:p w14:paraId="379A2A9A" w14:textId="77777777" w:rsidR="00CB55B2" w:rsidRPr="005516CD" w:rsidRDefault="00CB55B2"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i/>
          <w:sz w:val="20"/>
          <w:szCs w:val="20"/>
        </w:rPr>
      </w:pPr>
      <w:bookmarkStart w:id="63" w:name="OLE_LINK1"/>
      <w:r w:rsidRPr="005516CD">
        <w:rPr>
          <w:rFonts w:asciiTheme="majorHAnsi" w:hAnsiTheme="majorHAnsi" w:cstheme="majorHAnsi"/>
          <w:sz w:val="20"/>
          <w:szCs w:val="20"/>
        </w:rPr>
        <w:t>The project will seek to improve farmers’ access to the finance needed to enable them to invest in establishing or improving the productivity of tree-based production systems</w:t>
      </w:r>
      <w:r w:rsidR="00106E19" w:rsidRPr="005516CD">
        <w:rPr>
          <w:rFonts w:asciiTheme="majorHAnsi" w:hAnsiTheme="majorHAnsi" w:cstheme="majorHAnsi"/>
          <w:sz w:val="20"/>
          <w:szCs w:val="20"/>
        </w:rPr>
        <w:t xml:space="preserve">. </w:t>
      </w:r>
      <w:r w:rsidR="008F6B39" w:rsidRPr="005516CD">
        <w:rPr>
          <w:rFonts w:asciiTheme="majorHAnsi" w:hAnsiTheme="majorHAnsi" w:cstheme="majorHAnsi"/>
          <w:sz w:val="20"/>
          <w:szCs w:val="20"/>
        </w:rPr>
        <w:t>As a result, it is projected that over the project lifetime around 75 families will be receiving financial support for businesses based on sustainable production systems, of at least HTG 250,000 (USD 3,193) each.</w:t>
      </w:r>
    </w:p>
    <w:p w14:paraId="30611DBA" w14:textId="77777777" w:rsidR="00CB55B2" w:rsidRPr="005516CD" w:rsidRDefault="00CB55B2" w:rsidP="006B27F4">
      <w:pPr>
        <w:pStyle w:val="ListParagraph"/>
        <w:numPr>
          <w:ilvl w:val="2"/>
          <w:numId w:val="111"/>
        </w:numPr>
        <w:tabs>
          <w:tab w:val="left" w:pos="426"/>
        </w:tabs>
        <w:spacing w:after="120"/>
        <w:ind w:left="425" w:right="96" w:hanging="425"/>
        <w:jc w:val="both"/>
        <w:rPr>
          <w:rFonts w:asciiTheme="majorHAnsi" w:hAnsiTheme="majorHAnsi" w:cstheme="majorHAnsi"/>
          <w:i/>
          <w:sz w:val="20"/>
          <w:szCs w:val="20"/>
        </w:rPr>
      </w:pPr>
      <w:r w:rsidRPr="005516CD">
        <w:rPr>
          <w:rFonts w:asciiTheme="majorHAnsi" w:hAnsiTheme="majorHAnsi" w:cstheme="majorHAnsi"/>
          <w:i/>
          <w:sz w:val="20"/>
          <w:szCs w:val="20"/>
        </w:rPr>
        <w:t>Analysis and guidance materials on creditworthiness of businesses related to tree-based production systems</w:t>
      </w:r>
    </w:p>
    <w:p w14:paraId="18BE42DD" w14:textId="77777777" w:rsidR="00CB55B2" w:rsidRPr="005516CD" w:rsidRDefault="00CB55B2"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In order to overcome the </w:t>
      </w:r>
      <w:r w:rsidR="00A90CAD" w:rsidRPr="005516CD">
        <w:rPr>
          <w:rFonts w:asciiTheme="majorHAnsi" w:hAnsiTheme="majorHAnsi" w:cstheme="majorHAnsi"/>
          <w:sz w:val="20"/>
          <w:szCs w:val="20"/>
        </w:rPr>
        <w:t xml:space="preserve">habitual lack of confidence in the financial sector regarding the creditworthiness of businesses based on agriculture and natural resources, the project will support detailed analyses of the creditworthiness of a range of different business options. These will cover aspects such as: business and financial management capacities; </w:t>
      </w:r>
      <w:r w:rsidR="004E7E19" w:rsidRPr="005516CD">
        <w:rPr>
          <w:rFonts w:asciiTheme="majorHAnsi" w:hAnsiTheme="majorHAnsi" w:cstheme="majorHAnsi"/>
          <w:sz w:val="20"/>
          <w:szCs w:val="20"/>
        </w:rPr>
        <w:t xml:space="preserve">access to reliable guarantees; </w:t>
      </w:r>
      <w:r w:rsidR="00A90CAD" w:rsidRPr="005516CD">
        <w:rPr>
          <w:rFonts w:asciiTheme="majorHAnsi" w:hAnsiTheme="majorHAnsi" w:cstheme="majorHAnsi"/>
          <w:sz w:val="20"/>
          <w:szCs w:val="20"/>
        </w:rPr>
        <w:t>profitability, and opportunities for improvement (</w:t>
      </w:r>
      <w:r w:rsidR="004C5CD4" w:rsidRPr="005516CD">
        <w:rPr>
          <w:rFonts w:asciiTheme="majorHAnsi" w:hAnsiTheme="majorHAnsi" w:cstheme="majorHAnsi"/>
          <w:sz w:val="20"/>
          <w:szCs w:val="20"/>
        </w:rPr>
        <w:t xml:space="preserve">for example </w:t>
      </w:r>
      <w:r w:rsidR="00A90CAD" w:rsidRPr="005516CD">
        <w:rPr>
          <w:rFonts w:asciiTheme="majorHAnsi" w:hAnsiTheme="majorHAnsi" w:cstheme="majorHAnsi"/>
          <w:sz w:val="20"/>
          <w:szCs w:val="20"/>
        </w:rPr>
        <w:t xml:space="preserve">through improvements in practices, sourcing of inputs and selection of markets); </w:t>
      </w:r>
      <w:r w:rsidR="004E7E19" w:rsidRPr="005516CD">
        <w:rPr>
          <w:rFonts w:asciiTheme="majorHAnsi" w:hAnsiTheme="majorHAnsi" w:cstheme="majorHAnsi"/>
          <w:sz w:val="20"/>
          <w:szCs w:val="20"/>
        </w:rPr>
        <w:t xml:space="preserve">and </w:t>
      </w:r>
      <w:r w:rsidR="00A90CAD" w:rsidRPr="005516CD">
        <w:rPr>
          <w:rFonts w:asciiTheme="majorHAnsi" w:hAnsiTheme="majorHAnsi" w:cstheme="majorHAnsi"/>
          <w:sz w:val="20"/>
          <w:szCs w:val="20"/>
        </w:rPr>
        <w:t xml:space="preserve">the </w:t>
      </w:r>
      <w:r w:rsidR="004E7E19" w:rsidRPr="005516CD">
        <w:rPr>
          <w:rFonts w:asciiTheme="majorHAnsi" w:hAnsiTheme="majorHAnsi" w:cstheme="majorHAnsi"/>
          <w:sz w:val="20"/>
          <w:szCs w:val="20"/>
        </w:rPr>
        <w:t xml:space="preserve">magnitude, </w:t>
      </w:r>
      <w:r w:rsidR="00A90CAD" w:rsidRPr="005516CD">
        <w:rPr>
          <w:rFonts w:asciiTheme="majorHAnsi" w:hAnsiTheme="majorHAnsi" w:cstheme="majorHAnsi"/>
          <w:sz w:val="20"/>
          <w:szCs w:val="20"/>
        </w:rPr>
        <w:t>resilience and project</w:t>
      </w:r>
      <w:r w:rsidR="004E7E19" w:rsidRPr="005516CD">
        <w:rPr>
          <w:rFonts w:asciiTheme="majorHAnsi" w:hAnsiTheme="majorHAnsi" w:cstheme="majorHAnsi"/>
          <w:sz w:val="20"/>
          <w:szCs w:val="20"/>
        </w:rPr>
        <w:t>ed</w:t>
      </w:r>
      <w:r w:rsidR="00A90CAD" w:rsidRPr="005516CD">
        <w:rPr>
          <w:rFonts w:asciiTheme="majorHAnsi" w:hAnsiTheme="majorHAnsi" w:cstheme="majorHAnsi"/>
          <w:sz w:val="20"/>
          <w:szCs w:val="20"/>
        </w:rPr>
        <w:t xml:space="preserve"> trends of markets</w:t>
      </w:r>
      <w:r w:rsidR="004E7E19" w:rsidRPr="005516CD">
        <w:rPr>
          <w:rFonts w:asciiTheme="majorHAnsi" w:hAnsiTheme="majorHAnsi" w:cstheme="majorHAnsi"/>
          <w:sz w:val="20"/>
          <w:szCs w:val="20"/>
        </w:rPr>
        <w:t xml:space="preserve">. </w:t>
      </w:r>
    </w:p>
    <w:p w14:paraId="5617C70A" w14:textId="77777777" w:rsidR="003D7647" w:rsidRPr="005516CD" w:rsidRDefault="003D7647" w:rsidP="006B27F4">
      <w:pPr>
        <w:pStyle w:val="ListParagraph"/>
        <w:keepNext/>
        <w:numPr>
          <w:ilvl w:val="2"/>
          <w:numId w:val="111"/>
        </w:numPr>
        <w:tabs>
          <w:tab w:val="left" w:pos="426"/>
        </w:tabs>
        <w:spacing w:after="120"/>
        <w:ind w:left="567" w:right="96" w:hanging="567"/>
        <w:jc w:val="both"/>
        <w:rPr>
          <w:rFonts w:asciiTheme="majorHAnsi" w:hAnsiTheme="majorHAnsi" w:cstheme="majorHAnsi"/>
          <w:i/>
          <w:sz w:val="20"/>
          <w:szCs w:val="20"/>
        </w:rPr>
      </w:pPr>
      <w:r w:rsidRPr="005516CD">
        <w:rPr>
          <w:rFonts w:asciiTheme="majorHAnsi" w:hAnsiTheme="majorHAnsi" w:cstheme="majorHAnsi"/>
          <w:i/>
          <w:sz w:val="20"/>
          <w:szCs w:val="20"/>
        </w:rPr>
        <w:t>Tree-based businesses with capacities to take on and manage finance</w:t>
      </w:r>
    </w:p>
    <w:p w14:paraId="693BB1A8" w14:textId="77777777" w:rsidR="003D7647" w:rsidRPr="005516CD" w:rsidRDefault="00A4006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 project will provide advisory support to </w:t>
      </w:r>
      <w:r w:rsidR="00336BE9" w:rsidRPr="005516CD">
        <w:rPr>
          <w:rFonts w:asciiTheme="majorHAnsi" w:hAnsiTheme="majorHAnsi" w:cstheme="majorHAnsi"/>
          <w:sz w:val="20"/>
          <w:szCs w:val="20"/>
        </w:rPr>
        <w:t xml:space="preserve">local </w:t>
      </w:r>
      <w:r w:rsidRPr="005516CD">
        <w:rPr>
          <w:rFonts w:asciiTheme="majorHAnsi" w:hAnsiTheme="majorHAnsi" w:cstheme="majorHAnsi"/>
          <w:sz w:val="20"/>
          <w:szCs w:val="20"/>
        </w:rPr>
        <w:t xml:space="preserve">businesses </w:t>
      </w:r>
      <w:r w:rsidR="00336BE9" w:rsidRPr="005516CD">
        <w:rPr>
          <w:rFonts w:asciiTheme="majorHAnsi" w:hAnsiTheme="majorHAnsi" w:cstheme="majorHAnsi"/>
          <w:sz w:val="20"/>
          <w:szCs w:val="20"/>
        </w:rPr>
        <w:t xml:space="preserve">selling </w:t>
      </w:r>
      <w:r w:rsidRPr="005516CD">
        <w:rPr>
          <w:rFonts w:asciiTheme="majorHAnsi" w:hAnsiTheme="majorHAnsi" w:cstheme="majorHAnsi"/>
          <w:sz w:val="20"/>
          <w:szCs w:val="20"/>
        </w:rPr>
        <w:t>the products of tree-b</w:t>
      </w:r>
      <w:r w:rsidR="00336BE9" w:rsidRPr="005516CD">
        <w:rPr>
          <w:rFonts w:asciiTheme="majorHAnsi" w:hAnsiTheme="majorHAnsi" w:cstheme="majorHAnsi"/>
          <w:sz w:val="20"/>
          <w:szCs w:val="20"/>
        </w:rPr>
        <w:t>ased production systems, in order to increase their abilities to access, manage and use financing. This support will include:</w:t>
      </w:r>
    </w:p>
    <w:p w14:paraId="321B70DE" w14:textId="77777777" w:rsidR="00336BE9" w:rsidRPr="005516CD" w:rsidRDefault="00336BE9"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Business planning, in order to define the levels, types and timeframe of financing needs, based on projections of business growth, profitability and repayment capacity, guarantee options and risks.</w:t>
      </w:r>
    </w:p>
    <w:p w14:paraId="61C5D1A2" w14:textId="77777777" w:rsidR="00336BE9" w:rsidRPr="005516CD" w:rsidRDefault="00336BE9"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Identification and selection of potential sources of finance, based on factors including portfolio coverage, guarantee requirements, interest rates, repayment terms and availability of business management and technical support.</w:t>
      </w:r>
    </w:p>
    <w:p w14:paraId="7D081DA6" w14:textId="77777777" w:rsidR="00336BE9" w:rsidRPr="005516CD" w:rsidRDefault="00336BE9" w:rsidP="006B27F4">
      <w:pPr>
        <w:pStyle w:val="ListParagraph"/>
        <w:numPr>
          <w:ilvl w:val="0"/>
          <w:numId w:val="88"/>
        </w:numPr>
        <w:tabs>
          <w:tab w:val="left" w:pos="426"/>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Development of capacities (skills and systems) for business and financial management. </w:t>
      </w:r>
    </w:p>
    <w:p w14:paraId="3B66556D" w14:textId="77777777" w:rsidR="000F3A72" w:rsidRPr="005516CD" w:rsidRDefault="000F3A72" w:rsidP="006B27F4">
      <w:pPr>
        <w:pStyle w:val="ListParagraph"/>
        <w:keepNext/>
        <w:numPr>
          <w:ilvl w:val="2"/>
          <w:numId w:val="111"/>
        </w:numPr>
        <w:tabs>
          <w:tab w:val="left" w:pos="426"/>
        </w:tabs>
        <w:spacing w:after="120"/>
        <w:ind w:left="567" w:right="96" w:hanging="567"/>
        <w:jc w:val="both"/>
        <w:rPr>
          <w:rFonts w:asciiTheme="majorHAnsi" w:hAnsiTheme="majorHAnsi" w:cstheme="majorHAnsi"/>
          <w:i/>
          <w:sz w:val="20"/>
          <w:szCs w:val="20"/>
        </w:rPr>
      </w:pPr>
      <w:r w:rsidRPr="005516CD">
        <w:rPr>
          <w:rFonts w:asciiTheme="majorHAnsi" w:hAnsiTheme="majorHAnsi" w:cstheme="majorHAnsi"/>
          <w:i/>
          <w:sz w:val="20"/>
          <w:szCs w:val="20"/>
        </w:rPr>
        <w:t>Credit packages developed and offered by diverse financing sources</w:t>
      </w:r>
    </w:p>
    <w:p w14:paraId="5FE814A2" w14:textId="77777777" w:rsidR="000F3A72" w:rsidRPr="005516CD" w:rsidRDefault="000F3A72"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Through awareness-raising (including the results of the creditworthiness analyses described above), the provision of orientation, the facilitation of strategic planning and support to discussions with potential beneficiaries, the project will lead to appropriate financing packages being made available by a range of different sources, </w:t>
      </w:r>
      <w:r w:rsidR="00106E19" w:rsidRPr="005516CD">
        <w:rPr>
          <w:rFonts w:asciiTheme="majorHAnsi" w:hAnsiTheme="majorHAnsi" w:cstheme="majorHAnsi"/>
          <w:sz w:val="20"/>
          <w:szCs w:val="20"/>
        </w:rPr>
        <w:t>in support of businesses based on the products of tree-based production systems.</w:t>
      </w:r>
      <w:r w:rsidR="008E2093" w:rsidRPr="005516CD">
        <w:rPr>
          <w:rFonts w:asciiTheme="majorHAnsi" w:hAnsiTheme="majorHAnsi" w:cstheme="majorHAnsi"/>
          <w:sz w:val="20"/>
          <w:szCs w:val="20"/>
        </w:rPr>
        <w:t xml:space="preserve"> </w:t>
      </w:r>
    </w:p>
    <w:p w14:paraId="656C631D" w14:textId="77777777" w:rsidR="00106E19" w:rsidRPr="005516CD" w:rsidRDefault="00106E1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These sources will include, for example: local community-based finance mechanisms, savings banks and cooperatives, private sector value chain actors (such as cacao purchasers) mechanisms and Government incentive programmes. The credit packages will feature, for example, eligibility criteria tailored to the nature of the businesses (for example favourable guarantee requirements, interest rates and payback periods that reflect the time-scale of tree-based production systems); assurance mechanisms </w:t>
      </w:r>
      <w:r w:rsidR="003D7647" w:rsidRPr="005516CD">
        <w:rPr>
          <w:rFonts w:asciiTheme="majorHAnsi" w:hAnsiTheme="majorHAnsi" w:cstheme="majorHAnsi"/>
          <w:sz w:val="20"/>
          <w:szCs w:val="20"/>
        </w:rPr>
        <w:t xml:space="preserve">(based for example on the assurance provided by the Agricultural Credit Bureau, BCA); and provisions for ensuring ongoing access by beneficiaries to sources of technical and management advisory support. </w:t>
      </w:r>
    </w:p>
    <w:bookmarkEnd w:id="63"/>
    <w:p w14:paraId="0A234EB1" w14:textId="77777777" w:rsidR="00C31DB7" w:rsidRPr="005516CD" w:rsidRDefault="00C31DB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In the case of cash crops such as coffee and cocoa that are purchased by national or international companies, the project will work with the companies on the development of finance mechanisms for their producers, emphasizing (as with the provision of technical assistance as explained above) the benefits of this for the companies in terms of increased continuity and quality of supply. </w:t>
      </w:r>
    </w:p>
    <w:p w14:paraId="078E9925" w14:textId="77777777" w:rsidR="00C31DB7" w:rsidRPr="005516CD" w:rsidRDefault="00C31DB7" w:rsidP="00F12340">
      <w:pPr>
        <w:pStyle w:val="Heading7"/>
        <w:keepNext/>
        <w:spacing w:before="0"/>
        <w:ind w:left="0"/>
        <w:rPr>
          <w:rFonts w:asciiTheme="majorHAnsi" w:hAnsiTheme="majorHAnsi" w:cstheme="majorHAnsi"/>
          <w:b/>
          <w:i/>
        </w:rPr>
      </w:pPr>
      <w:r w:rsidRPr="005516CD">
        <w:rPr>
          <w:rFonts w:asciiTheme="majorHAnsi" w:hAnsiTheme="majorHAnsi" w:cstheme="majorHAnsi"/>
          <w:b/>
          <w:i/>
        </w:rPr>
        <w:t>Output 2.</w:t>
      </w:r>
      <w:r w:rsidR="00F12340" w:rsidRPr="005516CD">
        <w:rPr>
          <w:rFonts w:asciiTheme="majorHAnsi" w:hAnsiTheme="majorHAnsi" w:cstheme="majorHAnsi"/>
          <w:b/>
          <w:i/>
        </w:rPr>
        <w:t>3</w:t>
      </w:r>
      <w:r w:rsidRPr="005516CD">
        <w:rPr>
          <w:rFonts w:asciiTheme="majorHAnsi" w:hAnsiTheme="majorHAnsi" w:cstheme="majorHAnsi"/>
          <w:b/>
          <w:i/>
        </w:rPr>
        <w:t xml:space="preserve"> Capacities for generating revenue from tree-based systems on farm:</w:t>
      </w:r>
    </w:p>
    <w:p w14:paraId="0495E6CE" w14:textId="77777777" w:rsidR="00C31DB7" w:rsidRPr="005516CD" w:rsidRDefault="00C31DB7"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In addition to promoting farmers’ knowledge and interest in traditional trees and management systems, the project will </w:t>
      </w:r>
      <w:r w:rsidRPr="005516CD">
        <w:rPr>
          <w:rFonts w:asciiTheme="majorHAnsi" w:hAnsiTheme="majorHAnsi" w:cstheme="majorHAnsi"/>
          <w:sz w:val="20"/>
          <w:szCs w:val="20"/>
        </w:rPr>
        <w:t>support</w:t>
      </w:r>
      <w:r w:rsidRPr="005516CD">
        <w:rPr>
          <w:rFonts w:asciiTheme="majorHAnsi" w:eastAsia="Calibri" w:hAnsiTheme="majorHAnsi" w:cstheme="majorHAnsi"/>
          <w:sz w:val="20"/>
          <w:szCs w:val="20"/>
        </w:rPr>
        <w:t xml:space="preserve"> the target population in generating revenue from them: this will provide them with direct economic </w:t>
      </w:r>
      <w:r w:rsidRPr="005516CD">
        <w:rPr>
          <w:rFonts w:asciiTheme="majorHAnsi" w:hAnsiTheme="majorHAnsi" w:cstheme="majorHAnsi"/>
          <w:sz w:val="20"/>
          <w:szCs w:val="20"/>
        </w:rPr>
        <w:t>benefits</w:t>
      </w:r>
      <w:r w:rsidRPr="005516CD">
        <w:rPr>
          <w:rFonts w:asciiTheme="majorHAnsi" w:eastAsia="Calibri" w:hAnsiTheme="majorHAnsi" w:cstheme="majorHAnsi"/>
          <w:sz w:val="20"/>
          <w:szCs w:val="20"/>
        </w:rPr>
        <w:t xml:space="preserve">, and </w:t>
      </w:r>
      <w:r w:rsidRPr="005516CD">
        <w:rPr>
          <w:rFonts w:asciiTheme="majorHAnsi" w:hAnsiTheme="majorHAnsi" w:cstheme="majorHAnsi"/>
          <w:sz w:val="20"/>
          <w:szCs w:val="20"/>
        </w:rPr>
        <w:t>this in turn</w:t>
      </w:r>
      <w:r w:rsidRPr="005516CD">
        <w:rPr>
          <w:rFonts w:asciiTheme="majorHAnsi" w:eastAsia="Calibri" w:hAnsiTheme="majorHAnsi" w:cstheme="majorHAnsi"/>
          <w:sz w:val="20"/>
          <w:szCs w:val="20"/>
        </w:rPr>
        <w:t xml:space="preserve"> with further contribute to their farmers’ motivations to adopt and maintain the trees and management practices. This strategy will have particular potential to generate benefits for women, through their involvement in small-scale processing and in the commercialization of tree products. </w:t>
      </w:r>
    </w:p>
    <w:p w14:paraId="05C40F75" w14:textId="77777777" w:rsidR="00BC7929" w:rsidRPr="005516CD" w:rsidRDefault="00BC7929" w:rsidP="006B27F4">
      <w:pPr>
        <w:pStyle w:val="ListParagraph"/>
        <w:numPr>
          <w:ilvl w:val="2"/>
          <w:numId w:val="116"/>
        </w:numPr>
        <w:tabs>
          <w:tab w:val="left" w:pos="426"/>
        </w:tabs>
        <w:spacing w:after="120"/>
        <w:ind w:left="426" w:right="96" w:hanging="426"/>
        <w:jc w:val="both"/>
        <w:rPr>
          <w:rFonts w:asciiTheme="majorHAnsi" w:hAnsiTheme="majorHAnsi" w:cstheme="majorHAnsi"/>
          <w:i/>
          <w:sz w:val="20"/>
          <w:szCs w:val="20"/>
        </w:rPr>
      </w:pPr>
      <w:r w:rsidRPr="005516CD">
        <w:rPr>
          <w:rFonts w:asciiTheme="majorHAnsi" w:hAnsiTheme="majorHAnsi" w:cstheme="majorHAnsi"/>
          <w:i/>
          <w:sz w:val="20"/>
          <w:szCs w:val="20"/>
        </w:rPr>
        <w:t xml:space="preserve">Producer </w:t>
      </w:r>
      <w:proofErr w:type="spellStart"/>
      <w:r w:rsidRPr="005516CD">
        <w:rPr>
          <w:rFonts w:asciiTheme="majorHAnsi" w:hAnsiTheme="majorHAnsi" w:cstheme="majorHAnsi"/>
          <w:i/>
          <w:sz w:val="20"/>
          <w:szCs w:val="20"/>
        </w:rPr>
        <w:t>organisations</w:t>
      </w:r>
      <w:proofErr w:type="spellEnd"/>
      <w:r w:rsidRPr="005516CD">
        <w:rPr>
          <w:rFonts w:asciiTheme="majorHAnsi" w:hAnsiTheme="majorHAnsi" w:cstheme="majorHAnsi"/>
          <w:i/>
          <w:sz w:val="20"/>
          <w:szCs w:val="20"/>
        </w:rPr>
        <w:t xml:space="preserve">, businesses and cooperatives with strengthened capacities for identifying </w:t>
      </w:r>
      <w:proofErr w:type="spellStart"/>
      <w:r w:rsidRPr="005516CD">
        <w:rPr>
          <w:rFonts w:asciiTheme="majorHAnsi" w:hAnsiTheme="majorHAnsi" w:cstheme="majorHAnsi"/>
          <w:i/>
          <w:sz w:val="20"/>
          <w:szCs w:val="20"/>
        </w:rPr>
        <w:t>favourable</w:t>
      </w:r>
      <w:proofErr w:type="spellEnd"/>
      <w:r w:rsidRPr="005516CD">
        <w:rPr>
          <w:rFonts w:asciiTheme="majorHAnsi" w:hAnsiTheme="majorHAnsi" w:cstheme="majorHAnsi"/>
          <w:i/>
          <w:sz w:val="20"/>
          <w:szCs w:val="20"/>
        </w:rPr>
        <w:t xml:space="preserve"> </w:t>
      </w:r>
      <w:r w:rsidRPr="005516CD">
        <w:rPr>
          <w:rFonts w:asciiTheme="majorHAnsi" w:hAnsiTheme="majorHAnsi" w:cstheme="majorHAnsi"/>
          <w:i/>
          <w:sz w:val="20"/>
          <w:szCs w:val="20"/>
          <w:lang w:val="en-GB"/>
        </w:rPr>
        <w:t>market</w:t>
      </w:r>
      <w:r w:rsidRPr="005516CD">
        <w:rPr>
          <w:rFonts w:asciiTheme="majorHAnsi" w:hAnsiTheme="majorHAnsi" w:cstheme="majorHAnsi"/>
          <w:i/>
          <w:sz w:val="20"/>
          <w:szCs w:val="20"/>
        </w:rPr>
        <w:t xml:space="preserve"> opportunities and gaining access to certification systems</w:t>
      </w:r>
    </w:p>
    <w:p w14:paraId="4D91ABD5" w14:textId="77777777" w:rsidR="00BC7929" w:rsidRPr="005516CD" w:rsidRDefault="00BC7929"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The project will provide training to members of producer organisations, businesses and cooperatives on marketing, covering aspects including: </w:t>
      </w:r>
    </w:p>
    <w:p w14:paraId="6879EA49" w14:textId="77777777" w:rsidR="00BC7929" w:rsidRPr="005516CD" w:rsidRDefault="00BC7929" w:rsidP="006B27F4">
      <w:pPr>
        <w:pStyle w:val="ListParagraph"/>
        <w:numPr>
          <w:ilvl w:val="0"/>
          <w:numId w:val="88"/>
        </w:numPr>
        <w:tabs>
          <w:tab w:val="left" w:pos="567"/>
        </w:tabs>
        <w:ind w:left="567" w:right="96" w:hanging="21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The </w:t>
      </w:r>
      <w:r w:rsidRPr="005516CD">
        <w:rPr>
          <w:rFonts w:asciiTheme="majorHAnsi" w:hAnsiTheme="majorHAnsi" w:cstheme="majorHAnsi"/>
          <w:sz w:val="20"/>
          <w:szCs w:val="20"/>
        </w:rPr>
        <w:t>identification</w:t>
      </w:r>
      <w:r w:rsidRPr="005516CD">
        <w:rPr>
          <w:rFonts w:asciiTheme="majorHAnsi" w:eastAsia="Calibri" w:hAnsiTheme="majorHAnsi" w:cstheme="majorHAnsi"/>
          <w:sz w:val="20"/>
          <w:szCs w:val="20"/>
        </w:rPr>
        <w:t>, scoping and selection of market options</w:t>
      </w:r>
    </w:p>
    <w:p w14:paraId="281DDF8B" w14:textId="77777777" w:rsidR="00BC7929" w:rsidRPr="005516CD" w:rsidRDefault="00BC7929" w:rsidP="006B27F4">
      <w:pPr>
        <w:pStyle w:val="ListParagraph"/>
        <w:numPr>
          <w:ilvl w:val="0"/>
          <w:numId w:val="88"/>
        </w:numPr>
        <w:tabs>
          <w:tab w:val="left" w:pos="567"/>
        </w:tabs>
        <w:ind w:left="567" w:right="96" w:hanging="21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Product branding, presentation and promotion</w:t>
      </w:r>
    </w:p>
    <w:p w14:paraId="1D1595FD" w14:textId="77777777" w:rsidR="00BC7929" w:rsidRPr="005516CD" w:rsidRDefault="00BC7929" w:rsidP="006B27F4">
      <w:pPr>
        <w:pStyle w:val="ListParagraph"/>
        <w:numPr>
          <w:ilvl w:val="0"/>
          <w:numId w:val="88"/>
        </w:numPr>
        <w:tabs>
          <w:tab w:val="left" w:pos="567"/>
        </w:tabs>
        <w:ind w:left="567" w:right="96" w:hanging="21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The negotiation of contracts</w:t>
      </w:r>
    </w:p>
    <w:p w14:paraId="6027D11E" w14:textId="77777777" w:rsidR="00BC7929" w:rsidRPr="005516CD" w:rsidRDefault="00BC7929" w:rsidP="006B27F4">
      <w:pPr>
        <w:pStyle w:val="ListParagraph"/>
        <w:numPr>
          <w:ilvl w:val="0"/>
          <w:numId w:val="88"/>
        </w:numPr>
        <w:tabs>
          <w:tab w:val="left" w:pos="567"/>
        </w:tabs>
        <w:ind w:left="567" w:right="96" w:hanging="21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Administrative procedures for sale and export</w:t>
      </w:r>
    </w:p>
    <w:p w14:paraId="728E4D4D" w14:textId="77777777" w:rsidR="00BC7929" w:rsidRPr="005516CD" w:rsidRDefault="00BC7929" w:rsidP="006B27F4">
      <w:pPr>
        <w:pStyle w:val="ListParagraph"/>
        <w:numPr>
          <w:ilvl w:val="0"/>
          <w:numId w:val="88"/>
        </w:numPr>
        <w:tabs>
          <w:tab w:val="left" w:pos="567"/>
        </w:tabs>
        <w:spacing w:after="120"/>
        <w:ind w:left="567" w:right="96" w:hanging="21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The costs, requirements and market/price benefits of alternative options for third-party certification. </w:t>
      </w:r>
    </w:p>
    <w:p w14:paraId="58388845" w14:textId="77777777" w:rsidR="008E2093" w:rsidRPr="005516CD" w:rsidRDefault="008E2093"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As a result of this support, the area of cacao and coffee under third party </w:t>
      </w:r>
      <w:r w:rsidRPr="005516CD">
        <w:rPr>
          <w:rFonts w:asciiTheme="majorHAnsi" w:hAnsiTheme="majorHAnsi" w:cstheme="majorHAnsi"/>
          <w:bCs/>
          <w:noProof/>
          <w:sz w:val="20"/>
          <w:szCs w:val="20"/>
        </w:rPr>
        <w:t>certification schemes with requirements that coincide with those of the biodiversity elements targeted by the project will increase to an estimated 2,575 ha.</w:t>
      </w:r>
    </w:p>
    <w:p w14:paraId="0BD09E4E" w14:textId="77777777" w:rsidR="00BC7929" w:rsidRPr="005516CD" w:rsidRDefault="00EE6DBB" w:rsidP="006B27F4">
      <w:pPr>
        <w:pStyle w:val="ListParagraph"/>
        <w:keepNext/>
        <w:numPr>
          <w:ilvl w:val="2"/>
          <w:numId w:val="116"/>
        </w:numPr>
        <w:tabs>
          <w:tab w:val="left" w:pos="426"/>
        </w:tabs>
        <w:spacing w:after="120"/>
        <w:ind w:left="425" w:right="96" w:hanging="425"/>
        <w:jc w:val="both"/>
        <w:rPr>
          <w:rFonts w:asciiTheme="majorHAnsi" w:hAnsiTheme="majorHAnsi" w:cstheme="majorHAnsi"/>
          <w:i/>
          <w:sz w:val="20"/>
          <w:szCs w:val="20"/>
        </w:rPr>
      </w:pPr>
      <w:r w:rsidRPr="005516CD">
        <w:rPr>
          <w:rFonts w:asciiTheme="majorHAnsi" w:hAnsiTheme="majorHAnsi" w:cstheme="majorHAnsi"/>
          <w:i/>
          <w:sz w:val="20"/>
          <w:szCs w:val="20"/>
        </w:rPr>
        <w:t>I</w:t>
      </w:r>
      <w:r w:rsidR="00BC7929" w:rsidRPr="005516CD">
        <w:rPr>
          <w:rFonts w:asciiTheme="majorHAnsi" w:hAnsiTheme="majorHAnsi" w:cstheme="majorHAnsi"/>
          <w:i/>
          <w:sz w:val="20"/>
          <w:szCs w:val="20"/>
        </w:rPr>
        <w:t>mproved capacities</w:t>
      </w:r>
      <w:r w:rsidRPr="005516CD">
        <w:rPr>
          <w:rFonts w:asciiTheme="majorHAnsi" w:hAnsiTheme="majorHAnsi" w:cstheme="majorHAnsi"/>
          <w:i/>
          <w:sz w:val="20"/>
          <w:szCs w:val="20"/>
        </w:rPr>
        <w:t xml:space="preserve"> for adding value to the products of trees and tree-based management systems</w:t>
      </w:r>
    </w:p>
    <w:p w14:paraId="5D55C4A4" w14:textId="77777777" w:rsidR="00BC7929" w:rsidRPr="005516CD" w:rsidRDefault="00BC792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eastAsia="Calibri" w:hAnsiTheme="majorHAnsi" w:cstheme="majorHAnsi"/>
          <w:sz w:val="20"/>
          <w:szCs w:val="20"/>
        </w:rPr>
        <w:t xml:space="preserve">Project support aimed at helping farm families to generate income from trees and </w:t>
      </w:r>
      <w:r w:rsidR="00EE6DBB" w:rsidRPr="005516CD">
        <w:rPr>
          <w:rFonts w:asciiTheme="majorHAnsi" w:eastAsia="Calibri" w:hAnsiTheme="majorHAnsi" w:cstheme="majorHAnsi"/>
          <w:sz w:val="20"/>
          <w:szCs w:val="20"/>
        </w:rPr>
        <w:t xml:space="preserve">tree-based </w:t>
      </w:r>
      <w:r w:rsidRPr="005516CD">
        <w:rPr>
          <w:rFonts w:asciiTheme="majorHAnsi" w:eastAsia="Calibri" w:hAnsiTheme="majorHAnsi" w:cstheme="majorHAnsi"/>
          <w:sz w:val="20"/>
          <w:szCs w:val="20"/>
        </w:rPr>
        <w:t xml:space="preserve">management systems will include </w:t>
      </w:r>
      <w:r w:rsidRPr="005516CD">
        <w:rPr>
          <w:rFonts w:asciiTheme="majorHAnsi" w:hAnsiTheme="majorHAnsi" w:cstheme="majorHAnsi"/>
          <w:sz w:val="20"/>
          <w:szCs w:val="20"/>
        </w:rPr>
        <w:t>the</w:t>
      </w:r>
      <w:r w:rsidRPr="005516CD">
        <w:rPr>
          <w:rFonts w:asciiTheme="majorHAnsi" w:eastAsia="Calibri" w:hAnsiTheme="majorHAnsi" w:cstheme="majorHAnsi"/>
          <w:sz w:val="20"/>
          <w:szCs w:val="20"/>
        </w:rPr>
        <w:t xml:space="preserve"> </w:t>
      </w:r>
      <w:r w:rsidR="00EE6DBB" w:rsidRPr="005516CD">
        <w:rPr>
          <w:rFonts w:asciiTheme="majorHAnsi" w:eastAsia="Calibri" w:hAnsiTheme="majorHAnsi" w:cstheme="majorHAnsi"/>
          <w:sz w:val="20"/>
          <w:szCs w:val="20"/>
        </w:rPr>
        <w:t>provis</w:t>
      </w:r>
      <w:r w:rsidRPr="005516CD">
        <w:rPr>
          <w:rFonts w:asciiTheme="majorHAnsi" w:eastAsia="Calibri" w:hAnsiTheme="majorHAnsi" w:cstheme="majorHAnsi"/>
          <w:sz w:val="20"/>
          <w:szCs w:val="20"/>
        </w:rPr>
        <w:t>i</w:t>
      </w:r>
      <w:r w:rsidR="00EE6DBB" w:rsidRPr="005516CD">
        <w:rPr>
          <w:rFonts w:asciiTheme="majorHAnsi" w:eastAsia="Calibri" w:hAnsiTheme="majorHAnsi" w:cstheme="majorHAnsi"/>
          <w:sz w:val="20"/>
          <w:szCs w:val="20"/>
        </w:rPr>
        <w:t>o</w:t>
      </w:r>
      <w:r w:rsidRPr="005516CD">
        <w:rPr>
          <w:rFonts w:asciiTheme="majorHAnsi" w:eastAsia="Calibri" w:hAnsiTheme="majorHAnsi" w:cstheme="majorHAnsi"/>
          <w:sz w:val="20"/>
          <w:szCs w:val="20"/>
        </w:rPr>
        <w:t>n</w:t>
      </w:r>
      <w:r w:rsidR="00EE6DBB" w:rsidRPr="005516CD">
        <w:rPr>
          <w:rFonts w:asciiTheme="majorHAnsi" w:eastAsia="Calibri" w:hAnsiTheme="majorHAnsi" w:cstheme="majorHAnsi"/>
          <w:sz w:val="20"/>
          <w:szCs w:val="20"/>
        </w:rPr>
        <w:t xml:space="preserve"> of in</w:t>
      </w:r>
      <w:r w:rsidRPr="005516CD">
        <w:rPr>
          <w:rFonts w:asciiTheme="majorHAnsi" w:eastAsia="Calibri" w:hAnsiTheme="majorHAnsi" w:cstheme="majorHAnsi"/>
          <w:sz w:val="20"/>
          <w:szCs w:val="20"/>
        </w:rPr>
        <w:t xml:space="preserve">itial </w:t>
      </w:r>
      <w:r w:rsidRPr="005516CD">
        <w:rPr>
          <w:rFonts w:asciiTheme="majorHAnsi" w:hAnsiTheme="majorHAnsi" w:cstheme="majorHAnsi"/>
          <w:sz w:val="20"/>
          <w:szCs w:val="20"/>
        </w:rPr>
        <w:t>investment</w:t>
      </w:r>
      <w:r w:rsidRPr="005516CD">
        <w:rPr>
          <w:rFonts w:asciiTheme="majorHAnsi" w:eastAsia="Calibri" w:hAnsiTheme="majorHAnsi" w:cstheme="majorHAnsi"/>
          <w:sz w:val="20"/>
          <w:szCs w:val="20"/>
        </w:rPr>
        <w:t>, training and advisory support for the establishment and management of s</w:t>
      </w:r>
      <w:r w:rsidRPr="005516CD">
        <w:rPr>
          <w:rFonts w:asciiTheme="majorHAnsi" w:hAnsiTheme="majorHAnsi" w:cstheme="majorHAnsi"/>
          <w:sz w:val="20"/>
          <w:szCs w:val="20"/>
        </w:rPr>
        <w:t xml:space="preserve">mall-scale processing facilities managed by farmers and community organizations, especially women. </w:t>
      </w:r>
      <w:r w:rsidR="004D2560" w:rsidRPr="005516CD">
        <w:rPr>
          <w:rFonts w:asciiTheme="majorHAnsi" w:hAnsiTheme="majorHAnsi" w:cstheme="majorHAnsi"/>
          <w:sz w:val="20"/>
          <w:szCs w:val="20"/>
        </w:rPr>
        <w:t>The potential of a range of such products is analysed in Section III.</w:t>
      </w:r>
    </w:p>
    <w:p w14:paraId="3E65AB29" w14:textId="77777777" w:rsidR="00C31DB7" w:rsidRPr="005516CD" w:rsidRDefault="00C31DB7" w:rsidP="00F12340">
      <w:pPr>
        <w:pStyle w:val="Heading6"/>
        <w:keepNext/>
        <w:spacing w:before="120" w:after="120"/>
        <w:rPr>
          <w:rFonts w:asciiTheme="majorHAnsi" w:eastAsia="Calibri" w:hAnsiTheme="majorHAnsi" w:cstheme="majorHAnsi"/>
          <w:b/>
          <w:i w:val="0"/>
          <w:sz w:val="20"/>
          <w:lang w:val="en-US"/>
        </w:rPr>
      </w:pPr>
      <w:r w:rsidRPr="005516CD">
        <w:rPr>
          <w:rFonts w:asciiTheme="majorHAnsi" w:eastAsia="Calibri" w:hAnsiTheme="majorHAnsi" w:cstheme="majorHAnsi"/>
          <w:b/>
          <w:i w:val="0"/>
          <w:sz w:val="20"/>
          <w:u w:val="single"/>
          <w:lang w:val="en-US"/>
        </w:rPr>
        <w:t>Component 3:</w:t>
      </w:r>
      <w:r w:rsidRPr="005516CD">
        <w:rPr>
          <w:rFonts w:asciiTheme="majorHAnsi" w:eastAsia="Calibri" w:hAnsiTheme="majorHAnsi" w:cstheme="majorHAnsi"/>
          <w:b/>
          <w:i w:val="0"/>
          <w:sz w:val="20"/>
          <w:lang w:val="en-US"/>
        </w:rPr>
        <w:t xml:space="preserve"> Knowledge management and learning</w:t>
      </w:r>
    </w:p>
    <w:p w14:paraId="7C535402" w14:textId="7EE4B864" w:rsidR="00700E4A" w:rsidRPr="001B64D1" w:rsidRDefault="00700E4A" w:rsidP="00700E4A">
      <w:pPr>
        <w:pStyle w:val="Heading7"/>
        <w:keepNext/>
        <w:numPr>
          <w:ilvl w:val="0"/>
          <w:numId w:val="87"/>
        </w:numPr>
        <w:tabs>
          <w:tab w:val="clear" w:pos="720"/>
          <w:tab w:val="left" w:pos="426"/>
        </w:tabs>
        <w:spacing w:before="0"/>
        <w:ind w:left="0" w:firstLine="0"/>
        <w:rPr>
          <w:rFonts w:asciiTheme="majorHAnsi" w:hAnsiTheme="majorHAnsi" w:cstheme="majorHAnsi"/>
          <w:highlight w:val="cyan"/>
        </w:rPr>
      </w:pPr>
      <w:r w:rsidRPr="001B64D1">
        <w:rPr>
          <w:rFonts w:asciiTheme="majorHAnsi" w:hAnsiTheme="majorHAnsi" w:cstheme="majorHAnsi"/>
          <w:highlight w:val="cyan"/>
        </w:rPr>
        <w:t>This outcome will be implemented by UNDP taking advantage of its Green Commodities Programme, which connects commodity practitioners around the world and provides a safe space for them to share their knowledge and experience. Through this programme, UNDP helps building knowledge across a wide range of online and in-person activities and with representation of 12 commodity-producing countries, 30 organizations and 8 different agricultural and marine commodities. the Green Commodities Community works to increase and enhance connectivity among its members, creating a global network of changemakers, and to promote robust multi-stakeholder dialogue for systemic change.</w:t>
      </w:r>
    </w:p>
    <w:p w14:paraId="5D6406BB" w14:textId="33526E04" w:rsidR="00C31DB7" w:rsidRPr="005516CD" w:rsidRDefault="00F12340" w:rsidP="00F12340">
      <w:pPr>
        <w:pStyle w:val="Heading7"/>
        <w:keepNext/>
        <w:spacing w:before="0"/>
        <w:ind w:left="0"/>
        <w:rPr>
          <w:rFonts w:asciiTheme="majorHAnsi" w:hAnsiTheme="majorHAnsi" w:cstheme="majorHAnsi"/>
          <w:b/>
          <w:i/>
        </w:rPr>
      </w:pPr>
      <w:r w:rsidRPr="005516CD">
        <w:rPr>
          <w:rFonts w:asciiTheme="majorHAnsi" w:hAnsiTheme="majorHAnsi" w:cstheme="majorHAnsi"/>
          <w:b/>
          <w:i/>
        </w:rPr>
        <w:t xml:space="preserve">Output </w:t>
      </w:r>
      <w:r w:rsidR="00C31DB7" w:rsidRPr="005516CD">
        <w:rPr>
          <w:rFonts w:asciiTheme="majorHAnsi" w:hAnsiTheme="majorHAnsi" w:cstheme="majorHAnsi"/>
          <w:b/>
          <w:i/>
        </w:rPr>
        <w:t>3.1 Knowledge management and dissemination/scaling up strategy</w:t>
      </w:r>
    </w:p>
    <w:p w14:paraId="61630EAC" w14:textId="77777777" w:rsidR="003D4B5C" w:rsidRPr="005516CD" w:rsidRDefault="00C31DB7" w:rsidP="00804EBE">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 xml:space="preserve"> In order to maximise the impact of the project, a strong emphasis will be placed on scaling up. To this end, a knowledge management strategy will be formulated and implemented, providing for the systematization of lessons learned and their effective dissemination, resulting in improvements to policies, approaches and enabling conditions at national level as well as replication at local level elsewhere in the country where suitable and comparable conditions exist. </w:t>
      </w:r>
      <w:r w:rsidR="00A907BB" w:rsidRPr="005516CD">
        <w:rPr>
          <w:rFonts w:asciiTheme="majorHAnsi" w:hAnsiTheme="majorHAnsi" w:cstheme="majorHAnsi"/>
          <w:color w:val="000000" w:themeColor="text1"/>
          <w:sz w:val="20"/>
          <w:szCs w:val="20"/>
        </w:rPr>
        <w:t>L</w:t>
      </w:r>
      <w:r w:rsidR="00104562" w:rsidRPr="005516CD">
        <w:rPr>
          <w:rFonts w:asciiTheme="majorHAnsi" w:hAnsiTheme="majorHAnsi" w:cstheme="majorHAnsi"/>
          <w:color w:val="000000" w:themeColor="text1"/>
          <w:sz w:val="20"/>
          <w:szCs w:val="20"/>
        </w:rPr>
        <w:t xml:space="preserve">essons </w:t>
      </w:r>
      <w:r w:rsidR="00A907BB" w:rsidRPr="005516CD">
        <w:rPr>
          <w:rFonts w:asciiTheme="majorHAnsi" w:hAnsiTheme="majorHAnsi" w:cstheme="majorHAnsi"/>
          <w:color w:val="000000" w:themeColor="text1"/>
          <w:sz w:val="20"/>
          <w:szCs w:val="20"/>
        </w:rPr>
        <w:t xml:space="preserve">and experiences </w:t>
      </w:r>
      <w:r w:rsidR="00104562" w:rsidRPr="005516CD">
        <w:rPr>
          <w:rFonts w:asciiTheme="majorHAnsi" w:hAnsiTheme="majorHAnsi" w:cstheme="majorHAnsi"/>
          <w:color w:val="000000" w:themeColor="text1"/>
          <w:sz w:val="20"/>
          <w:szCs w:val="20"/>
        </w:rPr>
        <w:t xml:space="preserve">will also be </w:t>
      </w:r>
      <w:r w:rsidR="00A907BB" w:rsidRPr="005516CD">
        <w:rPr>
          <w:rFonts w:asciiTheme="majorHAnsi" w:hAnsiTheme="majorHAnsi" w:cstheme="majorHAnsi"/>
          <w:color w:val="000000" w:themeColor="text1"/>
          <w:sz w:val="20"/>
          <w:szCs w:val="20"/>
        </w:rPr>
        <w:t xml:space="preserve">interchanged as relevant </w:t>
      </w:r>
      <w:r w:rsidR="00104562" w:rsidRPr="005516CD">
        <w:rPr>
          <w:rFonts w:asciiTheme="majorHAnsi" w:hAnsiTheme="majorHAnsi" w:cstheme="majorHAnsi"/>
          <w:color w:val="000000" w:themeColor="text1"/>
          <w:sz w:val="20"/>
          <w:szCs w:val="20"/>
        </w:rPr>
        <w:t>with other countries in the region, particularly others that form part of the Caribbean Biological Corridor (such as Cuba and the Dominican Republic).</w:t>
      </w:r>
      <w:r w:rsidR="003D4B5C" w:rsidRPr="005516CD">
        <w:t xml:space="preserve"> </w:t>
      </w:r>
      <w:r w:rsidR="00780E49" w:rsidRPr="005516CD">
        <w:rPr>
          <w:rFonts w:asciiTheme="majorHAnsi" w:hAnsiTheme="majorHAnsi" w:cstheme="majorHAnsi"/>
          <w:color w:val="000000" w:themeColor="text1"/>
          <w:sz w:val="20"/>
          <w:szCs w:val="20"/>
        </w:rPr>
        <w:t>The</w:t>
      </w:r>
      <w:r w:rsidR="003D4B5C" w:rsidRPr="005516CD">
        <w:rPr>
          <w:rFonts w:asciiTheme="majorHAnsi" w:hAnsiTheme="majorHAnsi" w:cstheme="majorHAnsi"/>
          <w:color w:val="000000" w:themeColor="text1"/>
          <w:sz w:val="20"/>
          <w:szCs w:val="20"/>
        </w:rPr>
        <w:t xml:space="preserve"> decision support framework developed by FAO and WOCAT </w:t>
      </w:r>
      <w:r w:rsidR="00780E49" w:rsidRPr="005516CD">
        <w:rPr>
          <w:rFonts w:asciiTheme="majorHAnsi" w:hAnsiTheme="majorHAnsi" w:cstheme="majorHAnsi"/>
          <w:color w:val="000000" w:themeColor="text1"/>
          <w:sz w:val="20"/>
          <w:szCs w:val="20"/>
        </w:rPr>
        <w:t>can help promoting scaling up of SLM and contribute to land degradation neutrality</w:t>
      </w:r>
      <w:r w:rsidR="003D4B5C" w:rsidRPr="005516CD">
        <w:rPr>
          <w:rFonts w:asciiTheme="majorHAnsi" w:hAnsiTheme="majorHAnsi" w:cstheme="majorHAnsi"/>
          <w:color w:val="000000" w:themeColor="text1"/>
          <w:sz w:val="20"/>
          <w:szCs w:val="20"/>
        </w:rPr>
        <w:t>.</w:t>
      </w:r>
    </w:p>
    <w:p w14:paraId="3036B50D" w14:textId="77777777" w:rsidR="00C31DB7" w:rsidRPr="005516CD" w:rsidRDefault="00F12340" w:rsidP="00F12340">
      <w:pPr>
        <w:pStyle w:val="Heading7"/>
        <w:keepNext/>
        <w:spacing w:before="0"/>
        <w:ind w:left="0"/>
        <w:rPr>
          <w:rFonts w:asciiTheme="majorHAnsi" w:hAnsiTheme="majorHAnsi" w:cstheme="majorHAnsi"/>
          <w:b/>
          <w:i/>
        </w:rPr>
      </w:pPr>
      <w:r w:rsidRPr="005516CD">
        <w:rPr>
          <w:rFonts w:asciiTheme="majorHAnsi" w:hAnsiTheme="majorHAnsi" w:cstheme="majorHAnsi"/>
          <w:b/>
          <w:i/>
        </w:rPr>
        <w:t xml:space="preserve">Output </w:t>
      </w:r>
      <w:r w:rsidR="00610781" w:rsidRPr="005516CD">
        <w:rPr>
          <w:rFonts w:asciiTheme="majorHAnsi" w:hAnsiTheme="majorHAnsi" w:cstheme="majorHAnsi"/>
          <w:b/>
          <w:i/>
        </w:rPr>
        <w:t xml:space="preserve">3.2 Communication strategy </w:t>
      </w:r>
    </w:p>
    <w:p w14:paraId="3DCC8206" w14:textId="77777777" w:rsidR="00181A67" w:rsidRPr="005516CD" w:rsidRDefault="004D2560"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A communication strategy will be developed and applied, including provisions to ensure that project objectives, concepts, principles and progress are effectively communicated to all key stakeholder categories. The specific provisions of the strategy will be defined on the basis of an in-depth analysis of the characteristics and needs of the different target groups at project start-up. </w:t>
      </w:r>
    </w:p>
    <w:p w14:paraId="69A4F2E6" w14:textId="77777777" w:rsidR="004D2560" w:rsidRPr="005516CD" w:rsidRDefault="004D2560" w:rsidP="006B27F4">
      <w:pPr>
        <w:numPr>
          <w:ilvl w:val="0"/>
          <w:numId w:val="87"/>
        </w:numPr>
        <w:tabs>
          <w:tab w:val="clear" w:pos="720"/>
          <w:tab w:val="num" w:pos="-284"/>
          <w:tab w:val="left" w:pos="426"/>
        </w:tabs>
        <w:spacing w:after="120"/>
        <w:ind w:left="0" w:right="96" w:firstLine="0"/>
        <w:jc w:val="both"/>
        <w:rPr>
          <w:rFonts w:asciiTheme="majorHAnsi" w:eastAsia="Calibri" w:hAnsiTheme="majorHAnsi" w:cstheme="majorHAnsi"/>
          <w:sz w:val="20"/>
          <w:szCs w:val="20"/>
        </w:rPr>
      </w:pPr>
      <w:r w:rsidRPr="005516CD">
        <w:rPr>
          <w:rFonts w:asciiTheme="majorHAnsi" w:eastAsia="Calibri" w:hAnsiTheme="majorHAnsi" w:cstheme="majorHAnsi"/>
          <w:sz w:val="20"/>
          <w:szCs w:val="20"/>
        </w:rPr>
        <w:t xml:space="preserve">Messages of particular importance to be covered by the strategy will include, for example, the </w:t>
      </w:r>
      <w:r w:rsidR="00181A67" w:rsidRPr="005516CD">
        <w:rPr>
          <w:rFonts w:asciiTheme="majorHAnsi" w:eastAsia="Calibri" w:hAnsiTheme="majorHAnsi" w:cstheme="majorHAnsi"/>
          <w:sz w:val="20"/>
          <w:szCs w:val="20"/>
        </w:rPr>
        <w:t>benefits of tree-based production systems for climate change resilience and livelihood sustainability, the importance of biodiversity for maintaining functioning ecosystems and productive sustainability, the net economic benefits of productive diversification, and the existence and potential of green value chains</w:t>
      </w:r>
      <w:r w:rsidR="006D377A" w:rsidRPr="005516CD">
        <w:rPr>
          <w:rFonts w:asciiTheme="majorHAnsi" w:eastAsia="Calibri" w:hAnsiTheme="majorHAnsi" w:cstheme="majorHAnsi"/>
          <w:sz w:val="20"/>
          <w:szCs w:val="20"/>
        </w:rPr>
        <w:t xml:space="preserve"> – providing value chain actors, especially smallholder farmers and </w:t>
      </w:r>
      <w:r w:rsidR="001C5382" w:rsidRPr="005516CD">
        <w:rPr>
          <w:rFonts w:asciiTheme="majorHAnsi" w:eastAsia="Calibri" w:hAnsiTheme="majorHAnsi" w:cstheme="majorHAnsi"/>
          <w:sz w:val="20"/>
          <w:szCs w:val="20"/>
        </w:rPr>
        <w:t>small and medium-sized enterprises (</w:t>
      </w:r>
      <w:r w:rsidR="006D377A" w:rsidRPr="005516CD">
        <w:rPr>
          <w:rFonts w:asciiTheme="majorHAnsi" w:eastAsia="Calibri" w:hAnsiTheme="majorHAnsi" w:cstheme="majorHAnsi"/>
          <w:sz w:val="20"/>
          <w:szCs w:val="20"/>
        </w:rPr>
        <w:t>SMEs</w:t>
      </w:r>
      <w:r w:rsidR="001C5382" w:rsidRPr="005516CD">
        <w:rPr>
          <w:rFonts w:asciiTheme="majorHAnsi" w:eastAsia="Calibri" w:hAnsiTheme="majorHAnsi" w:cstheme="majorHAnsi"/>
          <w:sz w:val="20"/>
          <w:szCs w:val="20"/>
        </w:rPr>
        <w:t>)</w:t>
      </w:r>
      <w:r w:rsidR="006D377A" w:rsidRPr="005516CD">
        <w:rPr>
          <w:rFonts w:asciiTheme="majorHAnsi" w:eastAsia="Calibri" w:hAnsiTheme="majorHAnsi" w:cstheme="majorHAnsi"/>
          <w:sz w:val="20"/>
          <w:szCs w:val="20"/>
        </w:rPr>
        <w:t xml:space="preserve">, with the awareness, knowledge, technology and expertise required to make the move towards sustainable and resilient value chains, as well as developing communication systems and networks (including education and media) that allow information and knowledge to be strengthened, harmonized and shared, as well as progress to be monitored. Information supply is one of the central pillars on which the promotion and scaling up of environmentally sustainable and resilient value chains depends. </w:t>
      </w:r>
    </w:p>
    <w:p w14:paraId="78074FC5" w14:textId="77777777" w:rsidR="00C31DB7" w:rsidRPr="005516CD" w:rsidRDefault="00F12340" w:rsidP="00F12340">
      <w:pPr>
        <w:pStyle w:val="Heading7"/>
        <w:keepNext/>
        <w:spacing w:before="0"/>
        <w:ind w:left="0"/>
        <w:rPr>
          <w:rFonts w:asciiTheme="majorHAnsi" w:hAnsiTheme="majorHAnsi" w:cstheme="majorHAnsi"/>
          <w:b/>
          <w:i/>
        </w:rPr>
      </w:pPr>
      <w:r w:rsidRPr="005516CD">
        <w:rPr>
          <w:rFonts w:asciiTheme="majorHAnsi" w:hAnsiTheme="majorHAnsi" w:cstheme="majorHAnsi"/>
          <w:b/>
          <w:i/>
        </w:rPr>
        <w:t xml:space="preserve">Output </w:t>
      </w:r>
      <w:r w:rsidR="00C31DB7" w:rsidRPr="005516CD">
        <w:rPr>
          <w:rFonts w:asciiTheme="majorHAnsi" w:hAnsiTheme="majorHAnsi" w:cstheme="majorHAnsi"/>
          <w:b/>
          <w:i/>
        </w:rPr>
        <w:t>3.</w:t>
      </w:r>
      <w:r w:rsidR="00610781" w:rsidRPr="005516CD">
        <w:rPr>
          <w:rFonts w:asciiTheme="majorHAnsi" w:hAnsiTheme="majorHAnsi" w:cstheme="majorHAnsi"/>
          <w:b/>
          <w:i/>
        </w:rPr>
        <w:t>3</w:t>
      </w:r>
      <w:r w:rsidR="00C31DB7" w:rsidRPr="005516CD">
        <w:rPr>
          <w:rFonts w:asciiTheme="majorHAnsi" w:hAnsiTheme="majorHAnsi" w:cstheme="majorHAnsi"/>
          <w:b/>
          <w:i/>
        </w:rPr>
        <w:t xml:space="preserve"> Monitoring and evaluation strategy</w:t>
      </w:r>
    </w:p>
    <w:p w14:paraId="4B8C4030" w14:textId="77777777" w:rsidR="00C31DB7" w:rsidRPr="005516CD" w:rsidRDefault="00C31DB7" w:rsidP="006B27F4">
      <w:pPr>
        <w:numPr>
          <w:ilvl w:val="0"/>
          <w:numId w:val="87"/>
        </w:numPr>
        <w:tabs>
          <w:tab w:val="clear" w:pos="720"/>
          <w:tab w:val="num" w:pos="-284"/>
          <w:tab w:val="left" w:pos="426"/>
        </w:tabs>
        <w:spacing w:after="120"/>
        <w:ind w:left="0" w:right="96" w:firstLine="0"/>
        <w:jc w:val="both"/>
        <w:rPr>
          <w:rStyle w:val="Hyperlink2"/>
          <w:rFonts w:asciiTheme="majorHAnsi" w:hAnsiTheme="majorHAnsi" w:cstheme="majorHAnsi"/>
          <w:sz w:val="20"/>
          <w:szCs w:val="20"/>
          <w:lang w:val="en-US"/>
        </w:rPr>
      </w:pPr>
      <w:r w:rsidRPr="005516CD">
        <w:rPr>
          <w:rFonts w:asciiTheme="majorHAnsi" w:hAnsiTheme="majorHAnsi" w:cstheme="majorHAnsi"/>
          <w:sz w:val="20"/>
          <w:szCs w:val="20"/>
        </w:rPr>
        <w:t xml:space="preserve">Project indicators will be confirmed and quantified during the PPG phase, together with a plan for their measurement and an M&amp;E plan. These will be validated during project </w:t>
      </w:r>
      <w:proofErr w:type="gramStart"/>
      <w:r w:rsidRPr="005516CD">
        <w:rPr>
          <w:rFonts w:asciiTheme="majorHAnsi" w:hAnsiTheme="majorHAnsi" w:cstheme="majorHAnsi"/>
          <w:sz w:val="20"/>
          <w:szCs w:val="20"/>
        </w:rPr>
        <w:t>inception, and</w:t>
      </w:r>
      <w:proofErr w:type="gramEnd"/>
      <w:r w:rsidRPr="005516CD">
        <w:rPr>
          <w:rFonts w:asciiTheme="majorHAnsi" w:hAnsiTheme="majorHAnsi" w:cstheme="majorHAnsi"/>
          <w:sz w:val="20"/>
          <w:szCs w:val="20"/>
        </w:rPr>
        <w:t xml:space="preserve"> developed into a comprehensive M&amp;E strategy during the first months of the implementation phase, to ensure that the project is managed in an informed, adaptive and effective manner.</w:t>
      </w:r>
    </w:p>
    <w:p w14:paraId="5E874295" w14:textId="77777777" w:rsidR="001771FE" w:rsidRPr="005516CD" w:rsidRDefault="00045B04" w:rsidP="0070118F">
      <w:pPr>
        <w:pStyle w:val="Heading2"/>
        <w:spacing w:before="240" w:after="0"/>
        <w:ind w:left="0"/>
        <w:rPr>
          <w:rStyle w:val="None"/>
          <w:rFonts w:ascii="Calibri" w:eastAsia="Calibri" w:hAnsi="Calibri" w:cs="Calibri"/>
        </w:rPr>
      </w:pPr>
      <w:bookmarkStart w:id="64" w:name="_Toc8933089"/>
      <w:r w:rsidRPr="005516CD">
        <w:rPr>
          <w:rStyle w:val="None"/>
          <w:rFonts w:ascii="Calibri" w:eastAsia="Calibri" w:hAnsi="Calibri" w:cs="Calibri"/>
          <w:lang w:val="en-US"/>
        </w:rPr>
        <w:t>Partnerships:</w:t>
      </w:r>
      <w:bookmarkEnd w:id="64"/>
      <w:r w:rsidRPr="005516CD">
        <w:rPr>
          <w:rStyle w:val="None"/>
          <w:rFonts w:ascii="Calibri" w:eastAsia="Calibri" w:hAnsi="Calibri" w:cs="Calibri"/>
          <w:lang w:val="en-US"/>
        </w:rPr>
        <w:t xml:space="preserve">    </w:t>
      </w:r>
    </w:p>
    <w:p w14:paraId="05B3174F" w14:textId="06E752C4" w:rsidR="00216185" w:rsidRPr="005516CD" w:rsidRDefault="00A76869"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2"/>
        </w:rPr>
      </w:pPr>
      <w:bookmarkStart w:id="65" w:name="_Hlk13476639"/>
      <w:r>
        <w:rPr>
          <w:rFonts w:asciiTheme="majorHAnsi" w:hAnsiTheme="majorHAnsi" w:cstheme="majorHAnsi"/>
          <w:sz w:val="20"/>
          <w:szCs w:val="22"/>
        </w:rPr>
        <w:t>T</w:t>
      </w:r>
      <w:r w:rsidR="00216185" w:rsidRPr="005516CD">
        <w:rPr>
          <w:rFonts w:asciiTheme="majorHAnsi" w:hAnsiTheme="majorHAnsi" w:cstheme="majorHAnsi"/>
          <w:sz w:val="20"/>
          <w:szCs w:val="22"/>
        </w:rPr>
        <w:t>here will be significant opportunities for coordination and complementarity between th</w:t>
      </w:r>
      <w:r w:rsidR="00744657">
        <w:rPr>
          <w:rFonts w:asciiTheme="majorHAnsi" w:hAnsiTheme="majorHAnsi" w:cstheme="majorHAnsi"/>
          <w:sz w:val="20"/>
          <w:szCs w:val="22"/>
        </w:rPr>
        <w:t xml:space="preserve">is </w:t>
      </w:r>
      <w:r w:rsidR="00216185" w:rsidRPr="005516CD">
        <w:rPr>
          <w:rFonts w:asciiTheme="majorHAnsi" w:hAnsiTheme="majorHAnsi" w:cstheme="majorHAnsi"/>
          <w:sz w:val="20"/>
          <w:szCs w:val="22"/>
        </w:rPr>
        <w:t>project</w:t>
      </w:r>
      <w:r w:rsidR="00744657">
        <w:rPr>
          <w:rFonts w:asciiTheme="majorHAnsi" w:hAnsiTheme="majorHAnsi" w:cstheme="majorHAnsi"/>
          <w:sz w:val="20"/>
          <w:szCs w:val="22"/>
        </w:rPr>
        <w:t xml:space="preserve"> and the </w:t>
      </w:r>
      <w:r w:rsidR="00744657" w:rsidRPr="005516CD">
        <w:rPr>
          <w:rFonts w:asciiTheme="majorHAnsi" w:hAnsiTheme="majorHAnsi" w:cstheme="majorHAnsi"/>
          <w:color w:val="000000"/>
          <w:sz w:val="20"/>
          <w:szCs w:val="22"/>
        </w:rPr>
        <w:t>CCA/BD project 5380 “</w:t>
      </w:r>
      <w:r w:rsidR="00744657" w:rsidRPr="005516CD">
        <w:rPr>
          <w:rFonts w:asciiTheme="majorHAnsi" w:hAnsiTheme="majorHAnsi" w:cstheme="majorHAnsi"/>
          <w:b/>
          <w:color w:val="000000"/>
          <w:sz w:val="20"/>
          <w:szCs w:val="22"/>
        </w:rPr>
        <w:t xml:space="preserve">Increasing Resilience </w:t>
      </w:r>
      <w:r w:rsidR="00744657" w:rsidRPr="005516CD">
        <w:rPr>
          <w:rFonts w:asciiTheme="majorHAnsi" w:hAnsiTheme="majorHAnsi" w:cstheme="majorHAnsi"/>
          <w:b/>
          <w:sz w:val="20"/>
          <w:szCs w:val="22"/>
        </w:rPr>
        <w:t>of</w:t>
      </w:r>
      <w:r w:rsidR="00744657" w:rsidRPr="005516CD">
        <w:rPr>
          <w:rFonts w:asciiTheme="majorHAnsi" w:hAnsiTheme="majorHAnsi" w:cstheme="majorHAnsi"/>
          <w:b/>
          <w:color w:val="000000"/>
          <w:sz w:val="20"/>
          <w:szCs w:val="22"/>
        </w:rPr>
        <w:t xml:space="preserve"> Ecosystems and </w:t>
      </w:r>
      <w:r w:rsidR="00744657" w:rsidRPr="005516CD">
        <w:rPr>
          <w:rFonts w:asciiTheme="majorHAnsi" w:hAnsiTheme="majorHAnsi" w:cstheme="majorHAnsi"/>
          <w:b/>
          <w:sz w:val="20"/>
          <w:szCs w:val="22"/>
        </w:rPr>
        <w:t>Vulnerable</w:t>
      </w:r>
      <w:r w:rsidR="00744657" w:rsidRPr="005516CD">
        <w:rPr>
          <w:rFonts w:asciiTheme="majorHAnsi" w:hAnsiTheme="majorHAnsi" w:cstheme="majorHAnsi"/>
          <w:b/>
          <w:color w:val="000000"/>
          <w:sz w:val="20"/>
          <w:szCs w:val="22"/>
        </w:rPr>
        <w:t xml:space="preserve"> Communities to CC and Anthropic Threats Through a Ridge to Reef Approach to BD Conservation and Watershed Management”</w:t>
      </w:r>
      <w:r w:rsidR="00744657">
        <w:rPr>
          <w:rFonts w:asciiTheme="majorHAnsi" w:hAnsiTheme="majorHAnsi" w:cstheme="majorHAnsi"/>
          <w:b/>
          <w:color w:val="000000"/>
          <w:sz w:val="20"/>
          <w:szCs w:val="22"/>
        </w:rPr>
        <w:t>.</w:t>
      </w:r>
      <w:r w:rsidR="00744657">
        <w:rPr>
          <w:rFonts w:asciiTheme="majorHAnsi" w:hAnsiTheme="majorHAnsi" w:cstheme="majorHAnsi"/>
          <w:sz w:val="20"/>
          <w:szCs w:val="22"/>
        </w:rPr>
        <w:t xml:space="preserve"> </w:t>
      </w:r>
      <w:r w:rsidR="00216185" w:rsidRPr="005516CD">
        <w:rPr>
          <w:rFonts w:asciiTheme="majorHAnsi" w:hAnsiTheme="majorHAnsi" w:cstheme="majorHAnsi"/>
          <w:sz w:val="20"/>
          <w:szCs w:val="22"/>
        </w:rPr>
        <w:t xml:space="preserve">Lessons on resource management practices will be exchanged: this project will benefit from the lessons that will have been learned, by the time it starts, through Project 5380 in </w:t>
      </w:r>
      <w:r w:rsidR="00216185" w:rsidRPr="005516CD">
        <w:rPr>
          <w:rFonts w:asciiTheme="majorHAnsi" w:hAnsiTheme="majorHAnsi" w:cstheme="majorHAnsi"/>
          <w:sz w:val="20"/>
          <w:szCs w:val="20"/>
        </w:rPr>
        <w:t>relation</w:t>
      </w:r>
      <w:r w:rsidR="00216185" w:rsidRPr="005516CD">
        <w:rPr>
          <w:rFonts w:asciiTheme="majorHAnsi" w:hAnsiTheme="majorHAnsi" w:cstheme="majorHAnsi"/>
          <w:sz w:val="20"/>
          <w:szCs w:val="22"/>
        </w:rPr>
        <w:t xml:space="preserve"> to CC resilient production systems, and this project will then feed lessons on tree-based production systems into project 5380. The projects will also learn from each other in relation to interactions with community-based organizations and local and regional governments. The</w:t>
      </w:r>
      <w:r w:rsidR="00744657">
        <w:rPr>
          <w:rFonts w:asciiTheme="majorHAnsi" w:hAnsiTheme="majorHAnsi" w:cstheme="majorHAnsi"/>
          <w:sz w:val="20"/>
          <w:szCs w:val="22"/>
        </w:rPr>
        <w:t>re</w:t>
      </w:r>
      <w:r w:rsidR="00216185" w:rsidRPr="005516CD">
        <w:rPr>
          <w:rFonts w:asciiTheme="majorHAnsi" w:hAnsiTheme="majorHAnsi" w:cstheme="majorHAnsi"/>
          <w:sz w:val="20"/>
          <w:szCs w:val="22"/>
        </w:rPr>
        <w:t xml:space="preserve"> will be valuable opportunities for exchanges of lessons learned given that Project 5380 will operate in similar landscapes in the watershed of Grande Riviere du Nord and the watersheds draining into the Three Bays, which also include cocoa production areas.</w:t>
      </w:r>
    </w:p>
    <w:bookmarkEnd w:id="65"/>
    <w:p w14:paraId="4291D477" w14:textId="77777777" w:rsidR="00216185" w:rsidRPr="005516CD" w:rsidRDefault="0021618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2"/>
        </w:rPr>
      </w:pPr>
      <w:r w:rsidRPr="005516CD">
        <w:rPr>
          <w:rFonts w:asciiTheme="majorHAnsi" w:hAnsiTheme="majorHAnsi" w:cstheme="majorHAnsi"/>
          <w:sz w:val="20"/>
          <w:szCs w:val="22"/>
        </w:rPr>
        <w:t xml:space="preserve">The project </w:t>
      </w:r>
      <w:r w:rsidRPr="005516CD">
        <w:rPr>
          <w:rFonts w:asciiTheme="majorHAnsi" w:hAnsiTheme="majorHAnsi" w:cstheme="majorHAnsi"/>
          <w:sz w:val="20"/>
          <w:szCs w:val="20"/>
        </w:rPr>
        <w:t>will</w:t>
      </w:r>
      <w:r w:rsidRPr="005516CD">
        <w:rPr>
          <w:rFonts w:asciiTheme="majorHAnsi" w:hAnsiTheme="majorHAnsi" w:cstheme="majorHAnsi"/>
          <w:sz w:val="20"/>
          <w:szCs w:val="22"/>
        </w:rPr>
        <w:t xml:space="preserve"> coordinate, for example in the sharing of experiences and knowledge, the dissemination of information and lessons learnt, and the scaling-up of results, with the newly-approved </w:t>
      </w:r>
      <w:r w:rsidRPr="005516CD">
        <w:rPr>
          <w:rFonts w:asciiTheme="majorHAnsi" w:hAnsiTheme="majorHAnsi" w:cstheme="majorHAnsi"/>
          <w:b/>
          <w:sz w:val="20"/>
          <w:szCs w:val="22"/>
        </w:rPr>
        <w:t>World Bank GEF project “Resilient Productive Landscapes in Haiti</w:t>
      </w:r>
      <w:r w:rsidRPr="005516CD">
        <w:rPr>
          <w:rFonts w:asciiTheme="majorHAnsi" w:hAnsiTheme="majorHAnsi" w:cstheme="majorHAnsi"/>
          <w:sz w:val="20"/>
          <w:szCs w:val="22"/>
        </w:rPr>
        <w:t>”, which will target watersheds in other areas of the country. Details of collaboration will be defined during the PPG phases of this project and the World Bank one, which will largely coincide.</w:t>
      </w:r>
    </w:p>
    <w:p w14:paraId="6F90BDDB" w14:textId="77777777" w:rsidR="00216185" w:rsidRPr="005516CD" w:rsidRDefault="00216185"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2"/>
        </w:rPr>
      </w:pPr>
      <w:r w:rsidRPr="005516CD">
        <w:rPr>
          <w:rFonts w:asciiTheme="majorHAnsi" w:hAnsiTheme="majorHAnsi" w:cstheme="majorHAnsi"/>
          <w:sz w:val="20"/>
          <w:szCs w:val="22"/>
        </w:rPr>
        <w:t xml:space="preserve">The </w:t>
      </w:r>
      <w:r w:rsidRPr="001B64D1">
        <w:rPr>
          <w:rFonts w:asciiTheme="majorHAnsi" w:hAnsiTheme="majorHAnsi" w:cstheme="majorHAnsi"/>
          <w:b/>
          <w:sz w:val="20"/>
          <w:szCs w:val="22"/>
        </w:rPr>
        <w:t xml:space="preserve">GEF </w:t>
      </w:r>
      <w:r w:rsidRPr="005516CD">
        <w:rPr>
          <w:rFonts w:asciiTheme="majorHAnsi" w:hAnsiTheme="majorHAnsi" w:cstheme="majorHAnsi"/>
          <w:b/>
          <w:sz w:val="20"/>
        </w:rPr>
        <w:t xml:space="preserve">Small Grants Programme (SGP) </w:t>
      </w:r>
      <w:r w:rsidRPr="005516CD">
        <w:rPr>
          <w:rFonts w:asciiTheme="majorHAnsi" w:hAnsiTheme="majorHAnsi" w:cstheme="majorHAnsi"/>
          <w:sz w:val="20"/>
          <w:szCs w:val="22"/>
        </w:rPr>
        <w:t xml:space="preserve">in Haiti provides grants to NGOs and CBOs (Community-Based Organisations) in support of community-based initiatives that could contribute to the GEF focal areas on biological diversity, climate change, land degradation and international waters. The SGP is currently implementing 18 community projects in 5 departments: North-East, North, Artibonite, Plateau Central and South. It operates, with the support of </w:t>
      </w:r>
      <w:proofErr w:type="spellStart"/>
      <w:r w:rsidRPr="005516CD">
        <w:rPr>
          <w:rFonts w:asciiTheme="majorHAnsi" w:hAnsiTheme="majorHAnsi" w:cstheme="majorHAnsi"/>
          <w:sz w:val="20"/>
          <w:szCs w:val="22"/>
        </w:rPr>
        <w:t>AusAid</w:t>
      </w:r>
      <w:proofErr w:type="spellEnd"/>
      <w:r w:rsidRPr="005516CD">
        <w:rPr>
          <w:rFonts w:asciiTheme="majorHAnsi" w:hAnsiTheme="majorHAnsi" w:cstheme="majorHAnsi"/>
          <w:sz w:val="20"/>
          <w:szCs w:val="22"/>
        </w:rPr>
        <w:t>, the “Community-Based Adaptation to Climate Change Programme” with a view to improve adaptation capacity to climate change and climate variability through community measures capable of increasing resilience of livelihoods systems and ecosystems. Opportunities will be explored during the PPG phase for specific collaboration with the SGP in support of community-based resource management initiatives.</w:t>
      </w:r>
    </w:p>
    <w:p w14:paraId="1ED07897" w14:textId="7554BA3A" w:rsidR="0070118F" w:rsidRPr="005516CD" w:rsidRDefault="0070118F"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achievement of the project’s objective of generating multiple environmental and social benefits through the integrated and sustainable management of wooded production landscapes will be achieved by associating GEF resources with significant co-financing. GEF resources will be used to mainstream environmental considerations (BD/LD) into a number of the baseline initiatives described above, with the result that these initiatives will come to contribute actively to the generation of GEBs. Th</w:t>
      </w:r>
      <w:r w:rsidR="00451D2B">
        <w:rPr>
          <w:rFonts w:asciiTheme="majorHAnsi" w:hAnsiTheme="majorHAnsi" w:cstheme="majorHAnsi"/>
          <w:sz w:val="20"/>
          <w:szCs w:val="20"/>
        </w:rPr>
        <w:t>is</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cofinancing</w:t>
      </w:r>
      <w:proofErr w:type="spellEnd"/>
      <w:r w:rsidRPr="005516CD">
        <w:rPr>
          <w:rFonts w:asciiTheme="majorHAnsi" w:hAnsiTheme="majorHAnsi" w:cstheme="majorHAnsi"/>
          <w:sz w:val="20"/>
          <w:szCs w:val="20"/>
        </w:rPr>
        <w:t xml:space="preserve"> source </w:t>
      </w:r>
      <w:r w:rsidR="00451D2B">
        <w:rPr>
          <w:rFonts w:asciiTheme="majorHAnsi" w:hAnsiTheme="majorHAnsi" w:cstheme="majorHAnsi"/>
          <w:sz w:val="20"/>
          <w:szCs w:val="20"/>
        </w:rPr>
        <w:t>is</w:t>
      </w:r>
      <w:r w:rsidRPr="005516CD">
        <w:rPr>
          <w:rFonts w:asciiTheme="majorHAnsi" w:hAnsiTheme="majorHAnsi" w:cstheme="majorHAnsi"/>
          <w:sz w:val="20"/>
          <w:szCs w:val="20"/>
        </w:rPr>
        <w:t xml:space="preserve"> as follows:</w:t>
      </w:r>
    </w:p>
    <w:p w14:paraId="48D235D0" w14:textId="77777777" w:rsidR="0070118F" w:rsidRPr="005516CD" w:rsidRDefault="0070118F" w:rsidP="006B27F4">
      <w:pPr>
        <w:numPr>
          <w:ilvl w:val="0"/>
          <w:numId w:val="88"/>
        </w:numPr>
        <w:spacing w:after="120"/>
        <w:ind w:left="709" w:right="96"/>
        <w:jc w:val="both"/>
        <w:rPr>
          <w:rFonts w:asciiTheme="majorHAnsi" w:hAnsiTheme="majorHAnsi" w:cstheme="majorHAnsi"/>
          <w:sz w:val="20"/>
          <w:szCs w:val="20"/>
        </w:rPr>
      </w:pPr>
      <w:r w:rsidRPr="005516CD">
        <w:rPr>
          <w:rFonts w:asciiTheme="majorHAnsi" w:hAnsiTheme="majorHAnsi" w:cstheme="majorHAnsi"/>
          <w:sz w:val="20"/>
          <w:szCs w:val="20"/>
        </w:rPr>
        <w:t xml:space="preserve">The </w:t>
      </w:r>
      <w:r w:rsidRPr="005516CD">
        <w:rPr>
          <w:rFonts w:asciiTheme="majorHAnsi" w:hAnsiTheme="majorHAnsi" w:cstheme="majorHAnsi"/>
          <w:b/>
          <w:sz w:val="20"/>
          <w:szCs w:val="20"/>
        </w:rPr>
        <w:t>IADB-funded Agricultural and Agroforestry Technological Innovation Program – PITAG</w:t>
      </w:r>
      <w:r w:rsidRPr="005516CD">
        <w:rPr>
          <w:rFonts w:asciiTheme="majorHAnsi" w:hAnsiTheme="majorHAnsi" w:cstheme="majorHAnsi"/>
          <w:sz w:val="20"/>
          <w:szCs w:val="20"/>
        </w:rPr>
        <w:t xml:space="preserve">. The co-financing partnership with PITAG will help optimise the environmental sustainability of the agricultural technologies which it supports, and the achievement of its aim of generating positive environmental externalities at the same time as long-term farm profitability; and to maximize the overall impact of the GEF project, by catalysing the generation of environmental benefits at scale through strategic association with a larger development program. The GEF project will work with PITAG on: </w:t>
      </w:r>
    </w:p>
    <w:p w14:paraId="43673CA9" w14:textId="77777777" w:rsidR="0070118F" w:rsidRPr="005516CD" w:rsidRDefault="0070118F" w:rsidP="006B27F4">
      <w:pPr>
        <w:pStyle w:val="ListParagraph"/>
        <w:numPr>
          <w:ilvl w:val="0"/>
          <w:numId w:val="96"/>
        </w:numPr>
        <w:spacing w:after="120"/>
        <w:ind w:left="1134" w:right="96"/>
        <w:jc w:val="both"/>
        <w:rPr>
          <w:rFonts w:asciiTheme="majorHAnsi" w:hAnsiTheme="majorHAnsi" w:cstheme="majorHAnsi"/>
          <w:sz w:val="20"/>
          <w:szCs w:val="20"/>
        </w:rPr>
      </w:pPr>
      <w:r w:rsidRPr="005516CD">
        <w:rPr>
          <w:rFonts w:asciiTheme="majorHAnsi" w:eastAsiaTheme="minorHAnsi" w:hAnsiTheme="majorHAnsi" w:cstheme="majorHAnsi"/>
          <w:color w:val="auto"/>
          <w:sz w:val="20"/>
          <w:szCs w:val="20"/>
          <w:bdr w:val="none" w:sz="0" w:space="0" w:color="auto"/>
          <w:lang w:val="en-GB"/>
        </w:rPr>
        <w:t>T</w:t>
      </w:r>
      <w:r w:rsidRPr="005516CD">
        <w:rPr>
          <w:rFonts w:asciiTheme="majorHAnsi" w:hAnsiTheme="majorHAnsi" w:cstheme="majorHAnsi"/>
          <w:sz w:val="20"/>
          <w:szCs w:val="20"/>
        </w:rPr>
        <w:t xml:space="preserve">he provision of logistical, technical and facilitation support to members of selected target communities in developing spatial and strategic plans; </w:t>
      </w:r>
    </w:p>
    <w:p w14:paraId="6A8EFFE6" w14:textId="77777777" w:rsidR="0070118F" w:rsidRPr="005516CD" w:rsidRDefault="0070118F" w:rsidP="006B27F4">
      <w:pPr>
        <w:pStyle w:val="ListParagraph"/>
        <w:numPr>
          <w:ilvl w:val="0"/>
          <w:numId w:val="96"/>
        </w:numPr>
        <w:spacing w:after="120"/>
        <w:ind w:left="1134" w:right="96"/>
        <w:jc w:val="both"/>
        <w:rPr>
          <w:rFonts w:asciiTheme="majorHAnsi" w:hAnsiTheme="majorHAnsi" w:cstheme="majorHAnsi"/>
          <w:sz w:val="20"/>
          <w:szCs w:val="20"/>
        </w:rPr>
      </w:pPr>
      <w:r w:rsidRPr="005516CD">
        <w:rPr>
          <w:rFonts w:asciiTheme="majorHAnsi" w:hAnsiTheme="majorHAnsi" w:cstheme="majorHAnsi"/>
          <w:sz w:val="20"/>
          <w:szCs w:val="20"/>
        </w:rPr>
        <w:t xml:space="preserve">The provision of technical and facilitation support to candidate farmers in developing proposals of productive options, for inclusion in their requests for support through PITAG; </w:t>
      </w:r>
    </w:p>
    <w:p w14:paraId="0AFC18F6" w14:textId="77777777" w:rsidR="0070118F" w:rsidRPr="005516CD" w:rsidRDefault="0070118F" w:rsidP="006B27F4">
      <w:pPr>
        <w:pStyle w:val="ListParagraph"/>
        <w:numPr>
          <w:ilvl w:val="0"/>
          <w:numId w:val="96"/>
        </w:numPr>
        <w:spacing w:after="120"/>
        <w:ind w:left="1134" w:right="96"/>
        <w:jc w:val="both"/>
        <w:rPr>
          <w:rFonts w:asciiTheme="majorHAnsi" w:hAnsiTheme="majorHAnsi" w:cstheme="majorHAnsi"/>
          <w:sz w:val="20"/>
          <w:szCs w:val="20"/>
        </w:rPr>
      </w:pPr>
      <w:r w:rsidRPr="005516CD">
        <w:rPr>
          <w:rFonts w:asciiTheme="majorHAnsi" w:hAnsiTheme="majorHAnsi" w:cstheme="majorHAnsi"/>
          <w:sz w:val="20"/>
          <w:szCs w:val="20"/>
        </w:rPr>
        <w:t xml:space="preserve">The provision of technical, material and advisory support to farmers, for the development and management of value-adding and commercial activities based on the environmentally-sustainable production practices supported by PITAG, in order to </w:t>
      </w:r>
      <w:proofErr w:type="spellStart"/>
      <w:r w:rsidRPr="005516CD">
        <w:rPr>
          <w:rFonts w:asciiTheme="majorHAnsi" w:hAnsiTheme="majorHAnsi" w:cstheme="majorHAnsi"/>
          <w:sz w:val="20"/>
          <w:szCs w:val="20"/>
        </w:rPr>
        <w:t>optimise</w:t>
      </w:r>
      <w:proofErr w:type="spellEnd"/>
      <w:r w:rsidRPr="005516CD">
        <w:rPr>
          <w:rFonts w:asciiTheme="majorHAnsi" w:hAnsiTheme="majorHAnsi" w:cstheme="majorHAnsi"/>
          <w:sz w:val="20"/>
          <w:szCs w:val="20"/>
        </w:rPr>
        <w:t xml:space="preserve"> the financial benefits accruing to farmers, while at the same time providing financial incentives to farmers to </w:t>
      </w:r>
      <w:proofErr w:type="spellStart"/>
      <w:r w:rsidRPr="005516CD">
        <w:rPr>
          <w:rFonts w:asciiTheme="majorHAnsi" w:hAnsiTheme="majorHAnsi" w:cstheme="majorHAnsi"/>
          <w:sz w:val="20"/>
          <w:szCs w:val="20"/>
        </w:rPr>
        <w:t>favour</w:t>
      </w:r>
      <w:proofErr w:type="spellEnd"/>
      <w:r w:rsidRPr="005516CD">
        <w:rPr>
          <w:rFonts w:asciiTheme="majorHAnsi" w:hAnsiTheme="majorHAnsi" w:cstheme="majorHAnsi"/>
          <w:sz w:val="20"/>
          <w:szCs w:val="20"/>
        </w:rPr>
        <w:t xml:space="preserve"> sustainable forms of production; </w:t>
      </w:r>
    </w:p>
    <w:p w14:paraId="04565942" w14:textId="77777777" w:rsidR="0070118F" w:rsidRPr="005516CD" w:rsidRDefault="0070118F" w:rsidP="006B27F4">
      <w:pPr>
        <w:pStyle w:val="ListParagraph"/>
        <w:numPr>
          <w:ilvl w:val="0"/>
          <w:numId w:val="96"/>
        </w:numPr>
        <w:spacing w:after="120"/>
        <w:ind w:left="1134" w:right="96"/>
        <w:jc w:val="both"/>
        <w:rPr>
          <w:rFonts w:asciiTheme="majorHAnsi" w:hAnsiTheme="majorHAnsi" w:cstheme="majorHAnsi"/>
          <w:sz w:val="20"/>
          <w:szCs w:val="20"/>
        </w:rPr>
      </w:pPr>
      <w:r w:rsidRPr="005516CD">
        <w:rPr>
          <w:rFonts w:asciiTheme="majorHAnsi" w:hAnsiTheme="majorHAnsi" w:cstheme="majorHAnsi"/>
          <w:sz w:val="20"/>
          <w:szCs w:val="20"/>
        </w:rPr>
        <w:t xml:space="preserve">The provision of technical training to service providers collaborating with PITAG, in order to increase their effectiveness in supporting the application of environmentally-sustainable production practices by beneficiary farmers; </w:t>
      </w:r>
    </w:p>
    <w:p w14:paraId="7FAADBD1" w14:textId="77777777" w:rsidR="0070118F" w:rsidRPr="005516CD" w:rsidRDefault="0070118F" w:rsidP="006B27F4">
      <w:pPr>
        <w:pStyle w:val="ListParagraph"/>
        <w:numPr>
          <w:ilvl w:val="0"/>
          <w:numId w:val="96"/>
        </w:numPr>
        <w:spacing w:after="120"/>
        <w:ind w:left="1134" w:right="96"/>
        <w:jc w:val="both"/>
        <w:rPr>
          <w:rFonts w:asciiTheme="majorHAnsi" w:hAnsiTheme="majorHAnsi" w:cstheme="majorHAnsi"/>
          <w:sz w:val="20"/>
          <w:szCs w:val="22"/>
        </w:rPr>
      </w:pPr>
      <w:r w:rsidRPr="005516CD">
        <w:rPr>
          <w:rFonts w:asciiTheme="majorHAnsi" w:hAnsiTheme="majorHAnsi" w:cstheme="majorHAnsi"/>
          <w:sz w:val="20"/>
          <w:szCs w:val="20"/>
        </w:rPr>
        <w:t>The provision of technical advisory support to PITAG in developing and applying criteria, safeguards and indicators, applicable to the specific conditions of the target communities, to the production practices supported by PITAG.</w:t>
      </w:r>
    </w:p>
    <w:p w14:paraId="58BFCC86" w14:textId="77777777" w:rsidR="001771FE" w:rsidRPr="005516CD" w:rsidRDefault="001E6E8C" w:rsidP="001E6E8C">
      <w:pPr>
        <w:keepNext/>
        <w:spacing w:after="60"/>
        <w:ind w:right="96"/>
        <w:contextualSpacing/>
        <w:jc w:val="both"/>
        <w:rPr>
          <w:rFonts w:asciiTheme="majorHAnsi" w:hAnsiTheme="majorHAnsi" w:cstheme="majorHAnsi"/>
          <w:b/>
          <w:sz w:val="20"/>
          <w:szCs w:val="20"/>
        </w:rPr>
      </w:pPr>
      <w:r w:rsidRPr="005516CD">
        <w:rPr>
          <w:rFonts w:asciiTheme="majorHAnsi" w:hAnsiTheme="majorHAnsi" w:cstheme="majorHAnsi"/>
          <w:b/>
          <w:sz w:val="20"/>
          <w:szCs w:val="20"/>
        </w:rPr>
        <w:t xml:space="preserve">Table 15. </w:t>
      </w:r>
      <w:r w:rsidR="00045B04" w:rsidRPr="005516CD">
        <w:rPr>
          <w:rFonts w:asciiTheme="majorHAnsi" w:hAnsiTheme="majorHAnsi" w:cstheme="majorHAnsi"/>
          <w:b/>
          <w:sz w:val="20"/>
          <w:szCs w:val="20"/>
        </w:rPr>
        <w:t xml:space="preserve">Stakeholder engagement:  </w:t>
      </w:r>
    </w:p>
    <w:tbl>
      <w:tblPr>
        <w:tblStyle w:val="TableGrid"/>
        <w:tblW w:w="0" w:type="auto"/>
        <w:tblInd w:w="-5" w:type="dxa"/>
        <w:tblLook w:val="04A0" w:firstRow="1" w:lastRow="0" w:firstColumn="1" w:lastColumn="0" w:noHBand="0" w:noVBand="1"/>
      </w:tblPr>
      <w:tblGrid>
        <w:gridCol w:w="3858"/>
        <w:gridCol w:w="5157"/>
      </w:tblGrid>
      <w:tr w:rsidR="00F86BC8" w:rsidRPr="005516CD" w14:paraId="0907417D" w14:textId="77777777" w:rsidTr="00CC2392">
        <w:trPr>
          <w:tblHeader/>
        </w:trPr>
        <w:tc>
          <w:tcPr>
            <w:tcW w:w="3858" w:type="dxa"/>
            <w:shd w:val="clear" w:color="auto" w:fill="D9D9D9" w:themeFill="background1" w:themeFillShade="D9"/>
          </w:tcPr>
          <w:p w14:paraId="51160439" w14:textId="38A40E42" w:rsidR="00F86BC8" w:rsidRPr="005516CD" w:rsidRDefault="00F86BC8" w:rsidP="009832EF">
            <w:pPr>
              <w:autoSpaceDE w:val="0"/>
              <w:autoSpaceDN w:val="0"/>
              <w:adjustRightInd w:val="0"/>
              <w:ind w:right="96"/>
              <w:jc w:val="center"/>
              <w:rPr>
                <w:rFonts w:asciiTheme="majorHAnsi" w:hAnsiTheme="majorHAnsi" w:cstheme="majorHAnsi"/>
                <w:b/>
                <w:bCs/>
                <w:color w:val="000000"/>
                <w:sz w:val="20"/>
              </w:rPr>
            </w:pPr>
            <w:r w:rsidRPr="005516CD">
              <w:rPr>
                <w:rFonts w:asciiTheme="majorHAnsi" w:hAnsiTheme="majorHAnsi" w:cstheme="majorHAnsi"/>
                <w:b/>
                <w:bCs/>
                <w:color w:val="000000"/>
                <w:sz w:val="20"/>
              </w:rPr>
              <w:t>Ministry of the Environment (</w:t>
            </w:r>
            <w:proofErr w:type="spellStart"/>
            <w:r w:rsidR="009241AB">
              <w:rPr>
                <w:rFonts w:asciiTheme="majorHAnsi" w:hAnsiTheme="majorHAnsi" w:cstheme="majorHAnsi"/>
                <w:b/>
                <w:bCs/>
                <w:color w:val="000000"/>
                <w:sz w:val="20"/>
              </w:rPr>
              <w:t>MoE</w:t>
            </w:r>
            <w:proofErr w:type="spellEnd"/>
            <w:r w:rsidRPr="005516CD">
              <w:rPr>
                <w:rFonts w:asciiTheme="majorHAnsi" w:hAnsiTheme="majorHAnsi" w:cstheme="majorHAnsi"/>
                <w:b/>
                <w:bCs/>
                <w:color w:val="000000"/>
                <w:sz w:val="20"/>
              </w:rPr>
              <w:t>)</w:t>
            </w:r>
          </w:p>
        </w:tc>
        <w:tc>
          <w:tcPr>
            <w:tcW w:w="5157" w:type="dxa"/>
            <w:shd w:val="clear" w:color="auto" w:fill="D9D9D9" w:themeFill="background1" w:themeFillShade="D9"/>
          </w:tcPr>
          <w:p w14:paraId="54ACECDA" w14:textId="77777777" w:rsidR="00F86BC8" w:rsidRPr="005516CD" w:rsidRDefault="00F86BC8" w:rsidP="009832EF">
            <w:pPr>
              <w:autoSpaceDE w:val="0"/>
              <w:autoSpaceDN w:val="0"/>
              <w:adjustRightInd w:val="0"/>
              <w:ind w:right="96"/>
              <w:jc w:val="center"/>
              <w:rPr>
                <w:rFonts w:asciiTheme="majorHAnsi" w:hAnsiTheme="majorHAnsi" w:cstheme="majorHAnsi"/>
                <w:b/>
                <w:bCs/>
                <w:color w:val="000000"/>
                <w:sz w:val="20"/>
              </w:rPr>
            </w:pPr>
            <w:r w:rsidRPr="005516CD">
              <w:rPr>
                <w:rFonts w:asciiTheme="majorHAnsi" w:hAnsiTheme="majorHAnsi" w:cstheme="majorHAnsi"/>
                <w:b/>
                <w:bCs/>
                <w:color w:val="000000"/>
                <w:sz w:val="20"/>
              </w:rPr>
              <w:t>Project executing agency</w:t>
            </w:r>
          </w:p>
        </w:tc>
      </w:tr>
      <w:tr w:rsidR="00F86BC8" w:rsidRPr="005516CD" w14:paraId="48556A11" w14:textId="77777777" w:rsidTr="00F86BC8">
        <w:tc>
          <w:tcPr>
            <w:tcW w:w="3858" w:type="dxa"/>
          </w:tcPr>
          <w:p w14:paraId="7668072A"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bCs/>
                <w:color w:val="000000"/>
                <w:sz w:val="20"/>
              </w:rPr>
              <w:t xml:space="preserve">Ministry of Agriculture and Natural Resources </w:t>
            </w:r>
            <w:r w:rsidRPr="005516CD">
              <w:rPr>
                <w:rFonts w:asciiTheme="majorHAnsi" w:hAnsiTheme="majorHAnsi" w:cstheme="majorHAnsi"/>
                <w:color w:val="000000"/>
                <w:sz w:val="20"/>
              </w:rPr>
              <w:t>(MARNDR)</w:t>
            </w:r>
          </w:p>
        </w:tc>
        <w:tc>
          <w:tcPr>
            <w:tcW w:w="5157" w:type="dxa"/>
          </w:tcPr>
          <w:p w14:paraId="0FE7BD4A"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bCs/>
                <w:color w:val="000000"/>
                <w:sz w:val="20"/>
              </w:rPr>
              <w:t>Sector head with responsibility for promoting the development of agricultural crops including coffee and cocoa</w:t>
            </w:r>
          </w:p>
        </w:tc>
      </w:tr>
      <w:tr w:rsidR="00F86BC8" w:rsidRPr="005516CD" w14:paraId="4DD58341" w14:textId="77777777" w:rsidTr="00F86BC8">
        <w:tc>
          <w:tcPr>
            <w:tcW w:w="3858" w:type="dxa"/>
          </w:tcPr>
          <w:p w14:paraId="0FD2F222"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bCs/>
                <w:color w:val="000000"/>
                <w:sz w:val="20"/>
              </w:rPr>
              <w:t>Inter-ministerial Commission on the Environment (CIME)</w:t>
            </w:r>
          </w:p>
        </w:tc>
        <w:tc>
          <w:tcPr>
            <w:tcW w:w="5157" w:type="dxa"/>
          </w:tcPr>
          <w:p w14:paraId="2A9FC1AB"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color w:val="000000"/>
                <w:sz w:val="20"/>
              </w:rPr>
              <w:t>Presided by the Prime Minister and involves the Ministers of Environment, of Public Works, Transport and Communication, and of Public Health and Population; responsible for inter-ministerial coordination on issues related to the environment.</w:t>
            </w:r>
          </w:p>
        </w:tc>
      </w:tr>
      <w:tr w:rsidR="00F86BC8" w:rsidRPr="005516CD" w14:paraId="4AA4F914" w14:textId="77777777" w:rsidTr="00F86BC8">
        <w:tc>
          <w:tcPr>
            <w:tcW w:w="3858" w:type="dxa"/>
          </w:tcPr>
          <w:p w14:paraId="13192F0E"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color w:val="000000"/>
                <w:sz w:val="20"/>
              </w:rPr>
              <w:t>Inter-Ministerial Committee on Territorial Land Use Planning (CIAT)</w:t>
            </w:r>
          </w:p>
        </w:tc>
        <w:tc>
          <w:tcPr>
            <w:tcW w:w="5157" w:type="dxa"/>
          </w:tcPr>
          <w:p w14:paraId="482EE8C7"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bCs/>
                <w:color w:val="000000"/>
                <w:sz w:val="20"/>
              </w:rPr>
              <w:t>Inter-institutional coordination of territorial land use planning</w:t>
            </w:r>
          </w:p>
        </w:tc>
      </w:tr>
      <w:tr w:rsidR="00F86BC8" w:rsidRPr="005516CD" w14:paraId="53D33DA5" w14:textId="77777777" w:rsidTr="00F86BC8">
        <w:tc>
          <w:tcPr>
            <w:tcW w:w="3858" w:type="dxa"/>
          </w:tcPr>
          <w:p w14:paraId="35F4457D"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color w:val="000000"/>
                <w:sz w:val="20"/>
              </w:rPr>
              <w:t>Ministry of Planning and External Cooperation</w:t>
            </w:r>
          </w:p>
        </w:tc>
        <w:tc>
          <w:tcPr>
            <w:tcW w:w="5157" w:type="dxa"/>
          </w:tcPr>
          <w:p w14:paraId="771AA25A"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bCs/>
                <w:color w:val="000000"/>
                <w:sz w:val="20"/>
              </w:rPr>
              <w:t>Lead entity with responsibility for overseeing and regulating territorial land use planning</w:t>
            </w:r>
          </w:p>
        </w:tc>
      </w:tr>
      <w:tr w:rsidR="00F86BC8" w:rsidRPr="005516CD" w14:paraId="01DADD8C" w14:textId="77777777" w:rsidTr="00F86BC8">
        <w:tc>
          <w:tcPr>
            <w:tcW w:w="3858" w:type="dxa"/>
          </w:tcPr>
          <w:p w14:paraId="69F0D2F5" w14:textId="77777777" w:rsidR="00F86BC8" w:rsidRPr="005516CD" w:rsidRDefault="00F86BC8" w:rsidP="007B146B">
            <w:pPr>
              <w:autoSpaceDE w:val="0"/>
              <w:autoSpaceDN w:val="0"/>
              <w:adjustRightInd w:val="0"/>
              <w:ind w:right="96"/>
              <w:jc w:val="both"/>
              <w:rPr>
                <w:rFonts w:asciiTheme="majorHAnsi" w:hAnsiTheme="majorHAnsi" w:cstheme="majorHAnsi"/>
                <w:color w:val="000000"/>
                <w:sz w:val="20"/>
              </w:rPr>
            </w:pPr>
            <w:r w:rsidRPr="005516CD">
              <w:rPr>
                <w:rFonts w:asciiTheme="majorHAnsi" w:hAnsiTheme="majorHAnsi" w:cstheme="majorHAnsi"/>
                <w:color w:val="000000"/>
                <w:sz w:val="20"/>
              </w:rPr>
              <w:t>Regional and local governments</w:t>
            </w:r>
          </w:p>
        </w:tc>
        <w:tc>
          <w:tcPr>
            <w:tcW w:w="5157" w:type="dxa"/>
          </w:tcPr>
          <w:p w14:paraId="56D9F00C"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bCs/>
                <w:color w:val="000000"/>
                <w:sz w:val="20"/>
              </w:rPr>
              <w:t>Responsible for overseeing land use planning and social/productive development programmes at local level</w:t>
            </w:r>
          </w:p>
        </w:tc>
      </w:tr>
      <w:tr w:rsidR="00F86BC8" w:rsidRPr="005516CD" w14:paraId="0A0B0D79" w14:textId="77777777" w:rsidTr="00F86BC8">
        <w:tc>
          <w:tcPr>
            <w:tcW w:w="3858" w:type="dxa"/>
          </w:tcPr>
          <w:p w14:paraId="4471E786" w14:textId="77777777" w:rsidR="00F86BC8" w:rsidRPr="005516CD" w:rsidRDefault="00F86BC8" w:rsidP="007B146B">
            <w:pPr>
              <w:autoSpaceDE w:val="0"/>
              <w:autoSpaceDN w:val="0"/>
              <w:adjustRightInd w:val="0"/>
              <w:ind w:right="96"/>
              <w:jc w:val="both"/>
              <w:rPr>
                <w:rFonts w:asciiTheme="majorHAnsi" w:hAnsiTheme="majorHAnsi" w:cstheme="majorHAnsi"/>
                <w:color w:val="000000"/>
                <w:sz w:val="20"/>
              </w:rPr>
            </w:pPr>
            <w:r w:rsidRPr="005516CD">
              <w:rPr>
                <w:rFonts w:asciiTheme="majorHAnsi" w:hAnsiTheme="majorHAnsi" w:cstheme="majorHAnsi"/>
                <w:color w:val="000000"/>
                <w:sz w:val="20"/>
              </w:rPr>
              <w:t xml:space="preserve">Private companies (e.g. </w:t>
            </w:r>
            <w:proofErr w:type="spellStart"/>
            <w:r w:rsidRPr="005516CD">
              <w:rPr>
                <w:rFonts w:asciiTheme="majorHAnsi" w:hAnsiTheme="majorHAnsi" w:cstheme="majorHAnsi"/>
                <w:color w:val="000000"/>
                <w:sz w:val="20"/>
              </w:rPr>
              <w:t>R</w:t>
            </w:r>
            <w:r w:rsidR="001C5382" w:rsidRPr="005516CD">
              <w:rPr>
                <w:rFonts w:asciiTheme="majorHAnsi" w:hAnsiTheme="majorHAnsi" w:cstheme="majorHAnsi"/>
                <w:color w:val="000000"/>
                <w:sz w:val="20"/>
              </w:rPr>
              <w:t>ebo</w:t>
            </w:r>
            <w:proofErr w:type="spellEnd"/>
            <w:r w:rsidRPr="005516CD">
              <w:rPr>
                <w:rFonts w:asciiTheme="majorHAnsi" w:hAnsiTheme="majorHAnsi" w:cstheme="majorHAnsi"/>
                <w:color w:val="000000"/>
                <w:sz w:val="20"/>
              </w:rPr>
              <w:t xml:space="preserve"> and W</w:t>
            </w:r>
            <w:r w:rsidR="001C5382" w:rsidRPr="005516CD">
              <w:rPr>
                <w:rFonts w:asciiTheme="majorHAnsi" w:hAnsiTheme="majorHAnsi" w:cstheme="majorHAnsi"/>
                <w:color w:val="000000"/>
                <w:sz w:val="20"/>
              </w:rPr>
              <w:t>einer</w:t>
            </w:r>
            <w:r w:rsidRPr="005516CD">
              <w:rPr>
                <w:rFonts w:asciiTheme="majorHAnsi" w:hAnsiTheme="majorHAnsi" w:cstheme="majorHAnsi"/>
                <w:color w:val="000000"/>
                <w:sz w:val="20"/>
              </w:rPr>
              <w:t>)</w:t>
            </w:r>
          </w:p>
        </w:tc>
        <w:tc>
          <w:tcPr>
            <w:tcW w:w="5157" w:type="dxa"/>
          </w:tcPr>
          <w:p w14:paraId="60CBEB34"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bCs/>
                <w:color w:val="000000"/>
                <w:sz w:val="20"/>
              </w:rPr>
              <w:t>Purchasers from producers; roasters and exporters.</w:t>
            </w:r>
          </w:p>
        </w:tc>
      </w:tr>
      <w:tr w:rsidR="00F86BC8" w:rsidRPr="005516CD" w14:paraId="2730209D" w14:textId="77777777" w:rsidTr="00F86BC8">
        <w:tc>
          <w:tcPr>
            <w:tcW w:w="3858" w:type="dxa"/>
          </w:tcPr>
          <w:p w14:paraId="65109DCB" w14:textId="77777777" w:rsidR="00F86BC8" w:rsidRPr="005516CD" w:rsidRDefault="003D5F4B" w:rsidP="007B146B">
            <w:pPr>
              <w:autoSpaceDE w:val="0"/>
              <w:autoSpaceDN w:val="0"/>
              <w:adjustRightInd w:val="0"/>
              <w:ind w:right="96"/>
              <w:jc w:val="both"/>
              <w:rPr>
                <w:rFonts w:asciiTheme="majorHAnsi" w:hAnsiTheme="majorHAnsi" w:cstheme="majorHAnsi"/>
                <w:color w:val="000000"/>
                <w:sz w:val="20"/>
              </w:rPr>
            </w:pPr>
            <w:r w:rsidRPr="005516CD">
              <w:rPr>
                <w:rFonts w:asciiTheme="majorHAnsi" w:hAnsiTheme="majorHAnsi" w:cstheme="majorHAnsi"/>
                <w:color w:val="000000"/>
                <w:sz w:val="20"/>
              </w:rPr>
              <w:t>R</w:t>
            </w:r>
            <w:r w:rsidR="00F86BC8" w:rsidRPr="005516CD">
              <w:rPr>
                <w:rFonts w:asciiTheme="majorHAnsi" w:hAnsiTheme="majorHAnsi" w:cstheme="majorHAnsi"/>
                <w:color w:val="000000"/>
                <w:sz w:val="20"/>
              </w:rPr>
              <w:t xml:space="preserve">egional networks e.g. FACN, RECOCARNO, </w:t>
            </w:r>
            <w:r w:rsidR="001C5382" w:rsidRPr="005516CD">
              <w:rPr>
                <w:rFonts w:asciiTheme="majorHAnsi" w:hAnsiTheme="majorHAnsi" w:cstheme="majorHAnsi"/>
                <w:color w:val="000000"/>
                <w:sz w:val="20"/>
              </w:rPr>
              <w:t>the Cooperative of Planters of Coffee from the District of Belle-</w:t>
            </w:r>
            <w:proofErr w:type="spellStart"/>
            <w:r w:rsidR="001C5382" w:rsidRPr="005516CD">
              <w:rPr>
                <w:rFonts w:asciiTheme="majorHAnsi" w:hAnsiTheme="majorHAnsi" w:cstheme="majorHAnsi"/>
                <w:color w:val="000000"/>
                <w:sz w:val="20"/>
              </w:rPr>
              <w:t>Anse</w:t>
            </w:r>
            <w:proofErr w:type="spellEnd"/>
            <w:r w:rsidR="001C5382" w:rsidRPr="005516CD">
              <w:rPr>
                <w:rFonts w:asciiTheme="majorHAnsi" w:hAnsiTheme="majorHAnsi" w:cstheme="majorHAnsi"/>
                <w:color w:val="000000"/>
                <w:sz w:val="20"/>
              </w:rPr>
              <w:t>-</w:t>
            </w:r>
            <w:proofErr w:type="spellStart"/>
            <w:r w:rsidR="001C5382" w:rsidRPr="005516CD">
              <w:rPr>
                <w:rFonts w:asciiTheme="majorHAnsi" w:hAnsiTheme="majorHAnsi" w:cstheme="majorHAnsi"/>
                <w:color w:val="000000"/>
                <w:sz w:val="20"/>
              </w:rPr>
              <w:t>Thiotte</w:t>
            </w:r>
            <w:proofErr w:type="spellEnd"/>
            <w:r w:rsidR="001C5382" w:rsidRPr="005516CD">
              <w:rPr>
                <w:rFonts w:asciiTheme="majorHAnsi" w:hAnsiTheme="majorHAnsi" w:cstheme="majorHAnsi"/>
                <w:color w:val="000000"/>
                <w:sz w:val="20"/>
              </w:rPr>
              <w:t xml:space="preserve"> (</w:t>
            </w:r>
            <w:r w:rsidR="00F86BC8" w:rsidRPr="005516CD">
              <w:rPr>
                <w:rFonts w:asciiTheme="majorHAnsi" w:hAnsiTheme="majorHAnsi" w:cstheme="majorHAnsi"/>
                <w:color w:val="000000"/>
                <w:sz w:val="20"/>
              </w:rPr>
              <w:t>COOPCAB</w:t>
            </w:r>
            <w:r w:rsidR="001C5382" w:rsidRPr="005516CD">
              <w:rPr>
                <w:rFonts w:asciiTheme="majorHAnsi" w:hAnsiTheme="majorHAnsi" w:cstheme="majorHAnsi"/>
                <w:color w:val="000000"/>
                <w:sz w:val="20"/>
              </w:rPr>
              <w:t>)</w:t>
            </w:r>
            <w:r w:rsidR="00F86BC8" w:rsidRPr="005516CD">
              <w:rPr>
                <w:rFonts w:asciiTheme="majorHAnsi" w:hAnsiTheme="majorHAnsi" w:cstheme="majorHAnsi"/>
                <w:color w:val="000000"/>
                <w:sz w:val="20"/>
              </w:rPr>
              <w:t xml:space="preserve">, </w:t>
            </w:r>
            <w:r w:rsidR="001C5382" w:rsidRPr="005516CD">
              <w:rPr>
                <w:rFonts w:asciiTheme="majorHAnsi" w:hAnsiTheme="majorHAnsi" w:cstheme="majorHAnsi"/>
                <w:color w:val="000000"/>
                <w:sz w:val="20"/>
              </w:rPr>
              <w:t>the Union of Coffee Cooperatives of Baptiste (</w:t>
            </w:r>
            <w:r w:rsidR="00F86BC8" w:rsidRPr="005516CD">
              <w:rPr>
                <w:rFonts w:asciiTheme="majorHAnsi" w:hAnsiTheme="majorHAnsi" w:cstheme="majorHAnsi"/>
                <w:color w:val="000000"/>
                <w:sz w:val="20"/>
              </w:rPr>
              <w:t>UCOCAB</w:t>
            </w:r>
            <w:r w:rsidR="001C5382" w:rsidRPr="005516CD">
              <w:rPr>
                <w:rFonts w:asciiTheme="majorHAnsi" w:hAnsiTheme="majorHAnsi" w:cstheme="majorHAnsi"/>
                <w:color w:val="000000"/>
                <w:sz w:val="20"/>
              </w:rPr>
              <w:t>)</w:t>
            </w:r>
            <w:r w:rsidR="00F86BC8" w:rsidRPr="005516CD">
              <w:rPr>
                <w:rFonts w:asciiTheme="majorHAnsi" w:hAnsiTheme="majorHAnsi" w:cstheme="majorHAnsi"/>
                <w:color w:val="000000"/>
                <w:sz w:val="20"/>
              </w:rPr>
              <w:t xml:space="preserve"> and FECOCAS, and grassroots organizations (e.g. COOPACVOD and UPAB) </w:t>
            </w:r>
          </w:p>
        </w:tc>
        <w:tc>
          <w:tcPr>
            <w:tcW w:w="5157" w:type="dxa"/>
          </w:tcPr>
          <w:p w14:paraId="49824F7C" w14:textId="77777777" w:rsidR="00F86BC8" w:rsidRPr="005516CD" w:rsidRDefault="00F86BC8" w:rsidP="007B146B">
            <w:pPr>
              <w:autoSpaceDE w:val="0"/>
              <w:autoSpaceDN w:val="0"/>
              <w:adjustRightInd w:val="0"/>
              <w:ind w:right="96"/>
              <w:jc w:val="both"/>
              <w:rPr>
                <w:rFonts w:asciiTheme="majorHAnsi" w:hAnsiTheme="majorHAnsi" w:cstheme="majorHAnsi"/>
                <w:bCs/>
                <w:color w:val="000000"/>
                <w:sz w:val="20"/>
              </w:rPr>
            </w:pPr>
            <w:r w:rsidRPr="005516CD">
              <w:rPr>
                <w:rFonts w:asciiTheme="majorHAnsi" w:hAnsiTheme="majorHAnsi" w:cstheme="majorHAnsi"/>
                <w:color w:val="000000"/>
                <w:sz w:val="20"/>
              </w:rPr>
              <w:t>Coffee exporters, l</w:t>
            </w:r>
            <w:r w:rsidRPr="005516CD">
              <w:rPr>
                <w:rFonts w:asciiTheme="majorHAnsi" w:hAnsiTheme="majorHAnsi" w:cstheme="majorHAnsi"/>
                <w:bCs/>
                <w:color w:val="000000"/>
                <w:sz w:val="20"/>
              </w:rPr>
              <w:t>inking coffee producers/roasters and international commodity markets</w:t>
            </w:r>
          </w:p>
        </w:tc>
      </w:tr>
      <w:tr w:rsidR="00F86BC8" w:rsidRPr="005516CD" w14:paraId="0E9EE997" w14:textId="77777777" w:rsidTr="00F86BC8">
        <w:tc>
          <w:tcPr>
            <w:tcW w:w="3858" w:type="dxa"/>
          </w:tcPr>
          <w:p w14:paraId="7C5FF555" w14:textId="77777777" w:rsidR="00F86BC8" w:rsidRPr="005516CD" w:rsidRDefault="00F86BC8" w:rsidP="007B146B">
            <w:pPr>
              <w:autoSpaceDE w:val="0"/>
              <w:autoSpaceDN w:val="0"/>
              <w:adjustRightInd w:val="0"/>
              <w:ind w:right="96"/>
              <w:jc w:val="both"/>
              <w:rPr>
                <w:rFonts w:asciiTheme="majorHAnsi" w:hAnsiTheme="majorHAnsi" w:cstheme="majorHAnsi"/>
                <w:color w:val="000000"/>
                <w:sz w:val="20"/>
              </w:rPr>
            </w:pPr>
            <w:r w:rsidRPr="005516CD">
              <w:rPr>
                <w:rFonts w:asciiTheme="majorHAnsi" w:hAnsiTheme="majorHAnsi" w:cstheme="majorHAnsi"/>
                <w:color w:val="000000"/>
                <w:sz w:val="20"/>
              </w:rPr>
              <w:t xml:space="preserve">Development NGOs (e.g. </w:t>
            </w:r>
            <w:proofErr w:type="spellStart"/>
            <w:r w:rsidRPr="005516CD">
              <w:rPr>
                <w:rFonts w:asciiTheme="majorHAnsi" w:hAnsiTheme="majorHAnsi" w:cstheme="majorHAnsi"/>
                <w:color w:val="000000"/>
                <w:sz w:val="20"/>
              </w:rPr>
              <w:t>Fondation</w:t>
            </w:r>
            <w:proofErr w:type="spellEnd"/>
            <w:r w:rsidRPr="005516CD">
              <w:rPr>
                <w:rFonts w:asciiTheme="majorHAnsi" w:hAnsiTheme="majorHAnsi" w:cstheme="majorHAnsi"/>
                <w:color w:val="000000"/>
                <w:sz w:val="20"/>
              </w:rPr>
              <w:t xml:space="preserve"> Seguin)</w:t>
            </w:r>
          </w:p>
        </w:tc>
        <w:tc>
          <w:tcPr>
            <w:tcW w:w="5157" w:type="dxa"/>
          </w:tcPr>
          <w:p w14:paraId="0853B6F7" w14:textId="77777777" w:rsidR="00F86BC8" w:rsidRPr="005516CD" w:rsidRDefault="00F86BC8" w:rsidP="007B146B">
            <w:pPr>
              <w:autoSpaceDE w:val="0"/>
              <w:autoSpaceDN w:val="0"/>
              <w:adjustRightInd w:val="0"/>
              <w:ind w:right="96"/>
              <w:jc w:val="both"/>
              <w:rPr>
                <w:rFonts w:asciiTheme="majorHAnsi" w:hAnsiTheme="majorHAnsi" w:cstheme="majorHAnsi"/>
                <w:color w:val="000000"/>
                <w:sz w:val="20"/>
              </w:rPr>
            </w:pPr>
            <w:r w:rsidRPr="005516CD">
              <w:rPr>
                <w:rFonts w:asciiTheme="majorHAnsi" w:hAnsiTheme="majorHAnsi" w:cstheme="majorHAnsi"/>
                <w:color w:val="000000"/>
                <w:sz w:val="20"/>
              </w:rPr>
              <w:t>Promotion of tree planting, sustainable agriculture and conservation.</w:t>
            </w:r>
          </w:p>
        </w:tc>
      </w:tr>
      <w:tr w:rsidR="00F86BC8" w:rsidRPr="005516CD" w14:paraId="6D9D04C9" w14:textId="77777777" w:rsidTr="00F86BC8">
        <w:tc>
          <w:tcPr>
            <w:tcW w:w="3858" w:type="dxa"/>
          </w:tcPr>
          <w:p w14:paraId="017400C1" w14:textId="77777777" w:rsidR="00F86BC8" w:rsidRPr="005516CD" w:rsidRDefault="00F86BC8" w:rsidP="007B146B">
            <w:pPr>
              <w:autoSpaceDE w:val="0"/>
              <w:autoSpaceDN w:val="0"/>
              <w:adjustRightInd w:val="0"/>
              <w:ind w:right="96"/>
              <w:jc w:val="both"/>
              <w:rPr>
                <w:rFonts w:asciiTheme="majorHAnsi" w:hAnsiTheme="majorHAnsi" w:cstheme="majorHAnsi"/>
                <w:color w:val="000000"/>
                <w:sz w:val="20"/>
              </w:rPr>
            </w:pPr>
            <w:r w:rsidRPr="005516CD">
              <w:rPr>
                <w:rFonts w:asciiTheme="majorHAnsi" w:hAnsiTheme="majorHAnsi" w:cstheme="majorHAnsi"/>
                <w:color w:val="000000"/>
                <w:sz w:val="20"/>
              </w:rPr>
              <w:t>Coffee and cocoa farmers</w:t>
            </w:r>
          </w:p>
        </w:tc>
        <w:tc>
          <w:tcPr>
            <w:tcW w:w="5157" w:type="dxa"/>
          </w:tcPr>
          <w:p w14:paraId="5A4D96BF" w14:textId="77777777" w:rsidR="00F86BC8" w:rsidRPr="005516CD" w:rsidRDefault="00F86BC8" w:rsidP="007B146B">
            <w:pPr>
              <w:autoSpaceDE w:val="0"/>
              <w:autoSpaceDN w:val="0"/>
              <w:adjustRightInd w:val="0"/>
              <w:ind w:right="96"/>
              <w:jc w:val="both"/>
              <w:rPr>
                <w:rFonts w:asciiTheme="majorHAnsi" w:hAnsiTheme="majorHAnsi" w:cstheme="majorHAnsi"/>
                <w:color w:val="000000"/>
                <w:sz w:val="20"/>
              </w:rPr>
            </w:pPr>
            <w:r w:rsidRPr="005516CD">
              <w:rPr>
                <w:rFonts w:asciiTheme="majorHAnsi" w:hAnsiTheme="majorHAnsi" w:cstheme="majorHAnsi"/>
                <w:color w:val="000000"/>
                <w:sz w:val="20"/>
              </w:rPr>
              <w:t>Principal project beneficiaries</w:t>
            </w:r>
          </w:p>
        </w:tc>
      </w:tr>
    </w:tbl>
    <w:p w14:paraId="3BCD91CC" w14:textId="77777777" w:rsidR="006B7BED" w:rsidRPr="005516CD" w:rsidRDefault="006B7BED" w:rsidP="007B146B">
      <w:pPr>
        <w:pStyle w:val="Heading2"/>
        <w:spacing w:after="0"/>
        <w:ind w:left="0"/>
        <w:rPr>
          <w:rStyle w:val="None"/>
          <w:rFonts w:asciiTheme="majorHAnsi" w:eastAsia="Calibri" w:hAnsiTheme="majorHAnsi" w:cstheme="majorHAnsi"/>
          <w:lang w:val="en-US"/>
        </w:rPr>
      </w:pPr>
    </w:p>
    <w:p w14:paraId="585F25D6" w14:textId="77777777" w:rsidR="001771FE" w:rsidRPr="005516CD" w:rsidRDefault="00045B04" w:rsidP="007B146B">
      <w:pPr>
        <w:pStyle w:val="Heading2"/>
        <w:spacing w:after="0"/>
        <w:ind w:left="0"/>
        <w:rPr>
          <w:rStyle w:val="None"/>
          <w:rFonts w:ascii="Calibri" w:eastAsia="Calibri" w:hAnsi="Calibri" w:cs="Calibri"/>
        </w:rPr>
      </w:pPr>
      <w:bookmarkStart w:id="66" w:name="_Toc8933090"/>
      <w:r w:rsidRPr="005516CD">
        <w:rPr>
          <w:rStyle w:val="None"/>
          <w:rFonts w:ascii="Calibri" w:eastAsia="Calibri" w:hAnsi="Calibri" w:cs="Calibri"/>
          <w:lang w:val="en-US"/>
        </w:rPr>
        <w:t>Mainstreaming gender and intercultural issues:</w:t>
      </w:r>
      <w:bookmarkEnd w:id="66"/>
      <w:r w:rsidRPr="005516CD">
        <w:rPr>
          <w:rStyle w:val="None"/>
          <w:rFonts w:ascii="Calibri" w:eastAsia="Calibri" w:hAnsi="Calibri" w:cs="Calibri"/>
          <w:lang w:val="en-US"/>
        </w:rPr>
        <w:t xml:space="preserve">  </w:t>
      </w:r>
    </w:p>
    <w:p w14:paraId="553B5DB4" w14:textId="77777777" w:rsidR="009035BC" w:rsidRPr="005516CD" w:rsidRDefault="00F86BC8"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sectPr w:rsidR="009035BC" w:rsidRPr="005516CD">
          <w:headerReference w:type="even" r:id="rId55"/>
          <w:headerReference w:type="default" r:id="rId56"/>
          <w:footerReference w:type="default" r:id="rId57"/>
          <w:headerReference w:type="first" r:id="rId58"/>
          <w:pgSz w:w="11900" w:h="16840"/>
          <w:pgMar w:top="1440" w:right="1440" w:bottom="1440" w:left="1440" w:header="708" w:footer="432" w:gutter="0"/>
          <w:cols w:space="720"/>
        </w:sectPr>
      </w:pPr>
      <w:r w:rsidRPr="005516CD">
        <w:rPr>
          <w:rFonts w:asciiTheme="majorHAnsi" w:hAnsiTheme="majorHAnsi" w:cstheme="majorHAnsi"/>
          <w:sz w:val="20"/>
          <w:szCs w:val="20"/>
        </w:rPr>
        <w:t xml:space="preserve">Men and women have differential roles and interests in relation to the management of the natural resources in the target areas, and specifically in relation to the management of the target production systems, as well as the overall livelihood support systems of the participating families. The promotion of tree-based production systems may therefore have </w:t>
      </w:r>
      <w:proofErr w:type="gramStart"/>
      <w:r w:rsidRPr="005516CD">
        <w:rPr>
          <w:rFonts w:asciiTheme="majorHAnsi" w:hAnsiTheme="majorHAnsi" w:cstheme="majorHAnsi"/>
          <w:sz w:val="20"/>
          <w:szCs w:val="20"/>
        </w:rPr>
        <w:t>a number of</w:t>
      </w:r>
      <w:proofErr w:type="gramEnd"/>
      <w:r w:rsidRPr="005516CD">
        <w:rPr>
          <w:rFonts w:asciiTheme="majorHAnsi" w:hAnsiTheme="majorHAnsi" w:cstheme="majorHAnsi"/>
          <w:sz w:val="20"/>
          <w:szCs w:val="20"/>
        </w:rPr>
        <w:t xml:space="preserve"> potential gender-related implications, in relation for example to the balance of control of economic resources in the family and community, balances in work load, and levels of representation in decisions on natural resource governance.</w:t>
      </w:r>
    </w:p>
    <w:p w14:paraId="6186AFDC" w14:textId="77777777" w:rsidR="001771FE" w:rsidRPr="005516CD" w:rsidRDefault="00535F56" w:rsidP="003B2210">
      <w:pPr>
        <w:pStyle w:val="Heading2"/>
        <w:numPr>
          <w:ilvl w:val="0"/>
          <w:numId w:val="169"/>
        </w:numPr>
        <w:spacing w:after="120"/>
        <w:rPr>
          <w:rFonts w:ascii="Calibri" w:eastAsia="Calibri" w:hAnsi="Calibri" w:cs="Calibri"/>
          <w:caps/>
          <w:sz w:val="22"/>
          <w:lang w:val="en-US"/>
        </w:rPr>
      </w:pPr>
      <w:bookmarkStart w:id="67" w:name="_Toc8933091"/>
      <w:r>
        <w:rPr>
          <w:rFonts w:ascii="Calibri" w:eastAsia="Calibri" w:hAnsi="Calibri" w:cs="Calibri"/>
          <w:caps/>
          <w:sz w:val="22"/>
          <w:lang w:val="en-US"/>
        </w:rPr>
        <w:t>PROJECT MANAGEMENT</w:t>
      </w:r>
      <w:bookmarkEnd w:id="67"/>
    </w:p>
    <w:p w14:paraId="0715733A" w14:textId="77777777" w:rsidR="001771FE" w:rsidRPr="005516CD" w:rsidRDefault="00045B04" w:rsidP="007B146B">
      <w:pPr>
        <w:pStyle w:val="Heading2"/>
        <w:spacing w:after="0"/>
        <w:ind w:left="0"/>
        <w:rPr>
          <w:rStyle w:val="None"/>
          <w:rFonts w:ascii="Calibri" w:eastAsia="Calibri" w:hAnsi="Calibri" w:cs="Calibri"/>
        </w:rPr>
      </w:pPr>
      <w:bookmarkStart w:id="68" w:name="_Toc8933092"/>
      <w:r w:rsidRPr="005516CD">
        <w:rPr>
          <w:rStyle w:val="None"/>
          <w:rFonts w:ascii="Calibri" w:eastAsia="Calibri" w:hAnsi="Calibri" w:cs="Calibri"/>
          <w:lang w:val="en-US"/>
        </w:rPr>
        <w:t>Cost efficiency and effectiveness:</w:t>
      </w:r>
      <w:bookmarkEnd w:id="68"/>
      <w:r w:rsidRPr="005516CD">
        <w:rPr>
          <w:rStyle w:val="None"/>
          <w:rFonts w:ascii="Calibri" w:eastAsia="Calibri" w:hAnsi="Calibri" w:cs="Calibri"/>
          <w:lang w:val="en-US"/>
        </w:rPr>
        <w:t xml:space="preserve"> </w:t>
      </w:r>
    </w:p>
    <w:p w14:paraId="5CF2258D" w14:textId="77777777" w:rsidR="001771FE" w:rsidRPr="005516CD" w:rsidRDefault="00AC4EEE"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c</w:t>
      </w:r>
      <w:r w:rsidR="00045B04" w:rsidRPr="005516CD">
        <w:rPr>
          <w:rFonts w:asciiTheme="majorHAnsi" w:hAnsiTheme="majorHAnsi" w:cstheme="majorHAnsi"/>
          <w:sz w:val="20"/>
          <w:szCs w:val="20"/>
        </w:rPr>
        <w:t>ost-</w:t>
      </w:r>
      <w:r w:rsidR="00045B04" w:rsidRPr="005516CD">
        <w:rPr>
          <w:rStyle w:val="Hyperlink2"/>
          <w:rFonts w:asciiTheme="majorHAnsi" w:hAnsiTheme="majorHAnsi" w:cstheme="majorHAnsi"/>
          <w:sz w:val="20"/>
          <w:szCs w:val="20"/>
          <w:lang w:val="en-US"/>
        </w:rPr>
        <w:t>effectiveness</w:t>
      </w:r>
      <w:r w:rsidR="00045B04" w:rsidRPr="005516CD">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 xml:space="preserve">of the project </w:t>
      </w:r>
      <w:r w:rsidR="00045B04" w:rsidRPr="005516CD">
        <w:rPr>
          <w:rFonts w:asciiTheme="majorHAnsi" w:hAnsiTheme="majorHAnsi" w:cstheme="majorHAnsi"/>
          <w:sz w:val="20"/>
          <w:szCs w:val="20"/>
          <w:lang w:val="en-US"/>
        </w:rPr>
        <w:t>will be maximized by:</w:t>
      </w:r>
    </w:p>
    <w:p w14:paraId="509775E0" w14:textId="77777777" w:rsidR="00AC4EEE" w:rsidRPr="005516CD" w:rsidRDefault="00AC4EEE" w:rsidP="006B27F4">
      <w:pPr>
        <w:pStyle w:val="ListParagraph"/>
        <w:numPr>
          <w:ilvl w:val="0"/>
          <w:numId w:val="88"/>
        </w:numPr>
        <w:tabs>
          <w:tab w:val="left" w:pos="426"/>
        </w:tabs>
        <w:spacing w:after="120"/>
        <w:ind w:right="96"/>
        <w:jc w:val="both"/>
        <w:rPr>
          <w:rStyle w:val="None"/>
          <w:rFonts w:asciiTheme="majorHAnsi" w:hAnsiTheme="majorHAnsi" w:cstheme="majorHAnsi"/>
          <w:sz w:val="20"/>
          <w:szCs w:val="20"/>
        </w:rPr>
      </w:pPr>
      <w:r w:rsidRPr="005516CD">
        <w:rPr>
          <w:rStyle w:val="None"/>
          <w:rFonts w:asciiTheme="majorHAnsi" w:hAnsiTheme="majorHAnsi" w:cstheme="majorHAnsi"/>
          <w:sz w:val="20"/>
          <w:szCs w:val="20"/>
        </w:rPr>
        <w:t>Supporting the establishment of overarching planning frameworks to ensure that investments in support of tree-based production systems are focused on the localities where they have most potential to deliver a combination of social, productive and environmental benefits</w:t>
      </w:r>
    </w:p>
    <w:p w14:paraId="5D92028B" w14:textId="77777777" w:rsidR="00AC4EEE" w:rsidRPr="005516CD" w:rsidRDefault="00475170" w:rsidP="006B27F4">
      <w:pPr>
        <w:pStyle w:val="ListParagraph"/>
        <w:numPr>
          <w:ilvl w:val="0"/>
          <w:numId w:val="88"/>
        </w:numPr>
        <w:tabs>
          <w:tab w:val="left" w:pos="426"/>
        </w:tabs>
        <w:spacing w:after="120"/>
        <w:ind w:right="96"/>
        <w:jc w:val="both"/>
        <w:rPr>
          <w:rStyle w:val="None"/>
          <w:rFonts w:asciiTheme="majorHAnsi" w:hAnsiTheme="majorHAnsi" w:cstheme="majorHAnsi"/>
          <w:sz w:val="20"/>
          <w:szCs w:val="20"/>
        </w:rPr>
      </w:pPr>
      <w:r w:rsidRPr="005516CD">
        <w:rPr>
          <w:rStyle w:val="None"/>
          <w:rFonts w:asciiTheme="majorHAnsi" w:hAnsiTheme="majorHAnsi" w:cstheme="majorHAnsi"/>
          <w:sz w:val="20"/>
          <w:szCs w:val="20"/>
        </w:rPr>
        <w:t>The h</w:t>
      </w:r>
      <w:r w:rsidR="00AC4EEE" w:rsidRPr="005516CD">
        <w:rPr>
          <w:rStyle w:val="None"/>
          <w:rFonts w:asciiTheme="majorHAnsi" w:hAnsiTheme="majorHAnsi" w:cstheme="majorHAnsi"/>
          <w:sz w:val="20"/>
          <w:szCs w:val="20"/>
        </w:rPr>
        <w:t xml:space="preserve">ighly targeted </w:t>
      </w:r>
      <w:r w:rsidR="009B54EA" w:rsidRPr="005516CD">
        <w:rPr>
          <w:rStyle w:val="None"/>
          <w:rFonts w:asciiTheme="majorHAnsi" w:hAnsiTheme="majorHAnsi" w:cstheme="majorHAnsi"/>
          <w:sz w:val="20"/>
          <w:szCs w:val="20"/>
        </w:rPr>
        <w:t xml:space="preserve">incremental </w:t>
      </w:r>
      <w:r w:rsidR="00AC4EEE" w:rsidRPr="005516CD">
        <w:rPr>
          <w:rStyle w:val="None"/>
          <w:rFonts w:asciiTheme="majorHAnsi" w:hAnsiTheme="majorHAnsi" w:cstheme="majorHAnsi"/>
          <w:sz w:val="20"/>
          <w:szCs w:val="20"/>
        </w:rPr>
        <w:t xml:space="preserve">investment of GEF funds </w:t>
      </w:r>
      <w:r w:rsidR="009B54EA" w:rsidRPr="005516CD">
        <w:rPr>
          <w:rStyle w:val="None"/>
          <w:rFonts w:asciiTheme="majorHAnsi" w:hAnsiTheme="majorHAnsi" w:cstheme="majorHAnsi"/>
          <w:sz w:val="20"/>
          <w:szCs w:val="20"/>
        </w:rPr>
        <w:t xml:space="preserve">in promoting aspects including biodiversity, environmental sustainability, green value chains and spatial planning, thereby leveraging impacts through the significant baseline investments. </w:t>
      </w:r>
    </w:p>
    <w:p w14:paraId="4578651D" w14:textId="77777777" w:rsidR="001771FE" w:rsidRPr="005516CD" w:rsidRDefault="00045B04" w:rsidP="007B146B">
      <w:pPr>
        <w:pStyle w:val="Heading2"/>
        <w:spacing w:after="0"/>
        <w:ind w:left="0"/>
        <w:rPr>
          <w:rStyle w:val="None"/>
          <w:rFonts w:ascii="Calibri" w:eastAsia="Calibri" w:hAnsi="Calibri" w:cs="Calibri"/>
        </w:rPr>
      </w:pPr>
      <w:bookmarkStart w:id="69" w:name="_Toc8933093"/>
      <w:r w:rsidRPr="005516CD">
        <w:rPr>
          <w:rStyle w:val="None"/>
          <w:rFonts w:ascii="Calibri" w:eastAsia="Calibri" w:hAnsi="Calibri" w:cs="Calibri"/>
          <w:lang w:val="en-US"/>
        </w:rPr>
        <w:t>Risk Management:</w:t>
      </w:r>
      <w:bookmarkEnd w:id="69"/>
      <w:r w:rsidRPr="005516CD">
        <w:rPr>
          <w:rStyle w:val="None"/>
          <w:rFonts w:ascii="Calibri" w:eastAsia="Calibri" w:hAnsi="Calibri" w:cs="Calibri"/>
          <w:lang w:val="en-US"/>
        </w:rPr>
        <w:t xml:space="preserve">    </w:t>
      </w:r>
    </w:p>
    <w:p w14:paraId="36CBE27A" w14:textId="77777777" w:rsidR="00986696" w:rsidRPr="005516CD" w:rsidRDefault="0003555B" w:rsidP="00FB5829">
      <w:pPr>
        <w:numPr>
          <w:ilvl w:val="0"/>
          <w:numId w:val="87"/>
        </w:numPr>
        <w:tabs>
          <w:tab w:val="clear" w:pos="720"/>
          <w:tab w:val="num" w:pos="-284"/>
          <w:tab w:val="left" w:pos="426"/>
        </w:tabs>
        <w:spacing w:after="120"/>
        <w:ind w:left="0" w:right="96" w:firstLine="0"/>
        <w:jc w:val="both"/>
        <w:rPr>
          <w:rStyle w:val="Hyperlink2"/>
          <w:rFonts w:asciiTheme="majorHAnsi" w:hAnsiTheme="majorHAnsi" w:cstheme="majorHAnsi"/>
          <w:lang w:val="en-US"/>
        </w:rPr>
      </w:pPr>
      <w:r w:rsidRPr="005516CD">
        <w:rPr>
          <w:rStyle w:val="Hyperlink2"/>
          <w:rFonts w:asciiTheme="majorHAnsi" w:hAnsiTheme="majorHAnsi" w:cstheme="majorHAnsi"/>
          <w:lang w:val="en-US"/>
        </w:rPr>
        <w:t xml:space="preserve">Risks </w:t>
      </w:r>
      <w:r w:rsidRPr="005516CD">
        <w:rPr>
          <w:rStyle w:val="Hyperlink2"/>
          <w:rFonts w:asciiTheme="majorHAnsi" w:hAnsiTheme="majorHAnsi" w:cstheme="majorHAnsi"/>
          <w:sz w:val="20"/>
          <w:szCs w:val="20"/>
          <w:lang w:val="en-US"/>
        </w:rPr>
        <w:t>and corresponding mitigation measures are detailed in the UNDP Risk Log presented in Annex H. These include the social and environmental risks identified in the Social and Environmental Risk Screening in Annex F.</w:t>
      </w:r>
    </w:p>
    <w:p w14:paraId="46BC2D19" w14:textId="77777777" w:rsidR="001771FE" w:rsidRPr="005516CD" w:rsidRDefault="00045B04" w:rsidP="007B146B">
      <w:pPr>
        <w:pStyle w:val="Heading2"/>
        <w:spacing w:after="0"/>
        <w:ind w:left="0"/>
      </w:pPr>
      <w:bookmarkStart w:id="70" w:name="_Toc8933094"/>
      <w:r w:rsidRPr="005516CD">
        <w:rPr>
          <w:rStyle w:val="None"/>
          <w:rFonts w:ascii="Calibri" w:eastAsia="Calibri" w:hAnsi="Calibri" w:cs="Calibri"/>
          <w:lang w:val="en-US"/>
        </w:rPr>
        <w:t>Social and environmental safeguards:</w:t>
      </w:r>
      <w:bookmarkEnd w:id="70"/>
      <w:r w:rsidRPr="005516CD">
        <w:rPr>
          <w:rStyle w:val="None"/>
          <w:rFonts w:ascii="Calibri" w:eastAsia="Calibri" w:hAnsi="Calibri" w:cs="Calibri"/>
          <w:lang w:val="en-US"/>
        </w:rPr>
        <w:t xml:space="preserve">  </w:t>
      </w:r>
    </w:p>
    <w:p w14:paraId="3C1AFC90" w14:textId="77777777" w:rsidR="001771FE" w:rsidRPr="005516CD" w:rsidRDefault="00045B04"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project risk has been categorized as</w:t>
      </w:r>
      <w:r w:rsidR="006B7BED" w:rsidRPr="005516CD">
        <w:rPr>
          <w:rFonts w:asciiTheme="majorHAnsi" w:hAnsiTheme="majorHAnsi" w:cstheme="majorHAnsi"/>
          <w:sz w:val="20"/>
          <w:szCs w:val="20"/>
        </w:rPr>
        <w:t xml:space="preserve"> </w:t>
      </w:r>
      <w:r w:rsidR="00A05F26" w:rsidRPr="005516CD">
        <w:rPr>
          <w:rFonts w:asciiTheme="majorHAnsi" w:hAnsiTheme="majorHAnsi" w:cstheme="majorHAnsi"/>
          <w:sz w:val="20"/>
          <w:szCs w:val="20"/>
        </w:rPr>
        <w:t>Moderate</w:t>
      </w:r>
      <w:r w:rsidRPr="005516CD">
        <w:rPr>
          <w:rFonts w:asciiTheme="majorHAnsi" w:hAnsiTheme="majorHAnsi" w:cstheme="majorHAnsi"/>
          <w:sz w:val="20"/>
          <w:szCs w:val="20"/>
        </w:rPr>
        <w:t xml:space="preserve">. </w:t>
      </w:r>
      <w:r w:rsidR="00A1241C" w:rsidRPr="005516CD">
        <w:rPr>
          <w:rFonts w:asciiTheme="majorHAnsi" w:hAnsiTheme="majorHAnsi" w:cstheme="majorHAnsi"/>
          <w:sz w:val="20"/>
          <w:szCs w:val="20"/>
        </w:rPr>
        <w:t xml:space="preserve">Please see </w:t>
      </w:r>
      <w:r w:rsidRPr="005516CD">
        <w:rPr>
          <w:rFonts w:asciiTheme="majorHAnsi" w:hAnsiTheme="majorHAnsi" w:cstheme="majorHAnsi"/>
          <w:sz w:val="20"/>
          <w:szCs w:val="20"/>
        </w:rPr>
        <w:t xml:space="preserve">Social and Environmental Risk Screening </w:t>
      </w:r>
      <w:r w:rsidR="00A1241C" w:rsidRPr="005516CD">
        <w:rPr>
          <w:rFonts w:asciiTheme="majorHAnsi" w:hAnsiTheme="majorHAnsi" w:cstheme="majorHAnsi"/>
          <w:sz w:val="20"/>
          <w:szCs w:val="20"/>
        </w:rPr>
        <w:t>in Annex F</w:t>
      </w:r>
      <w:r w:rsidRPr="005516CD">
        <w:rPr>
          <w:rFonts w:asciiTheme="majorHAnsi" w:hAnsiTheme="majorHAnsi" w:cstheme="majorHAnsi"/>
          <w:sz w:val="20"/>
          <w:szCs w:val="20"/>
        </w:rPr>
        <w:t>.</w:t>
      </w:r>
      <w:r w:rsidR="00A1241C" w:rsidRPr="005516CD">
        <w:rPr>
          <w:rFonts w:asciiTheme="majorHAnsi" w:hAnsiTheme="majorHAnsi" w:cstheme="majorHAnsi"/>
          <w:sz w:val="20"/>
          <w:szCs w:val="20"/>
        </w:rPr>
        <w:t xml:space="preserve"> </w:t>
      </w:r>
      <w:r w:rsidRPr="005516CD">
        <w:rPr>
          <w:rFonts w:asciiTheme="majorHAnsi" w:hAnsiTheme="majorHAnsi" w:cstheme="majorHAnsi"/>
          <w:sz w:val="20"/>
          <w:szCs w:val="20"/>
        </w:rPr>
        <w:t>Environmental and social grievances will be reported to the GEF in the annual PIR.</w:t>
      </w:r>
      <w:r w:rsidR="00CD7CF9" w:rsidRPr="005516CD">
        <w:rPr>
          <w:rFonts w:asciiTheme="majorHAnsi" w:hAnsiTheme="majorHAnsi" w:cstheme="majorHAnsi"/>
          <w:sz w:val="20"/>
          <w:szCs w:val="20"/>
        </w:rPr>
        <w:t xml:space="preserve"> Addition</w:t>
      </w:r>
      <w:r w:rsidR="0003555B" w:rsidRPr="005516CD">
        <w:rPr>
          <w:rFonts w:asciiTheme="majorHAnsi" w:hAnsiTheme="majorHAnsi" w:cstheme="majorHAnsi"/>
          <w:sz w:val="20"/>
          <w:szCs w:val="20"/>
        </w:rPr>
        <w:t>al</w:t>
      </w:r>
      <w:r w:rsidR="00CD7CF9" w:rsidRPr="005516CD">
        <w:rPr>
          <w:rFonts w:asciiTheme="majorHAnsi" w:hAnsiTheme="majorHAnsi" w:cstheme="majorHAnsi"/>
          <w:sz w:val="20"/>
          <w:szCs w:val="20"/>
        </w:rPr>
        <w:t xml:space="preserve">ly, an ESMF </w:t>
      </w:r>
      <w:r w:rsidR="00CD7CF9" w:rsidRPr="005516CD">
        <w:rPr>
          <w:rFonts w:asciiTheme="majorHAnsi" w:hAnsiTheme="majorHAnsi" w:cstheme="majorHAnsi"/>
          <w:sz w:val="20"/>
          <w:lang w:val="en-US"/>
        </w:rPr>
        <w:t>will be prepared by a project safeguards specialist in the first year of project implementation, during which the risks will be fully identified and the need for further assessment/management properly determined.</w:t>
      </w:r>
    </w:p>
    <w:p w14:paraId="7257EA0A" w14:textId="77777777" w:rsidR="001771FE" w:rsidRPr="005516CD" w:rsidRDefault="00045B04" w:rsidP="007B146B">
      <w:pPr>
        <w:pStyle w:val="Heading2"/>
        <w:spacing w:after="0"/>
        <w:ind w:left="0"/>
        <w:rPr>
          <w:rStyle w:val="None"/>
          <w:rFonts w:ascii="Calibri" w:eastAsia="Calibri" w:hAnsi="Calibri" w:cs="Calibri"/>
        </w:rPr>
      </w:pPr>
      <w:bookmarkStart w:id="71" w:name="_Toc8933095"/>
      <w:r w:rsidRPr="005516CD">
        <w:rPr>
          <w:rStyle w:val="None"/>
          <w:rFonts w:ascii="Calibri" w:eastAsia="Calibri" w:hAnsi="Calibri" w:cs="Calibri"/>
          <w:lang w:val="en-US"/>
        </w:rPr>
        <w:t>Sustainability and Scaling Up:</w:t>
      </w:r>
      <w:bookmarkEnd w:id="71"/>
      <w:r w:rsidRPr="005516CD">
        <w:rPr>
          <w:rStyle w:val="None"/>
          <w:rFonts w:ascii="Calibri" w:eastAsia="Calibri" w:hAnsi="Calibri" w:cs="Calibri"/>
          <w:lang w:val="en-US"/>
        </w:rPr>
        <w:t xml:space="preserve">  </w:t>
      </w:r>
    </w:p>
    <w:p w14:paraId="31BA77A5" w14:textId="77777777" w:rsidR="00685F47" w:rsidRPr="005516CD" w:rsidRDefault="00685F4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sustainability of the project will be ensured by:</w:t>
      </w:r>
    </w:p>
    <w:p w14:paraId="598CD213" w14:textId="77777777" w:rsidR="00685F47" w:rsidRPr="005516CD" w:rsidRDefault="00685F47" w:rsidP="006B27F4">
      <w:pPr>
        <w:numPr>
          <w:ilvl w:val="0"/>
          <w:numId w:val="88"/>
        </w:numPr>
        <w:ind w:left="284" w:right="96" w:hanging="357"/>
        <w:jc w:val="both"/>
        <w:rPr>
          <w:rFonts w:asciiTheme="majorHAnsi" w:hAnsiTheme="majorHAnsi" w:cstheme="majorHAnsi"/>
          <w:sz w:val="20"/>
          <w:szCs w:val="20"/>
        </w:rPr>
      </w:pPr>
      <w:r w:rsidRPr="005516CD">
        <w:rPr>
          <w:rFonts w:asciiTheme="majorHAnsi" w:hAnsiTheme="majorHAnsi" w:cstheme="majorHAnsi"/>
          <w:sz w:val="20"/>
          <w:szCs w:val="20"/>
        </w:rPr>
        <w:t xml:space="preserve">Linking the conservation of forest cover to the application of production systems with proven social and economic viability and sustainability </w:t>
      </w:r>
    </w:p>
    <w:p w14:paraId="0A641AA4" w14:textId="77777777" w:rsidR="00685F47" w:rsidRPr="005516CD" w:rsidRDefault="00685F47" w:rsidP="006B27F4">
      <w:pPr>
        <w:numPr>
          <w:ilvl w:val="0"/>
          <w:numId w:val="88"/>
        </w:numPr>
        <w:ind w:left="284" w:right="96" w:hanging="357"/>
        <w:jc w:val="both"/>
        <w:rPr>
          <w:rFonts w:asciiTheme="majorHAnsi" w:hAnsiTheme="majorHAnsi" w:cstheme="majorHAnsi"/>
          <w:sz w:val="20"/>
          <w:szCs w:val="20"/>
        </w:rPr>
      </w:pPr>
      <w:r w:rsidRPr="005516CD">
        <w:rPr>
          <w:rFonts w:asciiTheme="majorHAnsi" w:hAnsiTheme="majorHAnsi" w:cstheme="majorHAnsi"/>
          <w:sz w:val="20"/>
          <w:szCs w:val="20"/>
        </w:rPr>
        <w:t>Strengthening socially-sustainable governance mechanisms to underpin the application of the proposed resource models</w:t>
      </w:r>
    </w:p>
    <w:p w14:paraId="3D5EC318" w14:textId="77777777" w:rsidR="00685F47" w:rsidRPr="005516CD" w:rsidRDefault="00685F47" w:rsidP="006B27F4">
      <w:pPr>
        <w:numPr>
          <w:ilvl w:val="0"/>
          <w:numId w:val="88"/>
        </w:numPr>
        <w:spacing w:after="120"/>
        <w:ind w:left="284" w:right="96"/>
        <w:jc w:val="both"/>
        <w:rPr>
          <w:rFonts w:asciiTheme="majorHAnsi" w:hAnsiTheme="majorHAnsi" w:cstheme="majorHAnsi"/>
          <w:sz w:val="20"/>
          <w:szCs w:val="20"/>
        </w:rPr>
      </w:pPr>
      <w:r w:rsidRPr="005516CD">
        <w:rPr>
          <w:rFonts w:asciiTheme="majorHAnsi" w:hAnsiTheme="majorHAnsi" w:cstheme="majorHAnsi"/>
          <w:sz w:val="20"/>
          <w:szCs w:val="20"/>
        </w:rPr>
        <w:t>Developing institutional capacities to ensure the continued provision of technical assistance to producers in the long term.</w:t>
      </w:r>
    </w:p>
    <w:p w14:paraId="776F4E6D" w14:textId="77777777" w:rsidR="00685F47" w:rsidRPr="005516CD" w:rsidRDefault="00685F4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A challenge for sustainability will be the aging of the population due to rural-urban migration by young people, a phenomenon which affects the target areas in common with much of the rest of rural Haiti: this threatens to erode traditional knowledge and its transmission between generations, and to reduce the availability of labour for the management of the target production systems. Subject to the recommendations of PPG studies, this will be at least partly addressed by placing particular emphasis on targeting project messages and technical assistance at younger farmers, and by promoting forms of economic activity (such as processing and marketing), related to the target production systems, that provide opportunities and motivations for young people to remain in the target communities.</w:t>
      </w:r>
    </w:p>
    <w:p w14:paraId="04209C38" w14:textId="77777777" w:rsidR="00685F47" w:rsidRPr="005516CD" w:rsidRDefault="00685F4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 xml:space="preserve">This proposed project envisages the </w:t>
      </w:r>
      <w:r w:rsidRPr="005516CD">
        <w:rPr>
          <w:rFonts w:asciiTheme="majorHAnsi" w:hAnsiTheme="majorHAnsi" w:cstheme="majorHAnsi"/>
          <w:sz w:val="20"/>
          <w:szCs w:val="20"/>
          <w:u w:val="single"/>
        </w:rPr>
        <w:t>scaling up</w:t>
      </w:r>
      <w:r w:rsidRPr="005516CD">
        <w:rPr>
          <w:rFonts w:asciiTheme="majorHAnsi" w:hAnsiTheme="majorHAnsi" w:cstheme="majorHAnsi"/>
          <w:sz w:val="20"/>
          <w:szCs w:val="20"/>
        </w:rPr>
        <w:t xml:space="preserve"> of the landscape approach at a broader scale based on the valuable information and lessons learned from the proposed pilot experiences. There is scope for project experiences to be scaled up to all other coffee and cocoa production areas in Haiti, including the south-west peninsula, the Artibonite area in the centre of the country and the </w:t>
      </w:r>
      <w:proofErr w:type="spellStart"/>
      <w:r w:rsidRPr="005516CD">
        <w:rPr>
          <w:rFonts w:asciiTheme="majorHAnsi" w:hAnsiTheme="majorHAnsi" w:cstheme="majorHAnsi"/>
          <w:sz w:val="20"/>
          <w:szCs w:val="20"/>
        </w:rPr>
        <w:t>Belladere</w:t>
      </w:r>
      <w:proofErr w:type="spellEnd"/>
      <w:r w:rsidRPr="005516CD">
        <w:rPr>
          <w:rFonts w:asciiTheme="majorHAnsi" w:hAnsiTheme="majorHAnsi" w:cstheme="majorHAnsi"/>
          <w:sz w:val="20"/>
          <w:szCs w:val="20"/>
        </w:rPr>
        <w:t>/</w:t>
      </w:r>
      <w:proofErr w:type="spellStart"/>
      <w:r w:rsidRPr="005516CD">
        <w:rPr>
          <w:rFonts w:asciiTheme="majorHAnsi" w:hAnsiTheme="majorHAnsi" w:cstheme="majorHAnsi"/>
          <w:sz w:val="20"/>
          <w:szCs w:val="20"/>
        </w:rPr>
        <w:t>Savanette</w:t>
      </w:r>
      <w:proofErr w:type="spellEnd"/>
      <w:r w:rsidRPr="005516CD">
        <w:rPr>
          <w:rFonts w:asciiTheme="majorHAnsi" w:hAnsiTheme="majorHAnsi" w:cstheme="majorHAnsi"/>
          <w:sz w:val="20"/>
          <w:szCs w:val="20"/>
        </w:rPr>
        <w:t xml:space="preserve"> area in the centre/east, on the border with the Dominican Republic. The proposed project will thus develop the capacity of institutions and producers to expand the coverage and programmatic scope to include additional producers in the target areas as well as the potential to replicate practices in other provinces. Scaling-up will be promoted by ensuring that project messages and lessons learned regarding the viability of the proposed management approaches are effectively communicated to entities working with producers in those areas, including Government institutions, development NGOs, producer groups and private sector value chain actors: this communication (to be confirmed during the PPG phase) will achieved through a combination of </w:t>
      </w:r>
      <w:proofErr w:type="spellStart"/>
      <w:r w:rsidRPr="005516CD">
        <w:rPr>
          <w:rFonts w:asciiTheme="majorHAnsi" w:hAnsiTheme="majorHAnsi" w:cstheme="majorHAnsi"/>
          <w:sz w:val="20"/>
          <w:szCs w:val="20"/>
        </w:rPr>
        <w:t>audiovisual</w:t>
      </w:r>
      <w:proofErr w:type="spellEnd"/>
      <w:r w:rsidRPr="005516CD">
        <w:rPr>
          <w:rFonts w:asciiTheme="majorHAnsi" w:hAnsiTheme="majorHAnsi" w:cstheme="majorHAnsi"/>
          <w:sz w:val="20"/>
          <w:szCs w:val="20"/>
        </w:rPr>
        <w:t xml:space="preserve"> and printed dissemination materials, workshops/seminars, and visits by representatives of these entities to project pilots.</w:t>
      </w:r>
    </w:p>
    <w:p w14:paraId="7215C41E" w14:textId="77777777" w:rsidR="001771FE" w:rsidRPr="005516CD" w:rsidRDefault="00E92A90" w:rsidP="007B146B">
      <w:pPr>
        <w:pStyle w:val="Heading2"/>
        <w:spacing w:after="0"/>
        <w:ind w:left="0"/>
        <w:rPr>
          <w:rStyle w:val="None"/>
          <w:rFonts w:ascii="Calibri" w:eastAsia="Calibri" w:hAnsi="Calibri" w:cs="Calibri"/>
          <w:lang w:val="en-US"/>
        </w:rPr>
      </w:pPr>
      <w:bookmarkStart w:id="72" w:name="_Toc8933096"/>
      <w:r w:rsidRPr="005516CD">
        <w:rPr>
          <w:rStyle w:val="None"/>
          <w:rFonts w:ascii="Calibri" w:eastAsia="Calibri" w:hAnsi="Calibri" w:cs="Calibri"/>
          <w:lang w:val="en-US"/>
        </w:rPr>
        <w:t>Exit Strategy</w:t>
      </w:r>
      <w:bookmarkEnd w:id="72"/>
    </w:p>
    <w:p w14:paraId="4811A072" w14:textId="77777777" w:rsidR="006B7BED" w:rsidRPr="005516CD" w:rsidRDefault="00F8527A"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The project will ensure that its impacts are sustained in the long term following the withdrawal of GEF funding by:</w:t>
      </w:r>
    </w:p>
    <w:p w14:paraId="6744FE78" w14:textId="77777777" w:rsidR="000E0DB2" w:rsidRPr="005516CD" w:rsidRDefault="000E0DB2" w:rsidP="006B27F4">
      <w:pPr>
        <w:pStyle w:val="ListParagraph"/>
        <w:numPr>
          <w:ilvl w:val="0"/>
          <w:numId w:val="96"/>
        </w:numPr>
        <w:tabs>
          <w:tab w:val="left" w:pos="709"/>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Ensuring that a solid planning framework is in place, with buy-in from all</w:t>
      </w:r>
      <w:r w:rsidR="0080562C" w:rsidRPr="005516CD">
        <w:rPr>
          <w:rFonts w:asciiTheme="majorHAnsi" w:hAnsiTheme="majorHAnsi" w:cstheme="majorHAnsi"/>
          <w:sz w:val="20"/>
          <w:szCs w:val="20"/>
        </w:rPr>
        <w:t xml:space="preserve"> relevant stakeholders (especially Government institutions and civil society </w:t>
      </w:r>
      <w:proofErr w:type="spellStart"/>
      <w:r w:rsidR="0080562C" w:rsidRPr="005516CD">
        <w:rPr>
          <w:rFonts w:asciiTheme="majorHAnsi" w:hAnsiTheme="majorHAnsi" w:cstheme="majorHAnsi"/>
          <w:sz w:val="20"/>
          <w:szCs w:val="20"/>
        </w:rPr>
        <w:t>organisations</w:t>
      </w:r>
      <w:proofErr w:type="spellEnd"/>
      <w:r w:rsidR="0080562C" w:rsidRPr="005516CD">
        <w:rPr>
          <w:rFonts w:asciiTheme="majorHAnsi" w:hAnsiTheme="majorHAnsi" w:cstheme="majorHAnsi"/>
          <w:sz w:val="20"/>
          <w:szCs w:val="20"/>
        </w:rPr>
        <w:t xml:space="preserve">), for the management of the target landscapes in </w:t>
      </w:r>
      <w:proofErr w:type="spellStart"/>
      <w:r w:rsidR="0080562C" w:rsidRPr="005516CD">
        <w:rPr>
          <w:rFonts w:asciiTheme="majorHAnsi" w:hAnsiTheme="majorHAnsi" w:cstheme="majorHAnsi"/>
          <w:sz w:val="20"/>
          <w:szCs w:val="20"/>
        </w:rPr>
        <w:t>favour</w:t>
      </w:r>
      <w:proofErr w:type="spellEnd"/>
      <w:r w:rsidR="0080562C" w:rsidRPr="005516CD">
        <w:rPr>
          <w:rFonts w:asciiTheme="majorHAnsi" w:hAnsiTheme="majorHAnsi" w:cstheme="majorHAnsi"/>
          <w:sz w:val="20"/>
          <w:szCs w:val="20"/>
        </w:rPr>
        <w:t xml:space="preserve"> of BD and the optimization of ecosystem services (Output 1.1). </w:t>
      </w:r>
    </w:p>
    <w:p w14:paraId="5CE31F41" w14:textId="77777777" w:rsidR="0080562C" w:rsidRPr="005516CD" w:rsidRDefault="0080562C" w:rsidP="006B27F4">
      <w:pPr>
        <w:pStyle w:val="ListParagraph"/>
        <w:numPr>
          <w:ilvl w:val="0"/>
          <w:numId w:val="96"/>
        </w:numPr>
        <w:tabs>
          <w:tab w:val="left" w:pos="709"/>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Supporting the consolidation of governance conditions in the target areas </w:t>
      </w:r>
      <w:r w:rsidR="00397821" w:rsidRPr="005516CD">
        <w:rPr>
          <w:rFonts w:asciiTheme="majorHAnsi" w:hAnsiTheme="majorHAnsi" w:cstheme="majorHAnsi"/>
          <w:sz w:val="20"/>
          <w:szCs w:val="20"/>
        </w:rPr>
        <w:t xml:space="preserve">to counter potential threats to the sustainability of the BD-friendly production and resource management systems, that may emerge in the future (Output 1.2). </w:t>
      </w:r>
    </w:p>
    <w:p w14:paraId="1032DC67" w14:textId="77777777" w:rsidR="000E0DB2" w:rsidRPr="005516CD" w:rsidRDefault="000E0DB2" w:rsidP="006B27F4">
      <w:pPr>
        <w:pStyle w:val="ListParagraph"/>
        <w:numPr>
          <w:ilvl w:val="0"/>
          <w:numId w:val="96"/>
        </w:numPr>
        <w:tabs>
          <w:tab w:val="left" w:pos="709"/>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Supporting the development and application of market-based instruments, including policy support, the development of brands, the development of value chains and the involvement of chambers of commerce, in order to provide farmers with lasting incentives for the application of BD-friendly production systems (Output 1.3).</w:t>
      </w:r>
    </w:p>
    <w:p w14:paraId="0A3E2274" w14:textId="77777777" w:rsidR="00F8527A" w:rsidRPr="005516CD" w:rsidRDefault="00BD4E60" w:rsidP="006B27F4">
      <w:pPr>
        <w:pStyle w:val="ListParagraph"/>
        <w:numPr>
          <w:ilvl w:val="0"/>
          <w:numId w:val="96"/>
        </w:numPr>
        <w:tabs>
          <w:tab w:val="left" w:pos="709"/>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Advising on the incorporation into extension </w:t>
      </w:r>
      <w:proofErr w:type="spellStart"/>
      <w:r w:rsidRPr="005516CD">
        <w:rPr>
          <w:rFonts w:asciiTheme="majorHAnsi" w:hAnsiTheme="majorHAnsi" w:cstheme="majorHAnsi"/>
          <w:sz w:val="20"/>
          <w:szCs w:val="20"/>
        </w:rPr>
        <w:t>programmes</w:t>
      </w:r>
      <w:proofErr w:type="spellEnd"/>
      <w:r w:rsidRPr="005516CD">
        <w:rPr>
          <w:rFonts w:asciiTheme="majorHAnsi" w:hAnsiTheme="majorHAnsi" w:cstheme="majorHAnsi"/>
          <w:sz w:val="20"/>
          <w:szCs w:val="20"/>
        </w:rPr>
        <w:t xml:space="preserve"> and materials used by national actors (Government, NGOs and producer </w:t>
      </w:r>
      <w:proofErr w:type="spellStart"/>
      <w:r w:rsidRPr="005516CD">
        <w:rPr>
          <w:rFonts w:asciiTheme="majorHAnsi" w:hAnsiTheme="majorHAnsi" w:cstheme="majorHAnsi"/>
          <w:sz w:val="20"/>
          <w:szCs w:val="20"/>
        </w:rPr>
        <w:t>organisations</w:t>
      </w:r>
      <w:proofErr w:type="spellEnd"/>
      <w:r w:rsidRPr="005516CD">
        <w:rPr>
          <w:rFonts w:asciiTheme="majorHAnsi" w:hAnsiTheme="majorHAnsi" w:cstheme="majorHAnsi"/>
          <w:sz w:val="20"/>
          <w:szCs w:val="20"/>
        </w:rPr>
        <w:t xml:space="preserve">) of information </w:t>
      </w:r>
      <w:r w:rsidR="00AF143F" w:rsidRPr="005516CD">
        <w:rPr>
          <w:rFonts w:asciiTheme="majorHAnsi" w:hAnsiTheme="majorHAnsi" w:cstheme="majorHAnsi"/>
          <w:sz w:val="20"/>
          <w:szCs w:val="20"/>
        </w:rPr>
        <w:t xml:space="preserve">on </w:t>
      </w:r>
      <w:r w:rsidR="000D5C3C" w:rsidRPr="005516CD">
        <w:rPr>
          <w:rFonts w:asciiTheme="majorHAnsi" w:hAnsiTheme="majorHAnsi" w:cstheme="majorHAnsi"/>
          <w:sz w:val="20"/>
          <w:szCs w:val="20"/>
        </w:rPr>
        <w:t>the benefits and technical prescriptions of BD-friendly production systems, including the provision of training to service providers (Output 2.1). This will allow the maintenance and scaling up of these systems beyond the life of the project.</w:t>
      </w:r>
    </w:p>
    <w:p w14:paraId="0CBC771D" w14:textId="77777777" w:rsidR="000E0DB2" w:rsidRPr="005516CD" w:rsidRDefault="000D5C3C" w:rsidP="006B27F4">
      <w:pPr>
        <w:pStyle w:val="ListParagraph"/>
        <w:numPr>
          <w:ilvl w:val="0"/>
          <w:numId w:val="96"/>
        </w:numPr>
        <w:tabs>
          <w:tab w:val="left" w:pos="709"/>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Increasing the availability to farmers of financial support to enable them to invest in and sustain BD-friendly production systems (Output 2.2). </w:t>
      </w:r>
    </w:p>
    <w:p w14:paraId="35324524" w14:textId="77777777" w:rsidR="000D5C3C" w:rsidRPr="005516CD" w:rsidRDefault="000E0DB2" w:rsidP="006B27F4">
      <w:pPr>
        <w:pStyle w:val="ListParagraph"/>
        <w:numPr>
          <w:ilvl w:val="0"/>
          <w:numId w:val="96"/>
        </w:numPr>
        <w:tabs>
          <w:tab w:val="left" w:pos="709"/>
        </w:tabs>
        <w:spacing w:after="120"/>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Strengthening of producer capacities to generate income from BD-friendly production systems (Output 2.3). </w:t>
      </w:r>
    </w:p>
    <w:p w14:paraId="649332FE" w14:textId="77777777" w:rsidR="00397821" w:rsidRPr="005516CD" w:rsidRDefault="00BC253F" w:rsidP="007B146B">
      <w:pPr>
        <w:pStyle w:val="Heading2"/>
        <w:spacing w:after="0"/>
        <w:ind w:left="0"/>
        <w:rPr>
          <w:rStyle w:val="None"/>
          <w:rFonts w:ascii="Calibri" w:eastAsia="Calibri" w:hAnsi="Calibri" w:cs="Calibri"/>
          <w:lang w:val="en-US"/>
        </w:rPr>
      </w:pPr>
      <w:bookmarkStart w:id="73" w:name="_Toc8933097"/>
      <w:bookmarkStart w:id="74" w:name="_Toc476730141"/>
      <w:r w:rsidRPr="005516CD">
        <w:rPr>
          <w:rStyle w:val="None"/>
          <w:rFonts w:ascii="Calibri" w:eastAsia="Calibri" w:hAnsi="Calibri" w:cs="Calibri"/>
          <w:lang w:val="en-US"/>
        </w:rPr>
        <w:t>South-South and Triangular Cooperation (SSC/</w:t>
      </w:r>
      <w:proofErr w:type="spellStart"/>
      <w:r w:rsidRPr="005516CD">
        <w:rPr>
          <w:rStyle w:val="None"/>
          <w:rFonts w:ascii="Calibri" w:eastAsia="Calibri" w:hAnsi="Calibri" w:cs="Calibri"/>
          <w:lang w:val="en-US"/>
        </w:rPr>
        <w:t>TrC</w:t>
      </w:r>
      <w:proofErr w:type="spellEnd"/>
      <w:r w:rsidRPr="005516CD">
        <w:rPr>
          <w:rStyle w:val="None"/>
          <w:rFonts w:ascii="Calibri" w:eastAsia="Calibri" w:hAnsi="Calibri" w:cs="Calibri"/>
          <w:lang w:val="en-US"/>
        </w:rPr>
        <w:t>)</w:t>
      </w:r>
      <w:bookmarkEnd w:id="73"/>
    </w:p>
    <w:p w14:paraId="7E182DF6" w14:textId="77777777" w:rsidR="00397821" w:rsidRPr="005516CD" w:rsidRDefault="00A907BB"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 xml:space="preserve">Under Output 3.1, </w:t>
      </w:r>
      <w:r w:rsidR="00AC6B85" w:rsidRPr="005516CD">
        <w:rPr>
          <w:rFonts w:asciiTheme="majorHAnsi" w:hAnsiTheme="majorHAnsi" w:cstheme="majorHAnsi"/>
          <w:color w:val="000000" w:themeColor="text1"/>
          <w:sz w:val="20"/>
          <w:szCs w:val="20"/>
        </w:rPr>
        <w:t xml:space="preserve">lessons and experiences will be interchanged as relevant with other countries in the region, particularly others that form part of the Caribbean Biological Corridor (such as Cuba and the Dominican Republic), for example on technical approaches for the management of agroforests, the BD implications of agroforest management and strategies for maximizing them, agroforest products with potential for generating sustainable income, and market/value chain opportunities. </w:t>
      </w:r>
    </w:p>
    <w:p w14:paraId="00A82198" w14:textId="77777777" w:rsidR="00BC253F" w:rsidRPr="005516CD" w:rsidRDefault="00BC253F" w:rsidP="00397821">
      <w:pPr>
        <w:pStyle w:val="Heading2"/>
        <w:spacing w:after="0"/>
        <w:ind w:left="0"/>
        <w:rPr>
          <w:rStyle w:val="Hyperlink2"/>
          <w:color w:val="auto"/>
          <w:lang w:val="en-US"/>
        </w:rPr>
        <w:sectPr w:rsidR="00BC253F" w:rsidRPr="005516CD">
          <w:pgSz w:w="11900" w:h="16840"/>
          <w:pgMar w:top="1440" w:right="1440" w:bottom="1440" w:left="1440" w:header="708" w:footer="432" w:gutter="0"/>
          <w:cols w:space="720"/>
        </w:sectPr>
      </w:pPr>
      <w:r w:rsidRPr="005516CD">
        <w:rPr>
          <w:rStyle w:val="None"/>
          <w:rFonts w:ascii="Calibri" w:eastAsia="Calibri" w:hAnsi="Calibri" w:cs="Calibri"/>
          <w:lang w:val="en-US"/>
        </w:rPr>
        <w:t xml:space="preserve"> </w:t>
      </w:r>
      <w:bookmarkEnd w:id="74"/>
    </w:p>
    <w:p w14:paraId="4D1D74FF" w14:textId="77777777" w:rsidR="001771FE" w:rsidRPr="005516CD" w:rsidRDefault="00045B04" w:rsidP="003B2210">
      <w:pPr>
        <w:pStyle w:val="Heading2"/>
        <w:numPr>
          <w:ilvl w:val="0"/>
          <w:numId w:val="168"/>
        </w:numPr>
        <w:spacing w:after="120"/>
        <w:rPr>
          <w:rFonts w:ascii="Calibri" w:eastAsia="Calibri" w:hAnsi="Calibri" w:cs="Calibri"/>
          <w:caps/>
          <w:sz w:val="22"/>
          <w:lang w:val="en-US"/>
        </w:rPr>
      </w:pPr>
      <w:bookmarkStart w:id="75" w:name="_Toc8933098"/>
      <w:r w:rsidRPr="005516CD">
        <w:rPr>
          <w:rFonts w:ascii="Calibri" w:eastAsia="Calibri" w:hAnsi="Calibri" w:cs="Calibri"/>
          <w:caps/>
          <w:sz w:val="22"/>
          <w:lang w:val="en-US"/>
        </w:rPr>
        <w:t>Project Results Framework</w:t>
      </w:r>
      <w:bookmarkEnd w:id="75"/>
    </w:p>
    <w:tbl>
      <w:tblPr>
        <w:tblW w:w="13892"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5B9BD5"/>
        <w:tblLayout w:type="fixed"/>
        <w:tblLook w:val="04A0" w:firstRow="1" w:lastRow="0" w:firstColumn="1" w:lastColumn="0" w:noHBand="0" w:noVBand="1"/>
      </w:tblPr>
      <w:tblGrid>
        <w:gridCol w:w="13892"/>
      </w:tblGrid>
      <w:tr w:rsidR="001771FE" w:rsidRPr="001B64D1" w14:paraId="28964818" w14:textId="77777777" w:rsidTr="00E45267">
        <w:trPr>
          <w:trHeight w:val="26"/>
          <w:tblHeader/>
        </w:trPr>
        <w:tc>
          <w:tcPr>
            <w:tcW w:w="13892"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7E1E3DFD" w14:textId="77777777" w:rsidR="00D1197C" w:rsidRPr="001B64D1" w:rsidRDefault="00045B04" w:rsidP="00FB5829">
            <w:pPr>
              <w:pStyle w:val="Body"/>
              <w:rPr>
                <w:rStyle w:val="Hyperlink66"/>
                <w:rFonts w:asciiTheme="majorHAnsi" w:hAnsiTheme="majorHAnsi" w:cstheme="majorHAnsi"/>
              </w:rPr>
            </w:pPr>
            <w:r w:rsidRPr="001B64D1">
              <w:rPr>
                <w:rStyle w:val="Hyperlink66"/>
                <w:rFonts w:asciiTheme="majorHAnsi" w:hAnsiTheme="majorHAnsi" w:cstheme="majorHAnsi"/>
              </w:rPr>
              <w:t xml:space="preserve">This project will </w:t>
            </w:r>
            <w:r w:rsidRPr="001B64D1">
              <w:rPr>
                <w:rStyle w:val="None"/>
              </w:rPr>
              <w:t>c</w:t>
            </w:r>
            <w:r w:rsidR="009C36BD" w:rsidRPr="001B64D1">
              <w:rPr>
                <w:rStyle w:val="None"/>
              </w:rPr>
              <w:t>o</w:t>
            </w:r>
            <w:r w:rsidRPr="001B64D1">
              <w:rPr>
                <w:rStyle w:val="None"/>
              </w:rPr>
              <w:t>ntribute</w:t>
            </w:r>
            <w:r w:rsidRPr="001B64D1">
              <w:rPr>
                <w:rStyle w:val="Hyperlink66"/>
                <w:rFonts w:asciiTheme="majorHAnsi" w:hAnsiTheme="majorHAnsi" w:cstheme="majorHAnsi"/>
              </w:rPr>
              <w:t xml:space="preserve"> to the following Sustainable Development Goals:</w:t>
            </w:r>
          </w:p>
          <w:p w14:paraId="693D1908" w14:textId="77777777" w:rsidR="00D1197C" w:rsidRPr="001B64D1" w:rsidRDefault="00D1197C" w:rsidP="00FB5829">
            <w:pPr>
              <w:pStyle w:val="ListParagraph"/>
              <w:numPr>
                <w:ilvl w:val="0"/>
                <w:numId w:val="96"/>
              </w:numPr>
              <w:tabs>
                <w:tab w:val="left" w:pos="709"/>
              </w:tabs>
              <w:spacing w:after="60"/>
              <w:ind w:left="714" w:right="96" w:hanging="357"/>
              <w:jc w:val="both"/>
              <w:rPr>
                <w:rFonts w:asciiTheme="majorHAnsi" w:hAnsiTheme="majorHAnsi" w:cstheme="majorHAnsi"/>
                <w:color w:val="000000" w:themeColor="text1"/>
                <w:sz w:val="20"/>
                <w:szCs w:val="20"/>
              </w:rPr>
            </w:pPr>
            <w:r w:rsidRPr="001B64D1">
              <w:rPr>
                <w:rFonts w:asciiTheme="majorHAnsi" w:hAnsiTheme="majorHAnsi" w:cstheme="majorHAnsi"/>
                <w:b/>
                <w:color w:val="000000" w:themeColor="text1"/>
                <w:sz w:val="20"/>
                <w:szCs w:val="20"/>
              </w:rPr>
              <w:t xml:space="preserve">Goal 1: </w:t>
            </w:r>
            <w:r w:rsidRPr="001B64D1">
              <w:rPr>
                <w:rFonts w:asciiTheme="majorHAnsi" w:hAnsiTheme="majorHAnsi" w:cstheme="majorHAnsi"/>
                <w:color w:val="000000" w:themeColor="text1"/>
                <w:sz w:val="20"/>
                <w:szCs w:val="20"/>
              </w:rPr>
              <w:t xml:space="preserve">No poverty. </w:t>
            </w:r>
          </w:p>
          <w:p w14:paraId="67F62723" w14:textId="77777777" w:rsidR="00D1197C" w:rsidRPr="001B64D1" w:rsidRDefault="00D1197C" w:rsidP="00FB5829">
            <w:pPr>
              <w:pStyle w:val="ListParagraph"/>
              <w:numPr>
                <w:ilvl w:val="0"/>
                <w:numId w:val="96"/>
              </w:numPr>
              <w:tabs>
                <w:tab w:val="left" w:pos="709"/>
              </w:tabs>
              <w:spacing w:after="60"/>
              <w:ind w:left="714" w:right="96" w:hanging="357"/>
              <w:jc w:val="both"/>
              <w:rPr>
                <w:rFonts w:asciiTheme="majorHAnsi" w:hAnsiTheme="majorHAnsi" w:cstheme="majorHAnsi"/>
                <w:color w:val="000000" w:themeColor="text1"/>
                <w:sz w:val="20"/>
                <w:szCs w:val="20"/>
              </w:rPr>
            </w:pPr>
            <w:r w:rsidRPr="001B64D1">
              <w:rPr>
                <w:rFonts w:asciiTheme="majorHAnsi" w:hAnsiTheme="majorHAnsi" w:cstheme="majorHAnsi"/>
                <w:b/>
                <w:color w:val="000000" w:themeColor="text1"/>
                <w:sz w:val="20"/>
                <w:szCs w:val="20"/>
              </w:rPr>
              <w:t xml:space="preserve">Goal 2: </w:t>
            </w:r>
            <w:r w:rsidRPr="001B64D1">
              <w:rPr>
                <w:rFonts w:asciiTheme="majorHAnsi" w:hAnsiTheme="majorHAnsi" w:cstheme="majorHAnsi"/>
                <w:color w:val="000000" w:themeColor="text1"/>
                <w:sz w:val="20"/>
                <w:szCs w:val="20"/>
              </w:rPr>
              <w:t xml:space="preserve">Zero hunger. </w:t>
            </w:r>
          </w:p>
          <w:p w14:paraId="694864BF" w14:textId="77777777" w:rsidR="00D1197C" w:rsidRPr="001B64D1" w:rsidRDefault="00D1197C" w:rsidP="00FB5829">
            <w:pPr>
              <w:pStyle w:val="ListParagraph"/>
              <w:numPr>
                <w:ilvl w:val="0"/>
                <w:numId w:val="96"/>
              </w:numPr>
              <w:tabs>
                <w:tab w:val="left" w:pos="709"/>
              </w:tabs>
              <w:spacing w:after="60"/>
              <w:ind w:left="714" w:right="96" w:hanging="357"/>
              <w:jc w:val="both"/>
              <w:rPr>
                <w:rFonts w:asciiTheme="majorHAnsi" w:hAnsiTheme="majorHAnsi" w:cstheme="majorHAnsi"/>
                <w:color w:val="000000" w:themeColor="text1"/>
                <w:sz w:val="20"/>
                <w:szCs w:val="20"/>
              </w:rPr>
            </w:pPr>
            <w:r w:rsidRPr="001B64D1">
              <w:rPr>
                <w:rFonts w:asciiTheme="majorHAnsi" w:hAnsiTheme="majorHAnsi" w:cstheme="majorHAnsi"/>
                <w:b/>
                <w:color w:val="000000" w:themeColor="text1"/>
                <w:sz w:val="20"/>
                <w:szCs w:val="20"/>
              </w:rPr>
              <w:t xml:space="preserve">Goal 5: </w:t>
            </w:r>
            <w:r w:rsidRPr="001B64D1">
              <w:rPr>
                <w:rFonts w:asciiTheme="majorHAnsi" w:hAnsiTheme="majorHAnsi" w:cstheme="majorHAnsi"/>
                <w:color w:val="000000" w:themeColor="text1"/>
                <w:sz w:val="20"/>
                <w:szCs w:val="20"/>
              </w:rPr>
              <w:t xml:space="preserve">Gender equality. </w:t>
            </w:r>
          </w:p>
          <w:p w14:paraId="194DD6F8" w14:textId="77777777" w:rsidR="00D1197C" w:rsidRPr="001B64D1" w:rsidRDefault="00D1197C" w:rsidP="00FB5829">
            <w:pPr>
              <w:pStyle w:val="ListParagraph"/>
              <w:numPr>
                <w:ilvl w:val="0"/>
                <w:numId w:val="96"/>
              </w:numPr>
              <w:tabs>
                <w:tab w:val="left" w:pos="709"/>
              </w:tabs>
              <w:spacing w:after="60"/>
              <w:ind w:left="714" w:right="96" w:hanging="357"/>
              <w:jc w:val="both"/>
              <w:rPr>
                <w:rFonts w:asciiTheme="majorHAnsi" w:hAnsiTheme="majorHAnsi" w:cstheme="majorHAnsi"/>
                <w:color w:val="000000" w:themeColor="text1"/>
                <w:sz w:val="20"/>
                <w:szCs w:val="20"/>
              </w:rPr>
            </w:pPr>
            <w:r w:rsidRPr="001B64D1">
              <w:rPr>
                <w:rFonts w:asciiTheme="majorHAnsi" w:hAnsiTheme="majorHAnsi" w:cstheme="majorHAnsi"/>
                <w:b/>
                <w:color w:val="000000" w:themeColor="text1"/>
                <w:sz w:val="20"/>
                <w:szCs w:val="20"/>
              </w:rPr>
              <w:t>Goal 8:</w:t>
            </w:r>
            <w:r w:rsidRPr="001B64D1">
              <w:rPr>
                <w:rFonts w:asciiTheme="majorHAnsi" w:hAnsiTheme="majorHAnsi" w:cstheme="majorHAnsi"/>
                <w:color w:val="000000" w:themeColor="text1"/>
                <w:sz w:val="20"/>
                <w:szCs w:val="20"/>
              </w:rPr>
              <w:t xml:space="preserve"> Decent work and economic growth. </w:t>
            </w:r>
          </w:p>
          <w:p w14:paraId="5A3CAAEE" w14:textId="77777777" w:rsidR="00D1197C" w:rsidRPr="001B64D1" w:rsidRDefault="00D1197C" w:rsidP="00FB5829">
            <w:pPr>
              <w:pStyle w:val="ListParagraph"/>
              <w:numPr>
                <w:ilvl w:val="0"/>
                <w:numId w:val="96"/>
              </w:numPr>
              <w:tabs>
                <w:tab w:val="left" w:pos="709"/>
              </w:tabs>
              <w:spacing w:after="60"/>
              <w:ind w:left="714" w:right="96" w:hanging="357"/>
              <w:jc w:val="both"/>
              <w:rPr>
                <w:rFonts w:asciiTheme="majorHAnsi" w:hAnsiTheme="majorHAnsi" w:cstheme="majorHAnsi"/>
                <w:color w:val="000000" w:themeColor="text1"/>
                <w:sz w:val="20"/>
                <w:szCs w:val="20"/>
              </w:rPr>
            </w:pPr>
            <w:r w:rsidRPr="001B64D1">
              <w:rPr>
                <w:rFonts w:asciiTheme="majorHAnsi" w:hAnsiTheme="majorHAnsi" w:cstheme="majorHAnsi"/>
                <w:b/>
                <w:color w:val="000000" w:themeColor="text1"/>
                <w:sz w:val="20"/>
                <w:szCs w:val="20"/>
              </w:rPr>
              <w:t xml:space="preserve">Goal 12: </w:t>
            </w:r>
            <w:r w:rsidRPr="001B64D1">
              <w:rPr>
                <w:rFonts w:asciiTheme="majorHAnsi" w:hAnsiTheme="majorHAnsi" w:cstheme="majorHAnsi"/>
                <w:color w:val="000000" w:themeColor="text1"/>
                <w:sz w:val="20"/>
                <w:szCs w:val="20"/>
              </w:rPr>
              <w:t xml:space="preserve">Responsible production and consumption. </w:t>
            </w:r>
          </w:p>
          <w:p w14:paraId="64764732" w14:textId="77777777" w:rsidR="001771FE" w:rsidRPr="001B64D1" w:rsidRDefault="00D1197C" w:rsidP="00FB5829">
            <w:pPr>
              <w:pStyle w:val="ListParagraph"/>
              <w:numPr>
                <w:ilvl w:val="0"/>
                <w:numId w:val="96"/>
              </w:numPr>
              <w:tabs>
                <w:tab w:val="left" w:pos="709"/>
              </w:tabs>
              <w:spacing w:after="60"/>
              <w:ind w:left="714" w:right="96" w:hanging="357"/>
              <w:jc w:val="both"/>
              <w:rPr>
                <w:rFonts w:asciiTheme="majorHAnsi" w:hAnsiTheme="majorHAnsi" w:cstheme="majorHAnsi"/>
                <w:color w:val="000000" w:themeColor="text1"/>
                <w:sz w:val="20"/>
                <w:szCs w:val="20"/>
              </w:rPr>
            </w:pPr>
            <w:r w:rsidRPr="001B64D1">
              <w:rPr>
                <w:rFonts w:asciiTheme="majorHAnsi" w:hAnsiTheme="majorHAnsi" w:cstheme="majorHAnsi"/>
                <w:b/>
                <w:color w:val="000000" w:themeColor="text1"/>
                <w:sz w:val="20"/>
                <w:szCs w:val="20"/>
              </w:rPr>
              <w:t xml:space="preserve">Goal 15: </w:t>
            </w:r>
            <w:r w:rsidRPr="001B64D1">
              <w:rPr>
                <w:rFonts w:asciiTheme="majorHAnsi" w:hAnsiTheme="majorHAnsi" w:cstheme="majorHAnsi"/>
                <w:color w:val="000000" w:themeColor="text1"/>
                <w:sz w:val="20"/>
                <w:szCs w:val="20"/>
              </w:rPr>
              <w:t>Life on land.</w:t>
            </w:r>
            <w:r w:rsidR="00045B04" w:rsidRPr="001B64D1">
              <w:rPr>
                <w:rStyle w:val="Hyperlink66"/>
                <w:rFonts w:asciiTheme="majorHAnsi" w:hAnsiTheme="majorHAnsi" w:cstheme="majorHAnsi"/>
                <w:sz w:val="20"/>
                <w:szCs w:val="20"/>
              </w:rPr>
              <w:t xml:space="preserve">  </w:t>
            </w:r>
          </w:p>
        </w:tc>
      </w:tr>
      <w:tr w:rsidR="001771FE" w:rsidRPr="001B64D1" w14:paraId="68738589" w14:textId="77777777" w:rsidTr="00E45267">
        <w:trPr>
          <w:trHeight w:val="17"/>
          <w:tblHeader/>
        </w:trPr>
        <w:tc>
          <w:tcPr>
            <w:tcW w:w="13892"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28588F05" w14:textId="77777777" w:rsidR="001771FE" w:rsidRPr="001B64D1" w:rsidRDefault="00045B04" w:rsidP="007B146B">
            <w:pPr>
              <w:pStyle w:val="Body"/>
              <w:spacing w:after="0"/>
            </w:pPr>
            <w:r w:rsidRPr="001B64D1">
              <w:rPr>
                <w:rStyle w:val="None"/>
                <w:b/>
                <w:bCs/>
                <w:lang w:val="en-US"/>
              </w:rPr>
              <w:t xml:space="preserve">This project will contribute to the following country outcome included in the UNDAF/Country Programme Document:  </w:t>
            </w:r>
            <w:r w:rsidR="00D1197C" w:rsidRPr="001B64D1">
              <w:rPr>
                <w:rStyle w:val="None"/>
                <w:bCs/>
                <w:lang w:val="en-US"/>
              </w:rPr>
              <w:t>National, regional and local institutions and civil society improve the management of rural and urban areas, agriculture and the environment, and mechanisms for preventing and reducing risks in order to improve the resilience of the population to natural disasters and to climate change.</w:t>
            </w:r>
          </w:p>
        </w:tc>
      </w:tr>
      <w:tr w:rsidR="001771FE" w:rsidRPr="001B64D1" w14:paraId="1791CFE1" w14:textId="77777777" w:rsidTr="00E45267">
        <w:tblPrEx>
          <w:shd w:val="clear" w:color="auto" w:fill="D0DDEF"/>
        </w:tblPrEx>
        <w:trPr>
          <w:trHeight w:val="17"/>
        </w:trPr>
        <w:tc>
          <w:tcPr>
            <w:tcW w:w="13892" w:type="dxa"/>
            <w:tcBorders>
              <w:top w:val="single" w:sz="4" w:space="0" w:color="000000"/>
              <w:left w:val="single" w:sz="4" w:space="0" w:color="000000"/>
              <w:bottom w:val="single" w:sz="4" w:space="0" w:color="000000"/>
              <w:right w:val="single" w:sz="4" w:space="0" w:color="000000"/>
            </w:tcBorders>
            <w:shd w:val="clear" w:color="auto" w:fill="BFBFBF"/>
            <w:tcMar>
              <w:top w:w="80" w:type="dxa"/>
              <w:left w:w="80" w:type="dxa"/>
              <w:bottom w:w="80" w:type="dxa"/>
              <w:right w:w="80" w:type="dxa"/>
            </w:tcMar>
          </w:tcPr>
          <w:p w14:paraId="32D6C6FD" w14:textId="77777777" w:rsidR="00D1197C" w:rsidRPr="001B64D1" w:rsidRDefault="00045B04" w:rsidP="00D1197C">
            <w:pPr>
              <w:pStyle w:val="Body"/>
              <w:rPr>
                <w:rStyle w:val="Hyperlink60"/>
                <w:iCs/>
              </w:rPr>
            </w:pPr>
            <w:r w:rsidRPr="001B64D1">
              <w:rPr>
                <w:rStyle w:val="None"/>
                <w:b/>
                <w:bCs/>
                <w:lang w:val="en-US"/>
              </w:rPr>
              <w:t xml:space="preserve">This project will be linked to the following </w:t>
            </w:r>
            <w:r w:rsidR="00E17003" w:rsidRPr="001B64D1">
              <w:rPr>
                <w:rStyle w:val="None"/>
                <w:b/>
                <w:bCs/>
                <w:lang w:val="en-US"/>
              </w:rPr>
              <w:t xml:space="preserve">outcome / </w:t>
            </w:r>
            <w:r w:rsidRPr="001B64D1">
              <w:rPr>
                <w:rStyle w:val="None"/>
                <w:b/>
                <w:bCs/>
                <w:lang w:val="en-US"/>
              </w:rPr>
              <w:t>output of the UNDP Strategic Plan:</w:t>
            </w:r>
            <w:r w:rsidRPr="001B64D1">
              <w:rPr>
                <w:rStyle w:val="Hyperlink60"/>
                <w:iCs/>
              </w:rPr>
              <w:t xml:space="preserve"> </w:t>
            </w:r>
          </w:p>
          <w:p w14:paraId="749CB92A" w14:textId="77777777" w:rsidR="00D1197C" w:rsidRPr="001B64D1" w:rsidRDefault="00D1197C" w:rsidP="00FB5829">
            <w:pPr>
              <w:pStyle w:val="Body"/>
              <w:numPr>
                <w:ilvl w:val="0"/>
                <w:numId w:val="96"/>
              </w:numPr>
              <w:rPr>
                <w:rStyle w:val="Hyperlink60"/>
                <w:iCs/>
              </w:rPr>
            </w:pPr>
            <w:r w:rsidRPr="001B64D1">
              <w:rPr>
                <w:rStyle w:val="Hyperlink60"/>
                <w:iCs/>
              </w:rPr>
              <w:t xml:space="preserve">Output </w:t>
            </w:r>
            <w:proofErr w:type="gramStart"/>
            <w:r w:rsidRPr="001B64D1">
              <w:rPr>
                <w:rStyle w:val="Hyperlink60"/>
                <w:iCs/>
              </w:rPr>
              <w:t>1.4.1  Solutions</w:t>
            </w:r>
            <w:proofErr w:type="gramEnd"/>
            <w:r w:rsidRPr="001B64D1">
              <w:rPr>
                <w:rStyle w:val="Hyperlink60"/>
                <w:iCs/>
              </w:rPr>
              <w:t xml:space="preserve"> scaled up for sustainable management of natural resources, including sustainable commodities and green and inclusive value chains</w:t>
            </w:r>
          </w:p>
          <w:p w14:paraId="3B78779F" w14:textId="77777777" w:rsidR="00D41B8D" w:rsidRPr="001B64D1" w:rsidRDefault="00D1197C" w:rsidP="00FB5829">
            <w:pPr>
              <w:pStyle w:val="Body"/>
              <w:numPr>
                <w:ilvl w:val="0"/>
                <w:numId w:val="96"/>
              </w:numPr>
              <w:rPr>
                <w:rFonts w:ascii="Times New Roman" w:eastAsia="Arial Unicode MS" w:hAnsi="Times New Roman" w:cs="Times New Roman"/>
                <w:iCs/>
                <w:color w:val="auto"/>
                <w:lang w:val="en-US" w:eastAsia="en-US"/>
              </w:rPr>
            </w:pPr>
            <w:r w:rsidRPr="001B64D1">
              <w:rPr>
                <w:rStyle w:val="Hyperlink60"/>
                <w:iCs/>
              </w:rPr>
              <w:t xml:space="preserve">Output 2.4.1 Gender-responsive legal and regulatory frameworks, policies and institutions strengthened, and solutions adopted, to address conservation, sustainable use and equitable benefit sharing of natural </w:t>
            </w:r>
            <w:proofErr w:type="gramStart"/>
            <w:r w:rsidRPr="001B64D1">
              <w:rPr>
                <w:rStyle w:val="Hyperlink60"/>
                <w:iCs/>
              </w:rPr>
              <w:t>resources ,</w:t>
            </w:r>
            <w:proofErr w:type="gramEnd"/>
            <w:r w:rsidRPr="001B64D1">
              <w:rPr>
                <w:rStyle w:val="Hyperlink60"/>
                <w:iCs/>
              </w:rPr>
              <w:t xml:space="preserve"> in line with international conventions and national legislation</w:t>
            </w:r>
          </w:p>
        </w:tc>
      </w:tr>
    </w:tbl>
    <w:tbl>
      <w:tblPr>
        <w:tblStyle w:val="TableGrid"/>
        <w:tblW w:w="0" w:type="auto"/>
        <w:tblLook w:val="04A0" w:firstRow="1" w:lastRow="0" w:firstColumn="1" w:lastColumn="0" w:noHBand="0" w:noVBand="1"/>
      </w:tblPr>
      <w:tblGrid>
        <w:gridCol w:w="1947"/>
        <w:gridCol w:w="5043"/>
        <w:gridCol w:w="879"/>
        <w:gridCol w:w="1340"/>
        <w:gridCol w:w="1559"/>
        <w:gridCol w:w="1560"/>
        <w:gridCol w:w="1622"/>
      </w:tblGrid>
      <w:tr w:rsidR="0031038D" w:rsidRPr="005516CD" w14:paraId="0967C2F0" w14:textId="77777777" w:rsidTr="00DE2654">
        <w:trPr>
          <w:tblHeader/>
        </w:trPr>
        <w:tc>
          <w:tcPr>
            <w:tcW w:w="1947" w:type="dxa"/>
            <w:shd w:val="clear" w:color="auto" w:fill="D9D9D9" w:themeFill="background1" w:themeFillShade="D9"/>
          </w:tcPr>
          <w:p w14:paraId="4FE0984B" w14:textId="77777777" w:rsidR="00E45267" w:rsidRPr="005516CD" w:rsidRDefault="00E45267" w:rsidP="00E45267">
            <w:pPr>
              <w:jc w:val="center"/>
            </w:pPr>
            <w:r w:rsidRPr="005516CD">
              <w:rPr>
                <w:rFonts w:asciiTheme="majorHAnsi" w:hAnsiTheme="majorHAnsi" w:cstheme="majorHAnsi"/>
                <w:b/>
                <w:bCs/>
                <w:noProof/>
                <w:sz w:val="19"/>
                <w:szCs w:val="19"/>
                <w:lang w:val="es-ES"/>
              </w:rPr>
              <w:t>Vertical logic</w:t>
            </w:r>
          </w:p>
        </w:tc>
        <w:tc>
          <w:tcPr>
            <w:tcW w:w="5043" w:type="dxa"/>
            <w:shd w:val="clear" w:color="auto" w:fill="D9D9D9" w:themeFill="background1" w:themeFillShade="D9"/>
          </w:tcPr>
          <w:p w14:paraId="763F5FDE" w14:textId="77777777" w:rsidR="00E45267" w:rsidRPr="005516CD" w:rsidRDefault="00E45267" w:rsidP="00E45267">
            <w:pPr>
              <w:jc w:val="center"/>
            </w:pPr>
            <w:r w:rsidRPr="005516CD">
              <w:rPr>
                <w:rFonts w:asciiTheme="majorHAnsi" w:hAnsiTheme="majorHAnsi" w:cstheme="majorHAnsi"/>
                <w:b/>
                <w:bCs/>
                <w:noProof/>
                <w:sz w:val="19"/>
                <w:szCs w:val="19"/>
                <w:lang w:val="es-ES"/>
              </w:rPr>
              <w:t>Indicator</w:t>
            </w:r>
          </w:p>
        </w:tc>
        <w:tc>
          <w:tcPr>
            <w:tcW w:w="879" w:type="dxa"/>
            <w:shd w:val="clear" w:color="auto" w:fill="D9D9D9" w:themeFill="background1" w:themeFillShade="D9"/>
          </w:tcPr>
          <w:p w14:paraId="784DB3B1" w14:textId="77777777" w:rsidR="00E45267" w:rsidRPr="005516CD" w:rsidRDefault="00E45267" w:rsidP="00E45267">
            <w:pPr>
              <w:jc w:val="center"/>
            </w:pPr>
            <w:r w:rsidRPr="005516CD">
              <w:rPr>
                <w:rFonts w:asciiTheme="majorHAnsi" w:hAnsiTheme="majorHAnsi" w:cstheme="majorHAnsi"/>
                <w:b/>
                <w:bCs/>
                <w:noProof/>
                <w:sz w:val="19"/>
                <w:szCs w:val="19"/>
                <w:lang w:val="es-ES"/>
              </w:rPr>
              <w:t>Baseline value</w:t>
            </w:r>
          </w:p>
        </w:tc>
        <w:tc>
          <w:tcPr>
            <w:tcW w:w="1340" w:type="dxa"/>
            <w:shd w:val="clear" w:color="auto" w:fill="D9D9D9" w:themeFill="background1" w:themeFillShade="D9"/>
          </w:tcPr>
          <w:p w14:paraId="57F38ACE" w14:textId="77777777" w:rsidR="00E45267" w:rsidRPr="005516CD" w:rsidRDefault="00E45267" w:rsidP="00E45267">
            <w:pPr>
              <w:jc w:val="center"/>
            </w:pPr>
            <w:r w:rsidRPr="005516CD">
              <w:rPr>
                <w:rFonts w:asciiTheme="majorHAnsi" w:hAnsiTheme="majorHAnsi" w:cstheme="majorHAnsi"/>
                <w:b/>
                <w:bCs/>
                <w:noProof/>
                <w:sz w:val="19"/>
                <w:szCs w:val="19"/>
                <w:lang w:val="es-ES"/>
              </w:rPr>
              <w:t>Mid-term Target</w:t>
            </w:r>
          </w:p>
        </w:tc>
        <w:tc>
          <w:tcPr>
            <w:tcW w:w="1559" w:type="dxa"/>
            <w:shd w:val="clear" w:color="auto" w:fill="D9D9D9" w:themeFill="background1" w:themeFillShade="D9"/>
          </w:tcPr>
          <w:p w14:paraId="3520E444" w14:textId="77777777" w:rsidR="00E45267" w:rsidRPr="005516CD" w:rsidRDefault="00E45267" w:rsidP="00DE2654">
            <w:pPr>
              <w:ind w:left="-105" w:right="-101"/>
              <w:jc w:val="center"/>
            </w:pPr>
            <w:r w:rsidRPr="005516CD">
              <w:rPr>
                <w:rFonts w:asciiTheme="majorHAnsi" w:hAnsiTheme="majorHAnsi" w:cstheme="majorHAnsi"/>
                <w:b/>
                <w:bCs/>
                <w:noProof/>
                <w:sz w:val="19"/>
                <w:szCs w:val="19"/>
                <w:lang w:val="en-US"/>
              </w:rPr>
              <w:t>Target value</w:t>
            </w:r>
            <w:r w:rsidR="00F468EB" w:rsidRPr="005516CD">
              <w:rPr>
                <w:rFonts w:asciiTheme="majorHAnsi" w:hAnsiTheme="majorHAnsi" w:cstheme="majorHAnsi"/>
                <w:b/>
                <w:bCs/>
                <w:noProof/>
                <w:sz w:val="19"/>
                <w:szCs w:val="19"/>
                <w:lang w:val="en-US"/>
              </w:rPr>
              <w:t xml:space="preserve"> (GEF-7 core indicators in bold)</w:t>
            </w:r>
          </w:p>
        </w:tc>
        <w:tc>
          <w:tcPr>
            <w:tcW w:w="1560" w:type="dxa"/>
            <w:shd w:val="clear" w:color="auto" w:fill="D9D9D9" w:themeFill="background1" w:themeFillShade="D9"/>
          </w:tcPr>
          <w:p w14:paraId="49E1DFF7" w14:textId="77777777" w:rsidR="00E45267" w:rsidRPr="005516CD" w:rsidRDefault="00E45267" w:rsidP="00E45267">
            <w:pPr>
              <w:jc w:val="center"/>
              <w:rPr>
                <w:rFonts w:asciiTheme="majorHAnsi" w:hAnsiTheme="majorHAnsi" w:cstheme="majorHAnsi"/>
                <w:b/>
                <w:bCs/>
                <w:noProof/>
                <w:sz w:val="19"/>
                <w:szCs w:val="19"/>
                <w:lang w:val="es-ES"/>
              </w:rPr>
            </w:pPr>
            <w:r w:rsidRPr="005516CD">
              <w:rPr>
                <w:rFonts w:asciiTheme="majorHAnsi" w:hAnsiTheme="majorHAnsi" w:cstheme="majorHAnsi"/>
                <w:b/>
                <w:bCs/>
                <w:noProof/>
                <w:sz w:val="19"/>
                <w:szCs w:val="19"/>
                <w:lang w:val="es-ES"/>
              </w:rPr>
              <w:t>Sources of Verification</w:t>
            </w:r>
          </w:p>
        </w:tc>
        <w:tc>
          <w:tcPr>
            <w:tcW w:w="1622" w:type="dxa"/>
            <w:shd w:val="clear" w:color="auto" w:fill="D9D9D9" w:themeFill="background1" w:themeFillShade="D9"/>
          </w:tcPr>
          <w:p w14:paraId="7959E9B5" w14:textId="77777777" w:rsidR="00E45267" w:rsidRPr="005516CD" w:rsidRDefault="00E45267" w:rsidP="00E45267">
            <w:pPr>
              <w:jc w:val="center"/>
              <w:rPr>
                <w:rFonts w:asciiTheme="majorHAnsi" w:hAnsiTheme="majorHAnsi" w:cstheme="majorHAnsi"/>
                <w:b/>
                <w:bCs/>
                <w:noProof/>
                <w:sz w:val="19"/>
                <w:szCs w:val="19"/>
                <w:lang w:val="es-ES"/>
              </w:rPr>
            </w:pPr>
            <w:r w:rsidRPr="005516CD">
              <w:rPr>
                <w:rFonts w:asciiTheme="majorHAnsi" w:hAnsiTheme="majorHAnsi" w:cstheme="majorHAnsi"/>
                <w:b/>
                <w:bCs/>
                <w:noProof/>
                <w:sz w:val="19"/>
                <w:szCs w:val="19"/>
                <w:lang w:val="es-ES"/>
              </w:rPr>
              <w:t>Assumptions</w:t>
            </w:r>
          </w:p>
        </w:tc>
      </w:tr>
      <w:tr w:rsidR="0031038D" w:rsidRPr="005516CD" w14:paraId="2537F2C2" w14:textId="77777777" w:rsidTr="00DE2654">
        <w:trPr>
          <w:trHeight w:val="1220"/>
        </w:trPr>
        <w:tc>
          <w:tcPr>
            <w:tcW w:w="1947" w:type="dxa"/>
            <w:vMerge w:val="restart"/>
          </w:tcPr>
          <w:p w14:paraId="6CAE202A" w14:textId="77777777" w:rsidR="00A54A32" w:rsidRPr="005516CD" w:rsidRDefault="00A54A32" w:rsidP="00E45267">
            <w:r w:rsidRPr="005516CD">
              <w:rPr>
                <w:rFonts w:asciiTheme="majorHAnsi" w:hAnsiTheme="majorHAnsi" w:cstheme="majorHAnsi"/>
                <w:b/>
                <w:bCs/>
                <w:noProof/>
                <w:sz w:val="19"/>
                <w:szCs w:val="19"/>
              </w:rPr>
              <w:t xml:space="preserve">Objective: </w:t>
            </w:r>
            <w:r w:rsidRPr="005516CD">
              <w:rPr>
                <w:rFonts w:asciiTheme="majorHAnsi" w:hAnsiTheme="majorHAnsi" w:cstheme="majorHAnsi"/>
                <w:bCs/>
                <w:noProof/>
                <w:sz w:val="19"/>
                <w:szCs w:val="19"/>
              </w:rPr>
              <w:t>The generation of multiple environmental and social benefits through the integrated and sustainable management of wooded production landscapes in the Massif du Nord with globally significant biodiversity</w:t>
            </w:r>
          </w:p>
        </w:tc>
        <w:tc>
          <w:tcPr>
            <w:tcW w:w="5043" w:type="dxa"/>
          </w:tcPr>
          <w:p w14:paraId="6F14E730" w14:textId="77777777" w:rsidR="00A54A32" w:rsidRPr="005516CD" w:rsidRDefault="00A54A32" w:rsidP="006B27F4">
            <w:pPr>
              <w:pStyle w:val="ListParagraph"/>
              <w:numPr>
                <w:ilvl w:val="0"/>
                <w:numId w:val="101"/>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firstLine="0"/>
              <w:rPr>
                <w:rFonts w:asciiTheme="majorHAnsi" w:hAnsiTheme="majorHAnsi" w:cstheme="majorHAnsi"/>
                <w:bCs/>
                <w:i/>
                <w:noProof/>
                <w:sz w:val="19"/>
                <w:szCs w:val="19"/>
              </w:rPr>
            </w:pPr>
            <w:r w:rsidRPr="005516CD">
              <w:rPr>
                <w:rFonts w:asciiTheme="majorHAnsi" w:hAnsiTheme="majorHAnsi" w:cstheme="majorHAnsi"/>
                <w:bCs/>
                <w:noProof/>
                <w:sz w:val="19"/>
                <w:szCs w:val="19"/>
              </w:rPr>
              <w:t xml:space="preserve">Area of deforested land restored to forest, and forested land with improved tree cover, favouring the delivery of multiple environmental benefits </w:t>
            </w:r>
          </w:p>
          <w:p w14:paraId="0FF60710" w14:textId="77777777" w:rsidR="00A54A32" w:rsidRPr="005516CD" w:rsidRDefault="00A54A32" w:rsidP="00FB582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rPr>
                <w:rFonts w:asciiTheme="majorHAnsi" w:hAnsiTheme="majorHAnsi" w:cstheme="majorHAnsi"/>
                <w:bCs/>
                <w:i/>
                <w:noProof/>
                <w:sz w:val="19"/>
                <w:szCs w:val="19"/>
              </w:rPr>
            </w:pPr>
            <w:r w:rsidRPr="005516CD">
              <w:rPr>
                <w:rFonts w:asciiTheme="majorHAnsi" w:hAnsiTheme="majorHAnsi" w:cstheme="majorHAnsi"/>
                <w:b/>
                <w:bCs/>
                <w:i/>
                <w:noProof/>
                <w:sz w:val="19"/>
                <w:szCs w:val="19"/>
              </w:rPr>
              <w:t xml:space="preserve">GEF Core Indicator 3.2: </w:t>
            </w:r>
            <w:r w:rsidRPr="005516CD">
              <w:rPr>
                <w:rFonts w:asciiTheme="majorHAnsi" w:hAnsiTheme="majorHAnsi" w:cstheme="majorHAnsi"/>
                <w:bCs/>
                <w:i/>
                <w:noProof/>
                <w:sz w:val="19"/>
                <w:szCs w:val="19"/>
              </w:rPr>
              <w:t>Area of forest and forest land restored (hectares)</w:t>
            </w:r>
          </w:p>
          <w:p w14:paraId="6C79B691" w14:textId="77777777" w:rsidR="00693F02" w:rsidRPr="005516CD" w:rsidRDefault="00693F02" w:rsidP="00693F02">
            <w:pPr>
              <w:rPr>
                <w:b/>
              </w:rPr>
            </w:pPr>
            <w:r w:rsidRPr="005516CD">
              <w:rPr>
                <w:rFonts w:asciiTheme="majorHAnsi" w:hAnsiTheme="majorHAnsi" w:cstheme="majorHAnsi"/>
                <w:b/>
                <w:bCs/>
                <w:i/>
                <w:noProof/>
                <w:sz w:val="19"/>
                <w:szCs w:val="19"/>
              </w:rPr>
              <w:t>IRRF output Indicator 1.4.1.2:</w:t>
            </w:r>
            <w:r w:rsidRPr="005516CD">
              <w:rPr>
                <w:rFonts w:asciiTheme="majorHAnsi" w:hAnsiTheme="majorHAnsi" w:cstheme="majorHAnsi"/>
                <w:bCs/>
                <w:i/>
                <w:noProof/>
                <w:sz w:val="19"/>
                <w:szCs w:val="19"/>
              </w:rPr>
              <w:t xml:space="preserve"> Natural resources that are managed under a sustainable use, conservation, access and benefit-sharing regime: d) Area under sustainable forest management (hectares)</w:t>
            </w:r>
          </w:p>
        </w:tc>
        <w:tc>
          <w:tcPr>
            <w:tcW w:w="879" w:type="dxa"/>
          </w:tcPr>
          <w:p w14:paraId="145DDD01" w14:textId="77777777" w:rsidR="00A54A32" w:rsidRPr="005516CD" w:rsidRDefault="00064469" w:rsidP="00064469">
            <w:pPr>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N/A</w:t>
            </w:r>
          </w:p>
        </w:tc>
        <w:tc>
          <w:tcPr>
            <w:tcW w:w="1340" w:type="dxa"/>
          </w:tcPr>
          <w:p w14:paraId="6FF41A72" w14:textId="77777777" w:rsidR="00A54A32" w:rsidRPr="005516CD" w:rsidRDefault="00064469" w:rsidP="00C066AB">
            <w:pPr>
              <w:rPr>
                <w:rFonts w:asciiTheme="majorHAnsi" w:hAnsiTheme="majorHAnsi" w:cstheme="majorHAnsi"/>
                <w:bCs/>
                <w:noProof/>
                <w:sz w:val="19"/>
                <w:szCs w:val="19"/>
              </w:rPr>
            </w:pPr>
            <w:r w:rsidRPr="005516CD">
              <w:rPr>
                <w:rFonts w:asciiTheme="majorHAnsi" w:hAnsiTheme="majorHAnsi" w:cstheme="majorHAnsi"/>
                <w:bCs/>
                <w:noProof/>
                <w:sz w:val="19"/>
                <w:szCs w:val="19"/>
              </w:rPr>
              <w:t>50 ha</w:t>
            </w:r>
          </w:p>
        </w:tc>
        <w:tc>
          <w:tcPr>
            <w:tcW w:w="1559" w:type="dxa"/>
          </w:tcPr>
          <w:p w14:paraId="02A77244" w14:textId="77777777" w:rsidR="00A54A32" w:rsidRPr="005516CD" w:rsidRDefault="00A54A32" w:rsidP="00E45267">
            <w:pPr>
              <w:rPr>
                <w:rFonts w:asciiTheme="majorHAnsi" w:hAnsiTheme="majorHAnsi" w:cstheme="majorHAnsi"/>
                <w:bCs/>
                <w:noProof/>
                <w:sz w:val="19"/>
                <w:szCs w:val="19"/>
              </w:rPr>
            </w:pPr>
            <w:r w:rsidRPr="005516CD">
              <w:rPr>
                <w:rFonts w:asciiTheme="majorHAnsi" w:hAnsiTheme="majorHAnsi" w:cstheme="majorHAnsi"/>
                <w:bCs/>
                <w:noProof/>
                <w:sz w:val="19"/>
                <w:szCs w:val="19"/>
              </w:rPr>
              <w:t>138 ha</w:t>
            </w:r>
            <w:r w:rsidRPr="005516CD">
              <w:rPr>
                <w:rStyle w:val="FootnoteReference"/>
                <w:rFonts w:asciiTheme="majorHAnsi" w:hAnsiTheme="majorHAnsi" w:cstheme="majorHAnsi"/>
                <w:bCs/>
                <w:noProof/>
                <w:sz w:val="19"/>
                <w:szCs w:val="19"/>
              </w:rPr>
              <w:footnoteReference w:id="61"/>
            </w:r>
          </w:p>
        </w:tc>
        <w:tc>
          <w:tcPr>
            <w:tcW w:w="1560" w:type="dxa"/>
          </w:tcPr>
          <w:p w14:paraId="6CD74F13" w14:textId="77777777" w:rsidR="00A54A32" w:rsidRPr="005516CD" w:rsidRDefault="00064469"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Field inspections of survival and height of trees</w:t>
            </w:r>
          </w:p>
        </w:tc>
        <w:tc>
          <w:tcPr>
            <w:tcW w:w="1622" w:type="dxa"/>
          </w:tcPr>
          <w:p w14:paraId="1B018AD6" w14:textId="77777777" w:rsidR="00A54A32" w:rsidRPr="005516CD" w:rsidRDefault="00203E37"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No major negative climatic, social or political events</w:t>
            </w:r>
          </w:p>
        </w:tc>
      </w:tr>
      <w:tr w:rsidR="0031038D" w:rsidRPr="005516CD" w14:paraId="5278A189" w14:textId="77777777" w:rsidTr="00DE2654">
        <w:tc>
          <w:tcPr>
            <w:tcW w:w="1947" w:type="dxa"/>
            <w:vMerge/>
          </w:tcPr>
          <w:p w14:paraId="6E68CD19" w14:textId="77777777" w:rsidR="00E25524" w:rsidRPr="005516CD" w:rsidRDefault="00E25524" w:rsidP="00E25524"/>
        </w:tc>
        <w:tc>
          <w:tcPr>
            <w:tcW w:w="5043" w:type="dxa"/>
          </w:tcPr>
          <w:p w14:paraId="45912301" w14:textId="77777777" w:rsidR="00E25524" w:rsidRPr="005516CD" w:rsidRDefault="00E25524" w:rsidP="00E25524">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rPr>
                <w:rFonts w:asciiTheme="majorHAnsi" w:hAnsiTheme="majorHAnsi" w:cstheme="majorHAnsi"/>
                <w:bCs/>
                <w:noProof/>
                <w:sz w:val="19"/>
                <w:szCs w:val="19"/>
              </w:rPr>
            </w:pPr>
            <w:r w:rsidRPr="005516CD">
              <w:rPr>
                <w:rFonts w:asciiTheme="majorHAnsi" w:hAnsiTheme="majorHAnsi" w:cstheme="majorHAnsi"/>
                <w:bCs/>
                <w:noProof/>
                <w:sz w:val="19"/>
                <w:szCs w:val="19"/>
              </w:rPr>
              <w:t xml:space="preserve">Areas of agroforests </w:t>
            </w:r>
            <w:r w:rsidR="008E6B0E" w:rsidRPr="005516CD">
              <w:rPr>
                <w:rFonts w:asciiTheme="majorHAnsi" w:hAnsiTheme="majorHAnsi" w:cstheme="majorHAnsi"/>
                <w:bCs/>
                <w:noProof/>
                <w:sz w:val="19"/>
                <w:szCs w:val="19"/>
              </w:rPr>
              <w:t xml:space="preserve">(managed by men and women) </w:t>
            </w:r>
            <w:r w:rsidRPr="005516CD">
              <w:rPr>
                <w:rFonts w:asciiTheme="majorHAnsi" w:hAnsiTheme="majorHAnsi" w:cstheme="majorHAnsi"/>
                <w:bCs/>
                <w:noProof/>
                <w:sz w:val="19"/>
                <w:szCs w:val="19"/>
              </w:rPr>
              <w:t xml:space="preserve">in project target communities with improved management that favours BD habitat and connectivity (e.g. increased diversity of structure and composition), increases overall economic viability, contributes to food security, </w:t>
            </w:r>
            <w:r w:rsidR="001354DF" w:rsidRPr="005516CD">
              <w:rPr>
                <w:rFonts w:asciiTheme="majorHAnsi" w:hAnsiTheme="majorHAnsi" w:cstheme="majorHAnsi"/>
                <w:bCs/>
                <w:noProof/>
                <w:sz w:val="19"/>
                <w:szCs w:val="19"/>
              </w:rPr>
              <w:t xml:space="preserve">generate specific benefits for women, </w:t>
            </w:r>
            <w:r w:rsidRPr="005516CD">
              <w:rPr>
                <w:rFonts w:asciiTheme="majorHAnsi" w:hAnsiTheme="majorHAnsi" w:cstheme="majorHAnsi"/>
                <w:bCs/>
                <w:noProof/>
                <w:sz w:val="19"/>
                <w:szCs w:val="19"/>
              </w:rPr>
              <w:t>and responds to provisions of spatial plans that provide for BD connectivity and ecosystem services</w:t>
            </w:r>
          </w:p>
          <w:p w14:paraId="6BF8BEFE" w14:textId="77777777" w:rsidR="00E25524" w:rsidRPr="005516CD" w:rsidRDefault="00E25524" w:rsidP="006B27F4">
            <w:pPr>
              <w:pStyle w:val="ListParagraph"/>
              <w:numPr>
                <w:ilvl w:val="0"/>
                <w:numId w:val="101"/>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firstLine="0"/>
              <w:rPr>
                <w:rFonts w:asciiTheme="majorHAnsi" w:hAnsiTheme="majorHAnsi" w:cstheme="majorHAnsi"/>
                <w:bCs/>
                <w:noProof/>
                <w:sz w:val="19"/>
                <w:szCs w:val="19"/>
              </w:rPr>
            </w:pPr>
            <w:r w:rsidRPr="005516CD">
              <w:rPr>
                <w:rFonts w:asciiTheme="majorHAnsi" w:hAnsiTheme="majorHAnsi" w:cstheme="majorHAnsi"/>
                <w:bCs/>
                <w:noProof/>
                <w:sz w:val="19"/>
                <w:szCs w:val="19"/>
              </w:rPr>
              <w:t xml:space="preserve">Cacao agroforests </w:t>
            </w:r>
          </w:p>
          <w:p w14:paraId="40C40A1D" w14:textId="77777777" w:rsidR="00E25524" w:rsidRPr="005516CD" w:rsidRDefault="00E25524" w:rsidP="006B27F4">
            <w:pPr>
              <w:pStyle w:val="ListParagraph"/>
              <w:numPr>
                <w:ilvl w:val="0"/>
                <w:numId w:val="101"/>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firstLine="0"/>
              <w:rPr>
                <w:rFonts w:asciiTheme="majorHAnsi" w:hAnsiTheme="majorHAnsi" w:cstheme="majorHAnsi"/>
                <w:bCs/>
                <w:noProof/>
                <w:sz w:val="19"/>
                <w:szCs w:val="19"/>
              </w:rPr>
            </w:pPr>
            <w:r w:rsidRPr="005516CD">
              <w:rPr>
                <w:rFonts w:asciiTheme="majorHAnsi" w:hAnsiTheme="majorHAnsi" w:cstheme="majorHAnsi"/>
                <w:bCs/>
                <w:noProof/>
                <w:sz w:val="19"/>
                <w:szCs w:val="19"/>
              </w:rPr>
              <w:t>Coffee agroforests</w:t>
            </w:r>
          </w:p>
          <w:p w14:paraId="3BC4CD7B" w14:textId="77777777" w:rsidR="00E25524" w:rsidRPr="005516CD" w:rsidRDefault="00E25524" w:rsidP="006B27F4">
            <w:pPr>
              <w:pStyle w:val="ListParagraph"/>
              <w:numPr>
                <w:ilvl w:val="0"/>
                <w:numId w:val="101"/>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firstLine="0"/>
              <w:rPr>
                <w:rFonts w:asciiTheme="majorHAnsi" w:hAnsiTheme="majorHAnsi" w:cstheme="majorHAnsi"/>
                <w:b/>
                <w:bCs/>
                <w:i/>
                <w:noProof/>
                <w:sz w:val="19"/>
                <w:szCs w:val="19"/>
              </w:rPr>
            </w:pPr>
            <w:r w:rsidRPr="005516CD">
              <w:rPr>
                <w:rFonts w:asciiTheme="majorHAnsi" w:hAnsiTheme="majorHAnsi" w:cstheme="majorHAnsi"/>
                <w:bCs/>
                <w:noProof/>
                <w:sz w:val="19"/>
                <w:szCs w:val="19"/>
              </w:rPr>
              <w:t>Home gardens, annual cropping and grazing areas with agroforestry</w:t>
            </w:r>
          </w:p>
          <w:p w14:paraId="080BC473" w14:textId="77777777" w:rsidR="00E25524" w:rsidRPr="005516CD" w:rsidRDefault="00E25524" w:rsidP="00E25524">
            <w:pPr>
              <w:rPr>
                <w:b/>
              </w:rPr>
            </w:pPr>
            <w:r w:rsidRPr="005516CD">
              <w:rPr>
                <w:rFonts w:asciiTheme="majorHAnsi" w:hAnsiTheme="majorHAnsi" w:cstheme="majorHAnsi"/>
                <w:b/>
                <w:bCs/>
                <w:i/>
                <w:noProof/>
                <w:sz w:val="19"/>
                <w:szCs w:val="19"/>
              </w:rPr>
              <w:t xml:space="preserve">Total for GEF-7 Core Indicator 4.1: </w:t>
            </w:r>
            <w:r w:rsidRPr="005516CD">
              <w:rPr>
                <w:rFonts w:asciiTheme="majorHAnsi" w:hAnsiTheme="majorHAnsi" w:cstheme="majorHAnsi"/>
                <w:bCs/>
                <w:i/>
                <w:noProof/>
                <w:sz w:val="19"/>
                <w:szCs w:val="19"/>
              </w:rPr>
              <w:t>area of landscapes under improved management to benefit biodiversity</w:t>
            </w:r>
          </w:p>
        </w:tc>
        <w:tc>
          <w:tcPr>
            <w:tcW w:w="879" w:type="dxa"/>
          </w:tcPr>
          <w:p w14:paraId="467C1E4F" w14:textId="77777777" w:rsidR="00E25524" w:rsidRPr="005516CD" w:rsidRDefault="00E25524" w:rsidP="00E25524">
            <w:pPr>
              <w:jc w:val="right"/>
              <w:rPr>
                <w:rFonts w:asciiTheme="majorHAnsi" w:hAnsiTheme="majorHAnsi" w:cstheme="majorHAnsi"/>
                <w:bCs/>
                <w:noProof/>
                <w:sz w:val="19"/>
                <w:szCs w:val="19"/>
              </w:rPr>
            </w:pPr>
          </w:p>
          <w:p w14:paraId="22A38ED3" w14:textId="77777777" w:rsidR="00E25524" w:rsidRPr="005516CD" w:rsidRDefault="00E25524" w:rsidP="00E25524">
            <w:pPr>
              <w:jc w:val="right"/>
              <w:rPr>
                <w:rFonts w:asciiTheme="majorHAnsi" w:hAnsiTheme="majorHAnsi" w:cstheme="majorHAnsi"/>
                <w:bCs/>
                <w:noProof/>
                <w:sz w:val="19"/>
                <w:szCs w:val="19"/>
              </w:rPr>
            </w:pPr>
          </w:p>
          <w:p w14:paraId="77AAEB1F" w14:textId="77777777" w:rsidR="00E25524" w:rsidRPr="005516CD" w:rsidRDefault="00E25524" w:rsidP="00E25524">
            <w:pPr>
              <w:jc w:val="right"/>
              <w:rPr>
                <w:rFonts w:asciiTheme="majorHAnsi" w:hAnsiTheme="majorHAnsi" w:cstheme="majorHAnsi"/>
                <w:bCs/>
                <w:noProof/>
                <w:sz w:val="19"/>
                <w:szCs w:val="19"/>
              </w:rPr>
            </w:pPr>
          </w:p>
          <w:p w14:paraId="730B067C" w14:textId="77777777" w:rsidR="00E25524" w:rsidRPr="005516CD" w:rsidRDefault="00E25524" w:rsidP="00E25524">
            <w:pPr>
              <w:jc w:val="right"/>
              <w:rPr>
                <w:rFonts w:asciiTheme="majorHAnsi" w:hAnsiTheme="majorHAnsi" w:cstheme="majorHAnsi"/>
                <w:bCs/>
                <w:noProof/>
                <w:sz w:val="19"/>
                <w:szCs w:val="19"/>
              </w:rPr>
            </w:pPr>
          </w:p>
          <w:p w14:paraId="0904B790" w14:textId="77777777" w:rsidR="00E25524" w:rsidRPr="005516CD" w:rsidRDefault="00E25524" w:rsidP="00E25524">
            <w:pPr>
              <w:spacing w:after="60"/>
              <w:jc w:val="right"/>
              <w:rPr>
                <w:rFonts w:asciiTheme="majorHAnsi" w:hAnsiTheme="majorHAnsi" w:cstheme="majorHAnsi"/>
                <w:bCs/>
                <w:noProof/>
                <w:sz w:val="19"/>
                <w:szCs w:val="19"/>
              </w:rPr>
            </w:pPr>
          </w:p>
          <w:p w14:paraId="1502D42D" w14:textId="77777777" w:rsidR="00E25524" w:rsidRPr="005516CD" w:rsidRDefault="00E25524" w:rsidP="00E25524">
            <w:pPr>
              <w:jc w:val="right"/>
              <w:rPr>
                <w:rFonts w:asciiTheme="majorHAnsi" w:hAnsiTheme="majorHAnsi" w:cstheme="majorHAnsi"/>
                <w:bCs/>
                <w:noProof/>
                <w:sz w:val="19"/>
                <w:szCs w:val="19"/>
              </w:rPr>
            </w:pPr>
          </w:p>
          <w:p w14:paraId="2892730E" w14:textId="77777777" w:rsidR="00E25524" w:rsidRPr="005516CD" w:rsidRDefault="00E25524" w:rsidP="00E25524">
            <w:pPr>
              <w:spacing w:after="60"/>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N/A</w:t>
            </w:r>
          </w:p>
          <w:p w14:paraId="1554961D" w14:textId="77777777" w:rsidR="00E25524" w:rsidRPr="005516CD" w:rsidRDefault="00E25524" w:rsidP="00E25524">
            <w:pPr>
              <w:spacing w:after="60"/>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N/A</w:t>
            </w:r>
          </w:p>
          <w:p w14:paraId="690F8896" w14:textId="77777777" w:rsidR="00E25524" w:rsidRPr="005516CD" w:rsidRDefault="00E25524" w:rsidP="00E25524">
            <w:pPr>
              <w:spacing w:after="60"/>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N/A</w:t>
            </w:r>
          </w:p>
        </w:tc>
        <w:tc>
          <w:tcPr>
            <w:tcW w:w="1340" w:type="dxa"/>
          </w:tcPr>
          <w:p w14:paraId="13F7C939" w14:textId="77777777" w:rsidR="00E25524" w:rsidRPr="005516CD" w:rsidRDefault="00E25524" w:rsidP="00E25524">
            <w:pPr>
              <w:jc w:val="right"/>
              <w:rPr>
                <w:rFonts w:asciiTheme="majorHAnsi" w:hAnsiTheme="majorHAnsi" w:cstheme="majorHAnsi"/>
                <w:bCs/>
                <w:noProof/>
                <w:sz w:val="19"/>
                <w:szCs w:val="19"/>
              </w:rPr>
            </w:pPr>
          </w:p>
          <w:p w14:paraId="23EF444F" w14:textId="77777777" w:rsidR="00E25524" w:rsidRPr="005516CD" w:rsidRDefault="00E25524" w:rsidP="00E25524">
            <w:pPr>
              <w:jc w:val="right"/>
              <w:rPr>
                <w:rFonts w:asciiTheme="majorHAnsi" w:hAnsiTheme="majorHAnsi" w:cstheme="majorHAnsi"/>
                <w:bCs/>
                <w:noProof/>
                <w:sz w:val="19"/>
                <w:szCs w:val="19"/>
              </w:rPr>
            </w:pPr>
          </w:p>
          <w:p w14:paraId="2D1C51CF" w14:textId="77777777" w:rsidR="00E25524" w:rsidRPr="005516CD" w:rsidRDefault="00E25524" w:rsidP="00E25524">
            <w:pPr>
              <w:jc w:val="right"/>
              <w:rPr>
                <w:rFonts w:asciiTheme="majorHAnsi" w:hAnsiTheme="majorHAnsi" w:cstheme="majorHAnsi"/>
                <w:bCs/>
                <w:noProof/>
                <w:sz w:val="19"/>
                <w:szCs w:val="19"/>
              </w:rPr>
            </w:pPr>
          </w:p>
          <w:p w14:paraId="327B3423" w14:textId="77777777" w:rsidR="00E25524" w:rsidRPr="005516CD" w:rsidRDefault="00E25524" w:rsidP="00E25524">
            <w:pPr>
              <w:jc w:val="right"/>
              <w:rPr>
                <w:rFonts w:asciiTheme="majorHAnsi" w:hAnsiTheme="majorHAnsi" w:cstheme="majorHAnsi"/>
                <w:bCs/>
                <w:noProof/>
                <w:sz w:val="19"/>
                <w:szCs w:val="19"/>
              </w:rPr>
            </w:pPr>
          </w:p>
          <w:p w14:paraId="3B8BF68F" w14:textId="77777777" w:rsidR="00E25524" w:rsidRPr="005516CD" w:rsidRDefault="00E25524" w:rsidP="00E25524">
            <w:pPr>
              <w:spacing w:after="60"/>
              <w:jc w:val="right"/>
              <w:rPr>
                <w:rFonts w:asciiTheme="majorHAnsi" w:hAnsiTheme="majorHAnsi" w:cstheme="majorHAnsi"/>
                <w:bCs/>
                <w:noProof/>
                <w:sz w:val="19"/>
                <w:szCs w:val="19"/>
              </w:rPr>
            </w:pPr>
          </w:p>
          <w:p w14:paraId="037EAF9C" w14:textId="77777777" w:rsidR="00E25524" w:rsidRPr="005516CD" w:rsidRDefault="00E25524" w:rsidP="00E25524">
            <w:pPr>
              <w:jc w:val="right"/>
              <w:rPr>
                <w:rFonts w:asciiTheme="majorHAnsi" w:hAnsiTheme="majorHAnsi" w:cstheme="majorHAnsi"/>
                <w:bCs/>
                <w:noProof/>
                <w:sz w:val="19"/>
                <w:szCs w:val="19"/>
              </w:rPr>
            </w:pPr>
          </w:p>
          <w:p w14:paraId="2E23971D" w14:textId="77777777" w:rsidR="00E25524" w:rsidRPr="005516CD" w:rsidRDefault="00E25524" w:rsidP="00E25524">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2,000 ha</w:t>
            </w:r>
          </w:p>
          <w:p w14:paraId="26690A27" w14:textId="77777777" w:rsidR="00E25524" w:rsidRPr="005516CD" w:rsidRDefault="00E25524" w:rsidP="00E25524">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10 ha</w:t>
            </w:r>
          </w:p>
          <w:p w14:paraId="26B7531C" w14:textId="77777777" w:rsidR="00E25524" w:rsidRPr="005516CD" w:rsidRDefault="00E25524" w:rsidP="00E25524">
            <w:r w:rsidRPr="005516CD">
              <w:rPr>
                <w:rFonts w:asciiTheme="majorHAnsi" w:hAnsiTheme="majorHAnsi" w:cstheme="majorHAnsi"/>
                <w:bCs/>
                <w:noProof/>
                <w:sz w:val="19"/>
                <w:szCs w:val="19"/>
              </w:rPr>
              <w:t>250 ha</w:t>
            </w:r>
          </w:p>
        </w:tc>
        <w:tc>
          <w:tcPr>
            <w:tcW w:w="1559" w:type="dxa"/>
          </w:tcPr>
          <w:p w14:paraId="61FC23F3" w14:textId="77777777" w:rsidR="00E25524" w:rsidRPr="005516CD" w:rsidRDefault="00E25524" w:rsidP="00E25524">
            <w:pPr>
              <w:rPr>
                <w:rFonts w:asciiTheme="majorHAnsi" w:hAnsiTheme="majorHAnsi" w:cstheme="majorHAnsi"/>
                <w:bCs/>
                <w:noProof/>
                <w:sz w:val="19"/>
                <w:szCs w:val="19"/>
              </w:rPr>
            </w:pPr>
          </w:p>
          <w:p w14:paraId="20FC05C2" w14:textId="77777777" w:rsidR="00E25524" w:rsidRPr="005516CD" w:rsidRDefault="00E25524" w:rsidP="00E25524">
            <w:pPr>
              <w:rPr>
                <w:rFonts w:asciiTheme="majorHAnsi" w:hAnsiTheme="majorHAnsi" w:cstheme="majorHAnsi"/>
                <w:bCs/>
                <w:noProof/>
                <w:sz w:val="19"/>
                <w:szCs w:val="19"/>
              </w:rPr>
            </w:pPr>
          </w:p>
          <w:p w14:paraId="7F75AD34" w14:textId="77777777" w:rsidR="00E25524" w:rsidRPr="005516CD" w:rsidRDefault="00E25524" w:rsidP="00E25524">
            <w:pPr>
              <w:rPr>
                <w:rFonts w:asciiTheme="majorHAnsi" w:hAnsiTheme="majorHAnsi" w:cstheme="majorHAnsi"/>
                <w:bCs/>
                <w:noProof/>
                <w:sz w:val="19"/>
                <w:szCs w:val="19"/>
              </w:rPr>
            </w:pPr>
          </w:p>
          <w:p w14:paraId="608299E7" w14:textId="77777777" w:rsidR="00E25524" w:rsidRPr="005516CD" w:rsidRDefault="00E25524" w:rsidP="00E25524">
            <w:pPr>
              <w:rPr>
                <w:rFonts w:asciiTheme="majorHAnsi" w:hAnsiTheme="majorHAnsi" w:cstheme="majorHAnsi"/>
                <w:bCs/>
                <w:noProof/>
                <w:sz w:val="19"/>
                <w:szCs w:val="19"/>
              </w:rPr>
            </w:pPr>
          </w:p>
          <w:p w14:paraId="0D57100F" w14:textId="77777777" w:rsidR="00E25524" w:rsidRPr="005516CD" w:rsidRDefault="00E25524" w:rsidP="00E25524">
            <w:pPr>
              <w:rPr>
                <w:rFonts w:asciiTheme="majorHAnsi" w:hAnsiTheme="majorHAnsi" w:cstheme="majorHAnsi"/>
                <w:bCs/>
                <w:noProof/>
                <w:sz w:val="19"/>
                <w:szCs w:val="19"/>
              </w:rPr>
            </w:pPr>
          </w:p>
          <w:p w14:paraId="600FBA75" w14:textId="77777777" w:rsidR="00E25524" w:rsidRPr="005516CD" w:rsidRDefault="00E25524" w:rsidP="00E25524">
            <w:pPr>
              <w:spacing w:after="60"/>
              <w:rPr>
                <w:rFonts w:asciiTheme="majorHAnsi" w:hAnsiTheme="majorHAnsi" w:cstheme="majorHAnsi"/>
                <w:bCs/>
                <w:noProof/>
                <w:sz w:val="19"/>
                <w:szCs w:val="19"/>
              </w:rPr>
            </w:pPr>
          </w:p>
          <w:p w14:paraId="5670FE62" w14:textId="77777777" w:rsidR="00E25524" w:rsidRPr="005516CD" w:rsidRDefault="00E25524" w:rsidP="00E25524">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5,040 ha</w:t>
            </w:r>
            <w:r w:rsidRPr="005516CD">
              <w:rPr>
                <w:rStyle w:val="FootnoteReference"/>
                <w:rFonts w:asciiTheme="majorHAnsi" w:hAnsiTheme="majorHAnsi" w:cstheme="majorHAnsi"/>
                <w:bCs/>
                <w:noProof/>
                <w:sz w:val="19"/>
                <w:szCs w:val="19"/>
              </w:rPr>
              <w:footnoteReference w:id="62"/>
            </w:r>
            <w:r w:rsidRPr="005516CD">
              <w:rPr>
                <w:rFonts w:asciiTheme="majorHAnsi" w:hAnsiTheme="majorHAnsi" w:cstheme="majorHAnsi"/>
                <w:bCs/>
                <w:noProof/>
                <w:sz w:val="19"/>
                <w:szCs w:val="19"/>
              </w:rPr>
              <w:t xml:space="preserve"> </w:t>
            </w:r>
          </w:p>
          <w:p w14:paraId="47DBD450" w14:textId="77777777" w:rsidR="00E25524" w:rsidRPr="005516CD" w:rsidRDefault="00E25524" w:rsidP="00E25524">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30 ha</w:t>
            </w:r>
            <w:r w:rsidRPr="005516CD">
              <w:rPr>
                <w:rStyle w:val="FootnoteReference"/>
                <w:rFonts w:asciiTheme="majorHAnsi" w:hAnsiTheme="majorHAnsi" w:cstheme="majorHAnsi"/>
                <w:bCs/>
                <w:noProof/>
                <w:sz w:val="19"/>
                <w:szCs w:val="19"/>
              </w:rPr>
              <w:footnoteReference w:id="63"/>
            </w:r>
          </w:p>
          <w:p w14:paraId="576CCB51" w14:textId="77777777" w:rsidR="00E25524" w:rsidRPr="005516CD" w:rsidRDefault="00E25524" w:rsidP="00E25524">
            <w:pPr>
              <w:rPr>
                <w:rFonts w:asciiTheme="majorHAnsi" w:hAnsiTheme="majorHAnsi" w:cstheme="majorHAnsi"/>
                <w:bCs/>
                <w:noProof/>
                <w:sz w:val="19"/>
                <w:szCs w:val="19"/>
              </w:rPr>
            </w:pPr>
            <w:r w:rsidRPr="005516CD">
              <w:rPr>
                <w:rFonts w:asciiTheme="majorHAnsi" w:hAnsiTheme="majorHAnsi" w:cstheme="majorHAnsi"/>
                <w:bCs/>
                <w:noProof/>
                <w:sz w:val="19"/>
                <w:szCs w:val="19"/>
              </w:rPr>
              <w:t>630 ha</w:t>
            </w:r>
            <w:r w:rsidRPr="005516CD">
              <w:rPr>
                <w:rStyle w:val="FootnoteReference"/>
                <w:rFonts w:asciiTheme="majorHAnsi" w:hAnsiTheme="majorHAnsi" w:cstheme="majorHAnsi"/>
                <w:bCs/>
                <w:noProof/>
                <w:sz w:val="19"/>
                <w:szCs w:val="19"/>
              </w:rPr>
              <w:footnoteReference w:id="64"/>
            </w:r>
          </w:p>
          <w:p w14:paraId="03C0BC7E" w14:textId="77777777" w:rsidR="00E25524" w:rsidRPr="005516CD" w:rsidRDefault="00E25524" w:rsidP="00E25524">
            <w:pPr>
              <w:rPr>
                <w:rFonts w:asciiTheme="majorHAnsi" w:hAnsiTheme="majorHAnsi" w:cstheme="majorHAnsi"/>
                <w:bCs/>
                <w:noProof/>
                <w:sz w:val="19"/>
                <w:szCs w:val="19"/>
              </w:rPr>
            </w:pPr>
          </w:p>
          <w:p w14:paraId="140BEDFD" w14:textId="77777777" w:rsidR="00E25524" w:rsidRPr="005516CD" w:rsidRDefault="00E25524" w:rsidP="00E25524">
            <w:pPr>
              <w:rPr>
                <w:rFonts w:asciiTheme="majorHAnsi" w:hAnsiTheme="majorHAnsi" w:cstheme="majorHAnsi"/>
                <w:bCs/>
                <w:noProof/>
                <w:sz w:val="19"/>
                <w:szCs w:val="19"/>
              </w:rPr>
            </w:pPr>
          </w:p>
          <w:p w14:paraId="28B5CFF0" w14:textId="77777777" w:rsidR="00E25524" w:rsidRPr="005516CD" w:rsidRDefault="00E25524" w:rsidP="00E25524">
            <w:pPr>
              <w:rPr>
                <w:rFonts w:asciiTheme="majorHAnsi" w:hAnsiTheme="majorHAnsi" w:cstheme="majorHAnsi"/>
                <w:b/>
                <w:bCs/>
                <w:noProof/>
                <w:sz w:val="19"/>
                <w:szCs w:val="19"/>
              </w:rPr>
            </w:pPr>
            <w:r w:rsidRPr="005516CD">
              <w:rPr>
                <w:rFonts w:asciiTheme="majorHAnsi" w:hAnsiTheme="majorHAnsi" w:cstheme="majorHAnsi"/>
                <w:b/>
                <w:bCs/>
                <w:noProof/>
                <w:sz w:val="19"/>
                <w:szCs w:val="19"/>
              </w:rPr>
              <w:t>5,700 ha</w:t>
            </w:r>
          </w:p>
        </w:tc>
        <w:tc>
          <w:tcPr>
            <w:tcW w:w="1560" w:type="dxa"/>
          </w:tcPr>
          <w:p w14:paraId="61F6F989" w14:textId="77777777" w:rsidR="00E25524" w:rsidRPr="005516CD" w:rsidRDefault="00E25524" w:rsidP="007903D0">
            <w:pPr>
              <w:spacing w:after="60"/>
              <w:ind w:left="-108"/>
              <w:rPr>
                <w:rFonts w:asciiTheme="majorHAnsi" w:hAnsiTheme="majorHAnsi" w:cstheme="majorHAnsi"/>
                <w:bCs/>
                <w:noProof/>
                <w:sz w:val="19"/>
                <w:szCs w:val="19"/>
              </w:rPr>
            </w:pPr>
            <w:r w:rsidRPr="005516CD">
              <w:rPr>
                <w:rFonts w:asciiTheme="majorHAnsi" w:hAnsiTheme="majorHAnsi" w:cstheme="majorHAnsi"/>
                <w:bCs/>
                <w:noProof/>
                <w:sz w:val="19"/>
                <w:szCs w:val="19"/>
              </w:rPr>
              <w:t>Field inspections</w:t>
            </w:r>
            <w:r w:rsidR="00A7418B" w:rsidRPr="005516CD">
              <w:rPr>
                <w:rFonts w:asciiTheme="majorHAnsi" w:hAnsiTheme="majorHAnsi" w:cstheme="majorHAnsi"/>
                <w:bCs/>
                <w:noProof/>
                <w:sz w:val="19"/>
                <w:szCs w:val="19"/>
              </w:rPr>
              <w:t>, supported by focused technical studies of the compatibility between conditions in agroforests and the needs of target BD</w:t>
            </w:r>
            <w:r w:rsidR="007903D0" w:rsidRPr="005516CD">
              <w:rPr>
                <w:rFonts w:asciiTheme="majorHAnsi" w:hAnsiTheme="majorHAnsi" w:cstheme="majorHAnsi"/>
                <w:bCs/>
                <w:noProof/>
                <w:sz w:val="19"/>
                <w:szCs w:val="19"/>
              </w:rPr>
              <w:t>.</w:t>
            </w:r>
          </w:p>
          <w:p w14:paraId="5ACFE452" w14:textId="77777777" w:rsidR="007903D0" w:rsidRPr="005516CD" w:rsidRDefault="007903D0" w:rsidP="007903D0">
            <w:pPr>
              <w:spacing w:after="60"/>
              <w:ind w:left="-108"/>
            </w:pPr>
            <w:r w:rsidRPr="005516CD">
              <w:rPr>
                <w:rFonts w:asciiTheme="majorHAnsi" w:hAnsiTheme="majorHAnsi" w:cstheme="majorHAnsi"/>
                <w:bCs/>
                <w:noProof/>
                <w:sz w:val="19"/>
                <w:szCs w:val="19"/>
              </w:rPr>
              <w:t>Review of degree of coincidence between trends in agroforest conditions and targets set out in spatial plans</w:t>
            </w:r>
          </w:p>
        </w:tc>
        <w:tc>
          <w:tcPr>
            <w:tcW w:w="1622" w:type="dxa"/>
          </w:tcPr>
          <w:p w14:paraId="7476F8AD" w14:textId="77777777" w:rsidR="00AC3834" w:rsidRPr="005516CD" w:rsidRDefault="00AC3834" w:rsidP="00E25524">
            <w:pPr>
              <w:rPr>
                <w:rFonts w:asciiTheme="majorHAnsi" w:hAnsiTheme="majorHAnsi" w:cstheme="majorHAnsi"/>
                <w:bCs/>
                <w:noProof/>
                <w:sz w:val="19"/>
                <w:szCs w:val="19"/>
              </w:rPr>
            </w:pPr>
          </w:p>
          <w:p w14:paraId="132EEB5A" w14:textId="77777777" w:rsidR="00AC3834" w:rsidRPr="005516CD" w:rsidRDefault="00AC3834" w:rsidP="00E25524">
            <w:pPr>
              <w:rPr>
                <w:rFonts w:asciiTheme="majorHAnsi" w:hAnsiTheme="majorHAnsi" w:cstheme="majorHAnsi"/>
                <w:bCs/>
                <w:noProof/>
                <w:sz w:val="19"/>
                <w:szCs w:val="19"/>
              </w:rPr>
            </w:pPr>
          </w:p>
          <w:p w14:paraId="0A07A1C2" w14:textId="77777777" w:rsidR="00AC3834" w:rsidRPr="005516CD" w:rsidRDefault="00AC3834" w:rsidP="00E25524">
            <w:pPr>
              <w:rPr>
                <w:rFonts w:asciiTheme="majorHAnsi" w:hAnsiTheme="majorHAnsi" w:cstheme="majorHAnsi"/>
                <w:bCs/>
                <w:noProof/>
                <w:sz w:val="19"/>
                <w:szCs w:val="19"/>
              </w:rPr>
            </w:pPr>
          </w:p>
          <w:p w14:paraId="61D53C95" w14:textId="77777777" w:rsidR="00AC3834" w:rsidRPr="005516CD" w:rsidRDefault="00AC3834" w:rsidP="00E25524">
            <w:pPr>
              <w:rPr>
                <w:rFonts w:asciiTheme="majorHAnsi" w:hAnsiTheme="majorHAnsi" w:cstheme="majorHAnsi"/>
                <w:bCs/>
                <w:noProof/>
                <w:sz w:val="19"/>
                <w:szCs w:val="19"/>
              </w:rPr>
            </w:pPr>
          </w:p>
          <w:p w14:paraId="4C82074E" w14:textId="77777777" w:rsidR="00AC3834" w:rsidRPr="005516CD" w:rsidRDefault="00AC3834" w:rsidP="00E25524">
            <w:pPr>
              <w:rPr>
                <w:rFonts w:asciiTheme="majorHAnsi" w:hAnsiTheme="majorHAnsi" w:cstheme="majorHAnsi"/>
                <w:bCs/>
                <w:noProof/>
                <w:sz w:val="19"/>
                <w:szCs w:val="19"/>
              </w:rPr>
            </w:pPr>
          </w:p>
          <w:p w14:paraId="335F19BF" w14:textId="77777777" w:rsidR="00AC3834" w:rsidRPr="005516CD" w:rsidRDefault="00AC3834" w:rsidP="00E25524">
            <w:pPr>
              <w:rPr>
                <w:rFonts w:asciiTheme="majorHAnsi" w:hAnsiTheme="majorHAnsi" w:cstheme="majorHAnsi"/>
                <w:bCs/>
                <w:noProof/>
                <w:sz w:val="19"/>
                <w:szCs w:val="19"/>
              </w:rPr>
            </w:pPr>
          </w:p>
          <w:p w14:paraId="626B8921" w14:textId="77777777" w:rsidR="00E25524" w:rsidRPr="005516CD" w:rsidRDefault="00E25524" w:rsidP="00DE2654">
            <w:pPr>
              <w:ind w:left="-106"/>
            </w:pPr>
            <w:r w:rsidRPr="005516CD">
              <w:rPr>
                <w:rFonts w:asciiTheme="majorHAnsi" w:hAnsiTheme="majorHAnsi" w:cstheme="majorHAnsi"/>
                <w:bCs/>
                <w:noProof/>
                <w:sz w:val="19"/>
                <w:szCs w:val="19"/>
              </w:rPr>
              <w:t>No major negative climatic, social or political events</w:t>
            </w:r>
          </w:p>
        </w:tc>
      </w:tr>
      <w:tr w:rsidR="0031038D" w:rsidRPr="005516CD" w14:paraId="4BF8B0B5" w14:textId="77777777" w:rsidTr="00DE2654">
        <w:tc>
          <w:tcPr>
            <w:tcW w:w="1947" w:type="dxa"/>
            <w:vMerge/>
          </w:tcPr>
          <w:p w14:paraId="78D9E9D8" w14:textId="77777777" w:rsidR="00E25524" w:rsidRPr="005516CD" w:rsidRDefault="00E25524" w:rsidP="00E25524"/>
        </w:tc>
        <w:tc>
          <w:tcPr>
            <w:tcW w:w="5043" w:type="dxa"/>
          </w:tcPr>
          <w:p w14:paraId="5AED04F2" w14:textId="77777777" w:rsidR="00E25524" w:rsidRPr="005516CD" w:rsidRDefault="00E25524" w:rsidP="006B27F4">
            <w:pPr>
              <w:pStyle w:val="ListParagraph"/>
              <w:numPr>
                <w:ilvl w:val="0"/>
                <w:numId w:val="101"/>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firstLine="0"/>
              <w:rPr>
                <w:rFonts w:asciiTheme="majorHAnsi" w:hAnsiTheme="majorHAnsi" w:cstheme="majorHAnsi"/>
                <w:bCs/>
                <w:noProof/>
                <w:sz w:val="19"/>
                <w:szCs w:val="19"/>
              </w:rPr>
            </w:pPr>
            <w:r w:rsidRPr="005516CD">
              <w:rPr>
                <w:rFonts w:asciiTheme="majorHAnsi" w:hAnsiTheme="majorHAnsi" w:cstheme="majorHAnsi"/>
                <w:bCs/>
                <w:noProof/>
                <w:sz w:val="19"/>
                <w:szCs w:val="19"/>
              </w:rPr>
              <w:t xml:space="preserve">Area of cacao plantations in the overall project area certified under certification schemes with requirements that coincide with those of target BD </w:t>
            </w:r>
          </w:p>
          <w:p w14:paraId="51E38CF5" w14:textId="77777777" w:rsidR="00E25524" w:rsidRPr="005516CD" w:rsidRDefault="00E25524" w:rsidP="006B27F4">
            <w:pPr>
              <w:pStyle w:val="ListParagraph"/>
              <w:numPr>
                <w:ilvl w:val="0"/>
                <w:numId w:val="101"/>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firstLine="0"/>
              <w:rPr>
                <w:rFonts w:asciiTheme="majorHAnsi" w:hAnsiTheme="majorHAnsi" w:cstheme="majorHAnsi"/>
                <w:bCs/>
                <w:noProof/>
                <w:sz w:val="19"/>
                <w:szCs w:val="19"/>
              </w:rPr>
            </w:pPr>
            <w:r w:rsidRPr="005516CD">
              <w:rPr>
                <w:rFonts w:asciiTheme="majorHAnsi" w:hAnsiTheme="majorHAnsi" w:cstheme="majorHAnsi"/>
                <w:bCs/>
                <w:noProof/>
                <w:sz w:val="19"/>
                <w:szCs w:val="19"/>
              </w:rPr>
              <w:t xml:space="preserve">Area of coffee plantations in the overall project area certified under certification schemes with requirements that coincide with those of target BD </w:t>
            </w:r>
          </w:p>
          <w:p w14:paraId="21A37310" w14:textId="77777777" w:rsidR="00E25524" w:rsidRPr="005516CD" w:rsidRDefault="00E25524" w:rsidP="00E25524">
            <w:pPr>
              <w:rPr>
                <w:b/>
              </w:rPr>
            </w:pPr>
            <w:r w:rsidRPr="005516CD">
              <w:rPr>
                <w:rFonts w:asciiTheme="majorHAnsi" w:hAnsiTheme="majorHAnsi" w:cstheme="majorHAnsi"/>
                <w:b/>
                <w:bCs/>
                <w:i/>
                <w:noProof/>
                <w:sz w:val="19"/>
                <w:szCs w:val="19"/>
              </w:rPr>
              <w:t xml:space="preserve">GEF-7 Core Indicator 4.2: </w:t>
            </w:r>
            <w:r w:rsidRPr="005516CD">
              <w:rPr>
                <w:rFonts w:asciiTheme="majorHAnsi" w:hAnsiTheme="majorHAnsi" w:cstheme="majorHAnsi"/>
                <w:bCs/>
                <w:i/>
                <w:noProof/>
                <w:sz w:val="19"/>
                <w:szCs w:val="19"/>
              </w:rPr>
              <w:t>Area of landscapes that meet national or international third-party certification that incorporates biodiversity considerations (hectares)</w:t>
            </w:r>
            <w:r w:rsidRPr="005516CD">
              <w:rPr>
                <w:rStyle w:val="FootnoteReference"/>
                <w:rFonts w:asciiTheme="majorHAnsi" w:hAnsiTheme="majorHAnsi" w:cstheme="majorHAnsi"/>
                <w:bCs/>
                <w:noProof/>
                <w:sz w:val="19"/>
                <w:szCs w:val="19"/>
              </w:rPr>
              <w:footnoteReference w:id="65"/>
            </w:r>
          </w:p>
        </w:tc>
        <w:tc>
          <w:tcPr>
            <w:tcW w:w="879" w:type="dxa"/>
          </w:tcPr>
          <w:p w14:paraId="16820169" w14:textId="77777777" w:rsidR="00E25524" w:rsidRPr="005516CD" w:rsidRDefault="00E25524" w:rsidP="00E25524">
            <w:pPr>
              <w:ind w:left="-111"/>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2,250 ha</w:t>
            </w:r>
          </w:p>
          <w:p w14:paraId="147CCF65" w14:textId="77777777" w:rsidR="00E25524" w:rsidRPr="005516CD" w:rsidRDefault="00E25524" w:rsidP="00E25524">
            <w:pPr>
              <w:jc w:val="right"/>
              <w:rPr>
                <w:rFonts w:asciiTheme="majorHAnsi" w:hAnsiTheme="majorHAnsi" w:cstheme="majorHAnsi"/>
                <w:bCs/>
                <w:noProof/>
                <w:sz w:val="19"/>
                <w:szCs w:val="19"/>
              </w:rPr>
            </w:pPr>
          </w:p>
          <w:p w14:paraId="132D1CA7" w14:textId="77777777" w:rsidR="00E25524" w:rsidRPr="005516CD" w:rsidRDefault="00E25524" w:rsidP="00E25524">
            <w:pPr>
              <w:jc w:val="right"/>
              <w:rPr>
                <w:rFonts w:asciiTheme="majorHAnsi" w:hAnsiTheme="majorHAnsi" w:cstheme="majorHAnsi"/>
                <w:bCs/>
                <w:noProof/>
                <w:sz w:val="19"/>
                <w:szCs w:val="19"/>
              </w:rPr>
            </w:pPr>
          </w:p>
          <w:p w14:paraId="44B0E6AB" w14:textId="77777777" w:rsidR="00E25524" w:rsidRPr="005516CD" w:rsidRDefault="00E25524" w:rsidP="00E25524">
            <w:pPr>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0 ha</w:t>
            </w:r>
          </w:p>
        </w:tc>
        <w:tc>
          <w:tcPr>
            <w:tcW w:w="1340" w:type="dxa"/>
          </w:tcPr>
          <w:p w14:paraId="518E0A35" w14:textId="77777777" w:rsidR="00E25524" w:rsidRPr="005516CD" w:rsidRDefault="00E25524" w:rsidP="00E25524">
            <w:pPr>
              <w:rPr>
                <w:rFonts w:asciiTheme="majorHAnsi" w:hAnsiTheme="majorHAnsi" w:cstheme="majorHAnsi"/>
                <w:bCs/>
                <w:noProof/>
                <w:sz w:val="19"/>
                <w:szCs w:val="19"/>
              </w:rPr>
            </w:pPr>
            <w:r w:rsidRPr="005516CD">
              <w:rPr>
                <w:rFonts w:asciiTheme="majorHAnsi" w:hAnsiTheme="majorHAnsi" w:cstheme="majorHAnsi"/>
                <w:bCs/>
                <w:noProof/>
                <w:sz w:val="19"/>
                <w:szCs w:val="19"/>
              </w:rPr>
              <w:t>2,350 ha</w:t>
            </w:r>
          </w:p>
          <w:p w14:paraId="512A7629" w14:textId="77777777" w:rsidR="00E25524" w:rsidRPr="005516CD" w:rsidRDefault="00E25524" w:rsidP="00E25524">
            <w:pPr>
              <w:rPr>
                <w:rFonts w:asciiTheme="majorHAnsi" w:hAnsiTheme="majorHAnsi" w:cstheme="majorHAnsi"/>
                <w:bCs/>
                <w:noProof/>
                <w:sz w:val="19"/>
                <w:szCs w:val="19"/>
              </w:rPr>
            </w:pPr>
          </w:p>
          <w:p w14:paraId="6503D3BD" w14:textId="77777777" w:rsidR="00E25524" w:rsidRPr="005516CD" w:rsidRDefault="00E25524" w:rsidP="00E25524">
            <w:pPr>
              <w:rPr>
                <w:rFonts w:asciiTheme="majorHAnsi" w:hAnsiTheme="majorHAnsi" w:cstheme="majorHAnsi"/>
                <w:bCs/>
                <w:noProof/>
                <w:sz w:val="19"/>
                <w:szCs w:val="19"/>
              </w:rPr>
            </w:pPr>
          </w:p>
          <w:p w14:paraId="5EDEF97C" w14:textId="77777777" w:rsidR="00E25524" w:rsidRPr="005516CD" w:rsidRDefault="00E25524" w:rsidP="00E25524">
            <w:pPr>
              <w:rPr>
                <w:rFonts w:asciiTheme="majorHAnsi" w:hAnsiTheme="majorHAnsi" w:cstheme="majorHAnsi"/>
                <w:bCs/>
                <w:noProof/>
                <w:sz w:val="19"/>
                <w:szCs w:val="19"/>
              </w:rPr>
            </w:pPr>
            <w:r w:rsidRPr="005516CD">
              <w:rPr>
                <w:rFonts w:asciiTheme="majorHAnsi" w:hAnsiTheme="majorHAnsi" w:cstheme="majorHAnsi"/>
                <w:bCs/>
                <w:noProof/>
                <w:sz w:val="19"/>
                <w:szCs w:val="19"/>
              </w:rPr>
              <w:t>40 ha</w:t>
            </w:r>
          </w:p>
          <w:p w14:paraId="2B16059B" w14:textId="77777777" w:rsidR="00E25524" w:rsidRPr="005516CD" w:rsidRDefault="00E25524" w:rsidP="00E25524">
            <w:pPr>
              <w:rPr>
                <w:rFonts w:asciiTheme="majorHAnsi" w:hAnsiTheme="majorHAnsi" w:cstheme="majorHAnsi"/>
                <w:bCs/>
                <w:noProof/>
                <w:sz w:val="19"/>
                <w:szCs w:val="19"/>
              </w:rPr>
            </w:pPr>
          </w:p>
        </w:tc>
        <w:tc>
          <w:tcPr>
            <w:tcW w:w="1559" w:type="dxa"/>
          </w:tcPr>
          <w:p w14:paraId="06E1D2F2" w14:textId="77777777" w:rsidR="00E25524" w:rsidRPr="005516CD" w:rsidRDefault="00E25524" w:rsidP="00E25524">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2,475 ha</w:t>
            </w:r>
            <w:r w:rsidRPr="005516CD">
              <w:rPr>
                <w:rStyle w:val="FootnoteReference"/>
                <w:rFonts w:asciiTheme="majorHAnsi" w:hAnsiTheme="majorHAnsi" w:cstheme="majorHAnsi"/>
                <w:bCs/>
                <w:noProof/>
                <w:sz w:val="19"/>
                <w:szCs w:val="19"/>
              </w:rPr>
              <w:footnoteReference w:id="66"/>
            </w:r>
          </w:p>
          <w:p w14:paraId="206633E8" w14:textId="77777777" w:rsidR="00E25524" w:rsidRPr="005516CD" w:rsidRDefault="00E25524" w:rsidP="00E25524">
            <w:pPr>
              <w:ind w:left="-96" w:right="-39"/>
              <w:rPr>
                <w:rFonts w:asciiTheme="majorHAnsi" w:hAnsiTheme="majorHAnsi" w:cstheme="majorHAnsi"/>
                <w:bCs/>
                <w:noProof/>
                <w:sz w:val="19"/>
                <w:szCs w:val="19"/>
              </w:rPr>
            </w:pPr>
          </w:p>
          <w:p w14:paraId="0BE20248" w14:textId="77777777" w:rsidR="00E25524" w:rsidRPr="005516CD" w:rsidRDefault="00E25524" w:rsidP="00E25524">
            <w:pPr>
              <w:ind w:left="-96" w:right="-39"/>
              <w:rPr>
                <w:rFonts w:asciiTheme="majorHAnsi" w:hAnsiTheme="majorHAnsi" w:cstheme="majorHAnsi"/>
                <w:bCs/>
                <w:noProof/>
                <w:sz w:val="19"/>
                <w:szCs w:val="19"/>
              </w:rPr>
            </w:pPr>
          </w:p>
          <w:p w14:paraId="787E4411" w14:textId="77777777" w:rsidR="00E25524" w:rsidRPr="005516CD" w:rsidRDefault="00E25524" w:rsidP="00E25524">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100 ha</w:t>
            </w:r>
          </w:p>
          <w:p w14:paraId="1F063E0F" w14:textId="77777777" w:rsidR="00E25524" w:rsidRPr="005516CD" w:rsidRDefault="00E25524" w:rsidP="00E25524">
            <w:pPr>
              <w:spacing w:after="60"/>
              <w:rPr>
                <w:rFonts w:asciiTheme="majorHAnsi" w:hAnsiTheme="majorHAnsi" w:cstheme="majorHAnsi"/>
                <w:bCs/>
                <w:noProof/>
                <w:sz w:val="19"/>
                <w:szCs w:val="19"/>
              </w:rPr>
            </w:pPr>
          </w:p>
          <w:p w14:paraId="4D877EEB" w14:textId="77777777" w:rsidR="00E25524" w:rsidRPr="005516CD" w:rsidRDefault="00E25524" w:rsidP="00E25524">
            <w:pPr>
              <w:spacing w:after="60"/>
              <w:rPr>
                <w:rFonts w:asciiTheme="majorHAnsi" w:hAnsiTheme="majorHAnsi" w:cstheme="majorHAnsi"/>
                <w:bCs/>
                <w:noProof/>
                <w:sz w:val="19"/>
                <w:szCs w:val="19"/>
              </w:rPr>
            </w:pPr>
          </w:p>
          <w:p w14:paraId="621CE36C" w14:textId="77777777" w:rsidR="00E25524" w:rsidRPr="005516CD" w:rsidRDefault="00E25524" w:rsidP="00E25524">
            <w:pPr>
              <w:spacing w:after="60"/>
              <w:rPr>
                <w:rFonts w:asciiTheme="majorHAnsi" w:hAnsiTheme="majorHAnsi" w:cstheme="majorHAnsi"/>
                <w:b/>
                <w:bCs/>
                <w:noProof/>
                <w:sz w:val="19"/>
                <w:szCs w:val="19"/>
              </w:rPr>
            </w:pPr>
            <w:r w:rsidRPr="005516CD">
              <w:rPr>
                <w:rFonts w:asciiTheme="majorHAnsi" w:hAnsiTheme="majorHAnsi" w:cstheme="majorHAnsi"/>
                <w:b/>
                <w:bCs/>
                <w:noProof/>
                <w:sz w:val="19"/>
                <w:szCs w:val="19"/>
              </w:rPr>
              <w:t>2,575 ha</w:t>
            </w:r>
          </w:p>
        </w:tc>
        <w:tc>
          <w:tcPr>
            <w:tcW w:w="1560" w:type="dxa"/>
          </w:tcPr>
          <w:p w14:paraId="094D8F36" w14:textId="77777777" w:rsidR="00E25524" w:rsidRPr="005516CD" w:rsidRDefault="00E25524"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Review of certification registers</w:t>
            </w:r>
            <w:r w:rsidR="00AC3834" w:rsidRPr="005516CD">
              <w:rPr>
                <w:rFonts w:asciiTheme="majorHAnsi" w:hAnsiTheme="majorHAnsi" w:cstheme="majorHAnsi"/>
                <w:bCs/>
                <w:noProof/>
                <w:sz w:val="19"/>
                <w:szCs w:val="19"/>
              </w:rPr>
              <w:t xml:space="preserve"> Review of certification registers</w:t>
            </w:r>
          </w:p>
        </w:tc>
        <w:tc>
          <w:tcPr>
            <w:tcW w:w="1622" w:type="dxa"/>
          </w:tcPr>
          <w:p w14:paraId="7F7BD072" w14:textId="77777777" w:rsidR="00E25524" w:rsidRPr="005516CD" w:rsidRDefault="00E25524"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 xml:space="preserve">No major changes in functioning, requirements of costs of certification schemes </w:t>
            </w:r>
          </w:p>
        </w:tc>
      </w:tr>
      <w:tr w:rsidR="0031038D" w:rsidRPr="005516CD" w14:paraId="2D4B39F0" w14:textId="77777777" w:rsidTr="00DE2654">
        <w:tc>
          <w:tcPr>
            <w:tcW w:w="1947" w:type="dxa"/>
            <w:vMerge/>
          </w:tcPr>
          <w:p w14:paraId="1E9FDD02" w14:textId="77777777" w:rsidR="00E25524" w:rsidRPr="005516CD" w:rsidRDefault="00E25524" w:rsidP="00E25524"/>
        </w:tc>
        <w:tc>
          <w:tcPr>
            <w:tcW w:w="5043" w:type="dxa"/>
            <w:shd w:val="clear" w:color="auto" w:fill="F2F2F2" w:themeFill="background1" w:themeFillShade="F2"/>
          </w:tcPr>
          <w:p w14:paraId="75EE539D" w14:textId="77777777" w:rsidR="00E25524" w:rsidRPr="005516CD" w:rsidRDefault="00E25524" w:rsidP="006B27F4">
            <w:pPr>
              <w:pStyle w:val="ListParagraph"/>
              <w:numPr>
                <w:ilvl w:val="0"/>
                <w:numId w:val="101"/>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firstLine="0"/>
              <w:rPr>
                <w:rFonts w:asciiTheme="majorHAnsi" w:hAnsiTheme="majorHAnsi" w:cstheme="majorHAnsi"/>
                <w:bCs/>
                <w:noProof/>
                <w:sz w:val="19"/>
                <w:szCs w:val="19"/>
              </w:rPr>
            </w:pPr>
            <w:r w:rsidRPr="005516CD">
              <w:rPr>
                <w:rFonts w:asciiTheme="majorHAnsi" w:hAnsiTheme="majorHAnsi" w:cstheme="majorHAnsi"/>
                <w:bCs/>
                <w:noProof/>
                <w:sz w:val="19"/>
                <w:szCs w:val="19"/>
              </w:rPr>
              <w:t>Total area of land in target communities with improved tree cover, delivering SLM benefits</w:t>
            </w:r>
            <w:r w:rsidRPr="005516CD">
              <w:rPr>
                <w:rStyle w:val="FootnoteReference"/>
                <w:rFonts w:asciiTheme="majorHAnsi" w:hAnsiTheme="majorHAnsi" w:cstheme="majorHAnsi"/>
                <w:bCs/>
                <w:noProof/>
                <w:sz w:val="19"/>
                <w:szCs w:val="19"/>
              </w:rPr>
              <w:footnoteReference w:id="67"/>
            </w:r>
          </w:p>
          <w:p w14:paraId="530AAF96" w14:textId="77777777" w:rsidR="00E25524" w:rsidRPr="005516CD" w:rsidRDefault="00E25524" w:rsidP="00FB5829">
            <w:pPr>
              <w:spacing w:after="120"/>
              <w:rPr>
                <w:rFonts w:asciiTheme="majorHAnsi" w:hAnsiTheme="majorHAnsi" w:cstheme="majorHAnsi"/>
                <w:bCs/>
                <w:i/>
                <w:noProof/>
                <w:sz w:val="19"/>
                <w:szCs w:val="19"/>
              </w:rPr>
            </w:pPr>
            <w:r w:rsidRPr="005516CD">
              <w:rPr>
                <w:rFonts w:asciiTheme="majorHAnsi" w:hAnsiTheme="majorHAnsi" w:cstheme="majorHAnsi"/>
                <w:b/>
                <w:bCs/>
                <w:i/>
                <w:noProof/>
                <w:sz w:val="19"/>
                <w:szCs w:val="19"/>
              </w:rPr>
              <w:t xml:space="preserve">GEF-7 Core Indicator 4.3: </w:t>
            </w:r>
            <w:r w:rsidRPr="005516CD">
              <w:rPr>
                <w:rFonts w:asciiTheme="majorHAnsi" w:hAnsiTheme="majorHAnsi" w:cstheme="majorHAnsi"/>
                <w:bCs/>
                <w:i/>
                <w:noProof/>
                <w:sz w:val="19"/>
                <w:szCs w:val="19"/>
              </w:rPr>
              <w:t>Area of landscapes under sustainable land management in production systems</w:t>
            </w:r>
          </w:p>
          <w:p w14:paraId="5BFEE994" w14:textId="77777777" w:rsidR="00141D4A" w:rsidRPr="005516CD" w:rsidRDefault="00141D4A" w:rsidP="00141D4A">
            <w:pPr>
              <w:rPr>
                <w:b/>
              </w:rPr>
            </w:pPr>
            <w:r w:rsidRPr="005516CD">
              <w:rPr>
                <w:rFonts w:asciiTheme="majorHAnsi" w:hAnsiTheme="majorHAnsi" w:cstheme="majorHAnsi"/>
                <w:b/>
                <w:bCs/>
                <w:i/>
                <w:noProof/>
                <w:sz w:val="19"/>
                <w:szCs w:val="19"/>
              </w:rPr>
              <w:t>IRRF output indicator 1.4.1.2:</w:t>
            </w:r>
            <w:r w:rsidRPr="005516CD">
              <w:rPr>
                <w:rFonts w:asciiTheme="majorHAnsi" w:hAnsiTheme="majorHAnsi" w:cstheme="majorHAnsi"/>
                <w:bCs/>
                <w:i/>
                <w:noProof/>
                <w:sz w:val="19"/>
                <w:szCs w:val="19"/>
              </w:rPr>
              <w:t xml:space="preserve"> Natural resources that are managed under a sustainable use, conservation, access and benefit-sharing regime: e) Area of land under sustainable land management regime (hectares)</w:t>
            </w:r>
          </w:p>
        </w:tc>
        <w:tc>
          <w:tcPr>
            <w:tcW w:w="879" w:type="dxa"/>
            <w:shd w:val="clear" w:color="auto" w:fill="F2F2F2" w:themeFill="background1" w:themeFillShade="F2"/>
          </w:tcPr>
          <w:p w14:paraId="5D53B5AB" w14:textId="77777777" w:rsidR="00E25524" w:rsidRPr="005516CD" w:rsidRDefault="00E25524" w:rsidP="00E25524">
            <w:pPr>
              <w:jc w:val="right"/>
              <w:rPr>
                <w:rFonts w:asciiTheme="majorHAnsi" w:hAnsiTheme="majorHAnsi" w:cstheme="majorHAnsi"/>
                <w:bCs/>
                <w:noProof/>
                <w:sz w:val="19"/>
                <w:szCs w:val="19"/>
              </w:rPr>
            </w:pPr>
          </w:p>
          <w:p w14:paraId="6F6D5854" w14:textId="77777777" w:rsidR="00E25524" w:rsidRPr="005516CD" w:rsidRDefault="00E25524" w:rsidP="00E25524">
            <w:pPr>
              <w:jc w:val="right"/>
              <w:rPr>
                <w:rFonts w:asciiTheme="majorHAnsi" w:hAnsiTheme="majorHAnsi" w:cstheme="majorHAnsi"/>
                <w:bCs/>
                <w:noProof/>
                <w:sz w:val="19"/>
                <w:szCs w:val="19"/>
              </w:rPr>
            </w:pPr>
          </w:p>
          <w:p w14:paraId="50E28E58" w14:textId="77777777" w:rsidR="00E25524" w:rsidRPr="005516CD" w:rsidRDefault="00E25524" w:rsidP="00E25524">
            <w:pPr>
              <w:jc w:val="right"/>
              <w:rPr>
                <w:rFonts w:asciiTheme="majorHAnsi" w:hAnsiTheme="majorHAnsi" w:cstheme="majorHAnsi"/>
                <w:bCs/>
                <w:noProof/>
                <w:sz w:val="19"/>
                <w:szCs w:val="19"/>
              </w:rPr>
            </w:pPr>
          </w:p>
          <w:p w14:paraId="1E7B9B50" w14:textId="77777777" w:rsidR="00E25524" w:rsidRPr="005516CD" w:rsidRDefault="00E25524" w:rsidP="00E25524">
            <w:pPr>
              <w:spacing w:after="60"/>
              <w:jc w:val="right"/>
            </w:pPr>
            <w:r w:rsidRPr="005516CD">
              <w:rPr>
                <w:rFonts w:asciiTheme="majorHAnsi" w:hAnsiTheme="majorHAnsi" w:cstheme="majorHAnsi"/>
                <w:bCs/>
                <w:noProof/>
                <w:sz w:val="19"/>
                <w:szCs w:val="19"/>
              </w:rPr>
              <w:t>N/A</w:t>
            </w:r>
          </w:p>
        </w:tc>
        <w:tc>
          <w:tcPr>
            <w:tcW w:w="1340" w:type="dxa"/>
            <w:shd w:val="clear" w:color="auto" w:fill="F2F2F2" w:themeFill="background1" w:themeFillShade="F2"/>
          </w:tcPr>
          <w:p w14:paraId="070221A2" w14:textId="77777777" w:rsidR="00E25524" w:rsidRPr="005516CD" w:rsidRDefault="00E25524" w:rsidP="00E25524">
            <w:pPr>
              <w:rPr>
                <w:rFonts w:asciiTheme="majorHAnsi" w:hAnsiTheme="majorHAnsi" w:cstheme="majorHAnsi"/>
                <w:bCs/>
                <w:noProof/>
                <w:sz w:val="19"/>
                <w:szCs w:val="19"/>
              </w:rPr>
            </w:pPr>
          </w:p>
          <w:p w14:paraId="77D107F5" w14:textId="77777777" w:rsidR="00E25524" w:rsidRPr="005516CD" w:rsidRDefault="00E25524" w:rsidP="00E25524">
            <w:pPr>
              <w:rPr>
                <w:rFonts w:asciiTheme="majorHAnsi" w:hAnsiTheme="majorHAnsi" w:cstheme="majorHAnsi"/>
                <w:bCs/>
                <w:noProof/>
                <w:sz w:val="19"/>
                <w:szCs w:val="19"/>
              </w:rPr>
            </w:pPr>
          </w:p>
          <w:p w14:paraId="292B467B" w14:textId="77777777" w:rsidR="00E25524" w:rsidRPr="005516CD" w:rsidRDefault="00E25524" w:rsidP="00E25524">
            <w:pPr>
              <w:rPr>
                <w:rFonts w:asciiTheme="majorHAnsi" w:hAnsiTheme="majorHAnsi" w:cstheme="majorHAnsi"/>
                <w:bCs/>
                <w:noProof/>
                <w:sz w:val="19"/>
                <w:szCs w:val="19"/>
              </w:rPr>
            </w:pPr>
          </w:p>
          <w:p w14:paraId="7C3B958D" w14:textId="77777777" w:rsidR="00E25524" w:rsidRPr="005516CD" w:rsidRDefault="00E25524" w:rsidP="00E25524">
            <w:r w:rsidRPr="005516CD">
              <w:rPr>
                <w:rFonts w:asciiTheme="majorHAnsi" w:hAnsiTheme="majorHAnsi" w:cstheme="majorHAnsi"/>
                <w:bCs/>
                <w:noProof/>
                <w:sz w:val="19"/>
                <w:szCs w:val="19"/>
              </w:rPr>
              <w:t>2,310 ha</w:t>
            </w:r>
          </w:p>
        </w:tc>
        <w:tc>
          <w:tcPr>
            <w:tcW w:w="1559" w:type="dxa"/>
            <w:shd w:val="clear" w:color="auto" w:fill="F2F2F2" w:themeFill="background1" w:themeFillShade="F2"/>
          </w:tcPr>
          <w:p w14:paraId="14E53D42" w14:textId="77777777" w:rsidR="00E25524" w:rsidRPr="005516CD" w:rsidRDefault="00E25524" w:rsidP="00E25524">
            <w:pPr>
              <w:rPr>
                <w:rFonts w:asciiTheme="majorHAnsi" w:hAnsiTheme="majorHAnsi" w:cstheme="majorHAnsi"/>
                <w:bCs/>
                <w:noProof/>
                <w:sz w:val="19"/>
                <w:szCs w:val="19"/>
              </w:rPr>
            </w:pPr>
          </w:p>
          <w:p w14:paraId="396BCA58" w14:textId="77777777" w:rsidR="00E25524" w:rsidRPr="005516CD" w:rsidRDefault="00E25524" w:rsidP="00E25524">
            <w:pPr>
              <w:rPr>
                <w:rFonts w:asciiTheme="majorHAnsi" w:hAnsiTheme="majorHAnsi" w:cstheme="majorHAnsi"/>
                <w:bCs/>
                <w:noProof/>
                <w:sz w:val="19"/>
                <w:szCs w:val="19"/>
              </w:rPr>
            </w:pPr>
          </w:p>
          <w:p w14:paraId="773E62BD" w14:textId="77777777" w:rsidR="00E25524" w:rsidRPr="005516CD" w:rsidRDefault="00E25524" w:rsidP="00E25524">
            <w:pPr>
              <w:rPr>
                <w:rFonts w:asciiTheme="majorHAnsi" w:hAnsiTheme="majorHAnsi" w:cstheme="majorHAnsi"/>
                <w:bCs/>
                <w:noProof/>
                <w:sz w:val="19"/>
                <w:szCs w:val="19"/>
              </w:rPr>
            </w:pPr>
          </w:p>
          <w:p w14:paraId="2F5EE585" w14:textId="77777777" w:rsidR="00E25524" w:rsidRPr="005516CD" w:rsidRDefault="00E25524" w:rsidP="00E25524">
            <w:pPr>
              <w:rPr>
                <w:rFonts w:asciiTheme="majorHAnsi" w:hAnsiTheme="majorHAnsi" w:cstheme="majorHAnsi"/>
                <w:b/>
                <w:bCs/>
                <w:noProof/>
                <w:sz w:val="19"/>
                <w:szCs w:val="19"/>
              </w:rPr>
            </w:pPr>
            <w:r w:rsidRPr="005516CD">
              <w:rPr>
                <w:rFonts w:asciiTheme="majorHAnsi" w:hAnsiTheme="majorHAnsi" w:cstheme="majorHAnsi"/>
                <w:b/>
                <w:bCs/>
                <w:noProof/>
                <w:sz w:val="19"/>
                <w:szCs w:val="19"/>
              </w:rPr>
              <w:t>5,838 ha</w:t>
            </w:r>
          </w:p>
        </w:tc>
        <w:tc>
          <w:tcPr>
            <w:tcW w:w="1560" w:type="dxa"/>
            <w:shd w:val="clear" w:color="auto" w:fill="F2F2F2" w:themeFill="background1" w:themeFillShade="F2"/>
          </w:tcPr>
          <w:p w14:paraId="6697F8B4" w14:textId="77777777" w:rsidR="00E25524" w:rsidRPr="005516CD" w:rsidRDefault="0031038D" w:rsidP="00DE2654">
            <w:pPr>
              <w:ind w:left="-106"/>
            </w:pPr>
            <w:r w:rsidRPr="005516CD">
              <w:rPr>
                <w:rFonts w:asciiTheme="majorHAnsi" w:hAnsiTheme="majorHAnsi" w:cstheme="majorHAnsi"/>
                <w:sz w:val="18"/>
              </w:rPr>
              <w:t xml:space="preserve">Total of </w:t>
            </w:r>
            <w:r w:rsidRPr="005516CD">
              <w:rPr>
                <w:rFonts w:asciiTheme="majorHAnsi" w:hAnsiTheme="majorHAnsi" w:cstheme="majorHAnsi"/>
                <w:bCs/>
                <w:noProof/>
                <w:sz w:val="19"/>
                <w:szCs w:val="19"/>
              </w:rPr>
              <w:t>indicators</w:t>
            </w:r>
            <w:r w:rsidRPr="005516CD">
              <w:rPr>
                <w:rFonts w:asciiTheme="majorHAnsi" w:hAnsiTheme="majorHAnsi" w:cstheme="majorHAnsi"/>
                <w:sz w:val="18"/>
              </w:rPr>
              <w:t xml:space="preserve"> O1, O2, O3 and O4</w:t>
            </w:r>
          </w:p>
        </w:tc>
        <w:tc>
          <w:tcPr>
            <w:tcW w:w="1622" w:type="dxa"/>
            <w:shd w:val="clear" w:color="auto" w:fill="F2F2F2" w:themeFill="background1" w:themeFillShade="F2"/>
          </w:tcPr>
          <w:p w14:paraId="6F2D05FA" w14:textId="77777777" w:rsidR="00E25524" w:rsidRPr="005516CD" w:rsidRDefault="0031038D" w:rsidP="00DE2654">
            <w:pPr>
              <w:ind w:left="-106"/>
            </w:pPr>
            <w:r w:rsidRPr="005516CD">
              <w:rPr>
                <w:rFonts w:asciiTheme="majorHAnsi" w:hAnsiTheme="majorHAnsi" w:cstheme="majorHAnsi"/>
                <w:bCs/>
                <w:noProof/>
                <w:sz w:val="19"/>
                <w:szCs w:val="19"/>
              </w:rPr>
              <w:t>No major negative climatic, social or political events</w:t>
            </w:r>
          </w:p>
        </w:tc>
      </w:tr>
      <w:tr w:rsidR="0031038D" w:rsidRPr="005516CD" w14:paraId="3458CC07" w14:textId="77777777" w:rsidTr="00DE2654">
        <w:tc>
          <w:tcPr>
            <w:tcW w:w="1947" w:type="dxa"/>
            <w:vMerge/>
          </w:tcPr>
          <w:p w14:paraId="39FA783E" w14:textId="77777777" w:rsidR="00E25524" w:rsidRPr="005516CD" w:rsidRDefault="00E25524" w:rsidP="00E25524"/>
        </w:tc>
        <w:tc>
          <w:tcPr>
            <w:tcW w:w="5043" w:type="dxa"/>
          </w:tcPr>
          <w:p w14:paraId="58E3A402" w14:textId="77777777" w:rsidR="00E25524" w:rsidRPr="005516CD" w:rsidRDefault="00E25524" w:rsidP="006B27F4">
            <w:pPr>
              <w:pStyle w:val="ListParagraph"/>
              <w:numPr>
                <w:ilvl w:val="0"/>
                <w:numId w:val="101"/>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firstLine="0"/>
              <w:rPr>
                <w:rFonts w:asciiTheme="majorHAnsi" w:hAnsiTheme="majorHAnsi" w:cstheme="majorHAnsi"/>
                <w:bCs/>
                <w:noProof/>
                <w:sz w:val="19"/>
                <w:szCs w:val="19"/>
              </w:rPr>
            </w:pPr>
            <w:r w:rsidRPr="005516CD">
              <w:rPr>
                <w:rFonts w:asciiTheme="majorHAnsi" w:hAnsiTheme="majorHAnsi" w:cstheme="majorHAnsi"/>
                <w:bCs/>
                <w:noProof/>
                <w:sz w:val="19"/>
                <w:szCs w:val="19"/>
              </w:rPr>
              <w:t>Net carbon balance as a result of reduced loss of tree-rich production systems, and enrichment of tree cover on agricultural and forest lands</w:t>
            </w:r>
          </w:p>
          <w:p w14:paraId="3017D77D" w14:textId="77777777" w:rsidR="00E25524" w:rsidRPr="005516CD" w:rsidRDefault="00E25524" w:rsidP="00E25524">
            <w:r w:rsidRPr="005516CD">
              <w:rPr>
                <w:rFonts w:asciiTheme="majorHAnsi" w:hAnsiTheme="majorHAnsi" w:cstheme="majorHAnsi"/>
                <w:b/>
                <w:bCs/>
                <w:i/>
                <w:noProof/>
                <w:sz w:val="19"/>
                <w:szCs w:val="19"/>
              </w:rPr>
              <w:t>GEF-7 Core Indicator 6.1:</w:t>
            </w:r>
            <w:r w:rsidRPr="005516CD">
              <w:rPr>
                <w:rFonts w:asciiTheme="majorHAnsi" w:hAnsiTheme="majorHAnsi" w:cstheme="majorHAnsi"/>
                <w:bCs/>
                <w:i/>
                <w:noProof/>
                <w:sz w:val="19"/>
                <w:szCs w:val="19"/>
              </w:rPr>
              <w:t xml:space="preserve"> Carbon sequestered or emissions avoided in the AFOLU sector</w:t>
            </w:r>
          </w:p>
        </w:tc>
        <w:tc>
          <w:tcPr>
            <w:tcW w:w="879" w:type="dxa"/>
          </w:tcPr>
          <w:p w14:paraId="1DB2AC6E" w14:textId="77777777" w:rsidR="00E25524" w:rsidRPr="005516CD" w:rsidRDefault="00E25524" w:rsidP="00E25524">
            <w:pPr>
              <w:jc w:val="right"/>
            </w:pPr>
            <w:r w:rsidRPr="005516CD">
              <w:rPr>
                <w:rFonts w:asciiTheme="majorHAnsi" w:hAnsiTheme="majorHAnsi" w:cstheme="majorHAnsi"/>
                <w:bCs/>
                <w:noProof/>
                <w:sz w:val="19"/>
                <w:szCs w:val="19"/>
              </w:rPr>
              <w:t>N/A</w:t>
            </w:r>
          </w:p>
        </w:tc>
        <w:tc>
          <w:tcPr>
            <w:tcW w:w="1340" w:type="dxa"/>
          </w:tcPr>
          <w:p w14:paraId="6A8DBF84" w14:textId="77777777" w:rsidR="00E25524" w:rsidRPr="005516CD" w:rsidRDefault="00E25524" w:rsidP="00E25524"/>
        </w:tc>
        <w:tc>
          <w:tcPr>
            <w:tcW w:w="1559" w:type="dxa"/>
          </w:tcPr>
          <w:p w14:paraId="5AF916B3" w14:textId="77777777" w:rsidR="00E25524" w:rsidRPr="005516CD" w:rsidRDefault="00E97F51" w:rsidP="00E25524">
            <w:pPr>
              <w:rPr>
                <w:rFonts w:asciiTheme="majorHAnsi" w:hAnsiTheme="majorHAnsi" w:cstheme="minorHAnsi"/>
                <w:sz w:val="19"/>
                <w:szCs w:val="19"/>
              </w:rPr>
            </w:pPr>
            <w:r w:rsidRPr="005516CD">
              <w:rPr>
                <w:rFonts w:asciiTheme="majorHAnsi" w:hAnsiTheme="majorHAnsi" w:cstheme="minorHAnsi"/>
                <w:sz w:val="19"/>
                <w:szCs w:val="19"/>
              </w:rPr>
              <w:t>728,0</w:t>
            </w:r>
            <w:r w:rsidR="006A2D94" w:rsidRPr="005516CD">
              <w:rPr>
                <w:rFonts w:asciiTheme="majorHAnsi" w:hAnsiTheme="majorHAnsi" w:cstheme="minorHAnsi"/>
                <w:sz w:val="19"/>
                <w:szCs w:val="19"/>
              </w:rPr>
              <w:t>1</w:t>
            </w:r>
            <w:r w:rsidRPr="005516CD">
              <w:rPr>
                <w:rFonts w:asciiTheme="majorHAnsi" w:hAnsiTheme="majorHAnsi" w:cstheme="minorHAnsi"/>
                <w:sz w:val="19"/>
                <w:szCs w:val="19"/>
              </w:rPr>
              <w:t>1</w:t>
            </w:r>
            <w:r w:rsidR="00E25524" w:rsidRPr="005516CD">
              <w:rPr>
                <w:rFonts w:asciiTheme="majorHAnsi" w:hAnsiTheme="majorHAnsi" w:cstheme="minorHAnsi"/>
                <w:sz w:val="19"/>
                <w:szCs w:val="19"/>
              </w:rPr>
              <w:t xml:space="preserve"> tCO</w:t>
            </w:r>
            <w:r w:rsidR="00E25524" w:rsidRPr="005516CD">
              <w:rPr>
                <w:rFonts w:asciiTheme="majorHAnsi" w:hAnsiTheme="majorHAnsi" w:cstheme="minorHAnsi"/>
                <w:sz w:val="19"/>
                <w:szCs w:val="19"/>
                <w:vertAlign w:val="subscript"/>
              </w:rPr>
              <w:t>2</w:t>
            </w:r>
            <w:r w:rsidRPr="005516CD">
              <w:rPr>
                <w:rFonts w:asciiTheme="majorHAnsi" w:hAnsiTheme="majorHAnsi" w:cstheme="minorHAnsi"/>
                <w:sz w:val="19"/>
                <w:szCs w:val="19"/>
                <w:vertAlign w:val="subscript"/>
              </w:rPr>
              <w:t>eq</w:t>
            </w:r>
          </w:p>
        </w:tc>
        <w:tc>
          <w:tcPr>
            <w:tcW w:w="1560" w:type="dxa"/>
          </w:tcPr>
          <w:p w14:paraId="20E8B283" w14:textId="77777777" w:rsidR="00E25524" w:rsidRPr="005516CD" w:rsidRDefault="0031038D"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Derived from monitoring of land use and management changes</w:t>
            </w:r>
          </w:p>
        </w:tc>
        <w:tc>
          <w:tcPr>
            <w:tcW w:w="1622" w:type="dxa"/>
          </w:tcPr>
          <w:p w14:paraId="1A150B22" w14:textId="77777777" w:rsidR="00E25524" w:rsidRPr="005516CD" w:rsidRDefault="0031038D" w:rsidP="00DE2654">
            <w:pPr>
              <w:ind w:left="-106"/>
              <w:rPr>
                <w:rFonts w:asciiTheme="majorHAnsi" w:hAnsiTheme="majorHAnsi"/>
              </w:rPr>
            </w:pPr>
            <w:r w:rsidRPr="005516CD">
              <w:rPr>
                <w:rFonts w:asciiTheme="majorHAnsi" w:hAnsiTheme="majorHAnsi" w:cstheme="majorHAnsi"/>
                <w:bCs/>
                <w:noProof/>
                <w:sz w:val="19"/>
                <w:szCs w:val="19"/>
              </w:rPr>
              <w:t>No major negative climatic, social or political events</w:t>
            </w:r>
          </w:p>
        </w:tc>
      </w:tr>
      <w:tr w:rsidR="0031038D" w:rsidRPr="005516CD" w14:paraId="3DC005CC" w14:textId="77777777" w:rsidTr="00DE2654">
        <w:tc>
          <w:tcPr>
            <w:tcW w:w="1947" w:type="dxa"/>
            <w:vMerge/>
          </w:tcPr>
          <w:p w14:paraId="4D97F69E" w14:textId="77777777" w:rsidR="00E25524" w:rsidRPr="005516CD" w:rsidRDefault="00E25524" w:rsidP="00E25524"/>
        </w:tc>
        <w:tc>
          <w:tcPr>
            <w:tcW w:w="5043" w:type="dxa"/>
          </w:tcPr>
          <w:p w14:paraId="59DCEF94" w14:textId="77777777" w:rsidR="00E25524" w:rsidRPr="005516CD" w:rsidRDefault="00E25524" w:rsidP="006B27F4">
            <w:pPr>
              <w:pStyle w:val="ListParagraph"/>
              <w:numPr>
                <w:ilvl w:val="0"/>
                <w:numId w:val="101"/>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spacing w:after="60"/>
              <w:ind w:left="0" w:firstLine="0"/>
              <w:rPr>
                <w:rFonts w:asciiTheme="majorHAnsi" w:hAnsiTheme="majorHAnsi" w:cstheme="majorHAnsi"/>
                <w:bCs/>
                <w:noProof/>
                <w:color w:val="auto"/>
                <w:sz w:val="19"/>
                <w:szCs w:val="19"/>
              </w:rPr>
            </w:pPr>
            <w:r w:rsidRPr="005516CD">
              <w:rPr>
                <w:rFonts w:asciiTheme="majorHAnsi" w:hAnsiTheme="majorHAnsi" w:cstheme="majorHAnsi"/>
                <w:bCs/>
                <w:noProof/>
                <w:color w:val="auto"/>
                <w:sz w:val="19"/>
                <w:szCs w:val="19"/>
              </w:rPr>
              <w:t xml:space="preserve">Number of </w:t>
            </w:r>
            <w:r w:rsidR="001354DF" w:rsidRPr="005516CD">
              <w:rPr>
                <w:rFonts w:asciiTheme="majorHAnsi" w:hAnsiTheme="majorHAnsi" w:cstheme="majorHAnsi"/>
                <w:bCs/>
                <w:noProof/>
                <w:color w:val="auto"/>
                <w:sz w:val="19"/>
                <w:szCs w:val="19"/>
              </w:rPr>
              <w:t xml:space="preserve">households (led by men and women) </w:t>
            </w:r>
            <w:r w:rsidRPr="005516CD">
              <w:rPr>
                <w:rFonts w:asciiTheme="majorHAnsi" w:hAnsiTheme="majorHAnsi" w:cstheme="majorHAnsi"/>
                <w:bCs/>
                <w:noProof/>
                <w:color w:val="auto"/>
                <w:sz w:val="19"/>
                <w:szCs w:val="19"/>
              </w:rPr>
              <w:t>with increased levels of household income</w:t>
            </w:r>
            <w:r w:rsidR="001354DF" w:rsidRPr="005516CD">
              <w:rPr>
                <w:rFonts w:asciiTheme="majorHAnsi" w:hAnsiTheme="majorHAnsi" w:cstheme="majorHAnsi"/>
                <w:bCs/>
                <w:noProof/>
                <w:color w:val="auto"/>
                <w:sz w:val="19"/>
                <w:szCs w:val="19"/>
              </w:rPr>
              <w:t xml:space="preserve"> </w:t>
            </w:r>
            <w:r w:rsidRPr="005516CD">
              <w:rPr>
                <w:rFonts w:asciiTheme="majorHAnsi" w:hAnsiTheme="majorHAnsi" w:cstheme="majorHAnsi"/>
                <w:bCs/>
                <w:noProof/>
                <w:color w:val="auto"/>
                <w:sz w:val="19"/>
                <w:szCs w:val="19"/>
              </w:rPr>
              <w:t>as a result of the integrated and sustainable management of wooded production landscapes</w:t>
            </w:r>
          </w:p>
          <w:p w14:paraId="0BDFD4FD" w14:textId="77777777" w:rsidR="00E25524" w:rsidRPr="005516CD" w:rsidRDefault="00E25524" w:rsidP="00E25524">
            <w:pPr>
              <w:rPr>
                <w:b/>
              </w:rPr>
            </w:pPr>
            <w:r w:rsidRPr="005516CD">
              <w:rPr>
                <w:rFonts w:asciiTheme="majorHAnsi" w:hAnsiTheme="majorHAnsi" w:cstheme="majorHAnsi"/>
                <w:b/>
                <w:bCs/>
                <w:i/>
                <w:noProof/>
                <w:sz w:val="19"/>
                <w:szCs w:val="19"/>
              </w:rPr>
              <w:t xml:space="preserve">GEF-7 Core Indicator 11: </w:t>
            </w:r>
            <w:r w:rsidRPr="005516CD">
              <w:rPr>
                <w:rFonts w:asciiTheme="majorHAnsi" w:hAnsiTheme="majorHAnsi" w:cstheme="majorHAnsi"/>
                <w:bCs/>
                <w:i/>
                <w:noProof/>
                <w:sz w:val="19"/>
                <w:szCs w:val="19"/>
              </w:rPr>
              <w:t>Number of direct beneficiaries disaggregated by gender as co-benefit of GEF investment</w:t>
            </w:r>
            <w:r w:rsidRPr="005516CD">
              <w:rPr>
                <w:rFonts w:asciiTheme="majorHAnsi" w:hAnsiTheme="majorHAnsi" w:cstheme="majorHAnsi"/>
                <w:b/>
                <w:bCs/>
                <w:i/>
                <w:noProof/>
                <w:sz w:val="19"/>
                <w:szCs w:val="19"/>
              </w:rPr>
              <w:t xml:space="preserve"> </w:t>
            </w:r>
          </w:p>
        </w:tc>
        <w:tc>
          <w:tcPr>
            <w:tcW w:w="879" w:type="dxa"/>
          </w:tcPr>
          <w:p w14:paraId="24FAA7AF" w14:textId="77777777" w:rsidR="00E25524" w:rsidRPr="005516CD" w:rsidRDefault="00E25524" w:rsidP="00E25524">
            <w:pPr>
              <w:jc w:val="right"/>
            </w:pPr>
            <w:r w:rsidRPr="005516CD">
              <w:rPr>
                <w:rFonts w:asciiTheme="majorHAnsi" w:hAnsiTheme="majorHAnsi" w:cstheme="majorHAnsi"/>
                <w:bCs/>
                <w:noProof/>
                <w:sz w:val="19"/>
                <w:szCs w:val="19"/>
              </w:rPr>
              <w:t>N/A</w:t>
            </w:r>
          </w:p>
        </w:tc>
        <w:tc>
          <w:tcPr>
            <w:tcW w:w="1340" w:type="dxa"/>
          </w:tcPr>
          <w:p w14:paraId="3EFF99C6" w14:textId="1359DA6F" w:rsidR="00E25524" w:rsidRPr="00CC52F0" w:rsidRDefault="00E25524" w:rsidP="00E25524">
            <w:pPr>
              <w:rPr>
                <w:rFonts w:asciiTheme="majorHAnsi" w:hAnsiTheme="majorHAnsi" w:cstheme="majorHAnsi"/>
                <w:bCs/>
                <w:noProof/>
                <w:sz w:val="19"/>
                <w:szCs w:val="19"/>
              </w:rPr>
            </w:pPr>
            <w:r w:rsidRPr="00CC52F0">
              <w:rPr>
                <w:rFonts w:asciiTheme="majorHAnsi" w:hAnsiTheme="majorHAnsi" w:cstheme="majorHAnsi"/>
                <w:bCs/>
                <w:noProof/>
                <w:sz w:val="19"/>
                <w:szCs w:val="19"/>
              </w:rPr>
              <w:t>10,000 families</w:t>
            </w:r>
            <w:r w:rsidR="001354DF" w:rsidRPr="00CC52F0">
              <w:rPr>
                <w:rFonts w:asciiTheme="majorHAnsi" w:hAnsiTheme="majorHAnsi" w:cstheme="majorHAnsi"/>
                <w:bCs/>
                <w:noProof/>
                <w:sz w:val="19"/>
                <w:szCs w:val="19"/>
              </w:rPr>
              <w:t xml:space="preserve"> (of which </w:t>
            </w:r>
            <w:r w:rsidR="007A223C" w:rsidRPr="00CC52F0">
              <w:rPr>
                <w:rFonts w:asciiTheme="majorHAnsi" w:hAnsiTheme="majorHAnsi" w:cstheme="majorHAnsi"/>
                <w:bCs/>
                <w:noProof/>
                <w:sz w:val="19"/>
                <w:szCs w:val="19"/>
              </w:rPr>
              <w:t>3</w:t>
            </w:r>
            <w:r w:rsidR="001354DF" w:rsidRPr="00CC52F0">
              <w:rPr>
                <w:rFonts w:asciiTheme="majorHAnsi" w:hAnsiTheme="majorHAnsi" w:cstheme="majorHAnsi"/>
                <w:bCs/>
                <w:noProof/>
                <w:sz w:val="19"/>
                <w:szCs w:val="19"/>
              </w:rPr>
              <w:t>0% female led)</w:t>
            </w:r>
          </w:p>
        </w:tc>
        <w:tc>
          <w:tcPr>
            <w:tcW w:w="1559" w:type="dxa"/>
          </w:tcPr>
          <w:p w14:paraId="6EBB196B" w14:textId="7DCA0B50" w:rsidR="00E25524" w:rsidRPr="00CC52F0" w:rsidRDefault="007230C6" w:rsidP="00E25524">
            <w:pPr>
              <w:rPr>
                <w:rFonts w:asciiTheme="majorHAnsi" w:hAnsiTheme="majorHAnsi" w:cstheme="majorHAnsi"/>
                <w:bCs/>
                <w:noProof/>
                <w:sz w:val="19"/>
                <w:szCs w:val="19"/>
              </w:rPr>
            </w:pPr>
            <w:r w:rsidRPr="00CC52F0">
              <w:rPr>
                <w:rFonts w:asciiTheme="majorHAnsi" w:hAnsiTheme="majorHAnsi" w:cstheme="majorHAnsi"/>
                <w:b/>
                <w:bCs/>
                <w:noProof/>
                <w:sz w:val="19"/>
                <w:szCs w:val="19"/>
              </w:rPr>
              <w:t>2</w:t>
            </w:r>
            <w:r w:rsidR="00675D29" w:rsidRPr="00CC52F0">
              <w:rPr>
                <w:rFonts w:asciiTheme="majorHAnsi" w:hAnsiTheme="majorHAnsi" w:cstheme="majorHAnsi"/>
                <w:b/>
                <w:bCs/>
                <w:noProof/>
                <w:sz w:val="19"/>
                <w:szCs w:val="19"/>
              </w:rPr>
              <w:t>1,198</w:t>
            </w:r>
            <w:r w:rsidRPr="00CC52F0">
              <w:rPr>
                <w:rFonts w:asciiTheme="majorHAnsi" w:hAnsiTheme="majorHAnsi" w:cstheme="majorHAnsi"/>
                <w:b/>
                <w:bCs/>
                <w:noProof/>
                <w:sz w:val="19"/>
                <w:szCs w:val="19"/>
              </w:rPr>
              <w:t xml:space="preserve"> - </w:t>
            </w:r>
            <w:r w:rsidR="00E25524" w:rsidRPr="00CC52F0">
              <w:rPr>
                <w:rFonts w:asciiTheme="majorHAnsi" w:hAnsiTheme="majorHAnsi" w:cstheme="majorHAnsi"/>
                <w:b/>
                <w:bCs/>
                <w:noProof/>
                <w:sz w:val="19"/>
                <w:szCs w:val="19"/>
              </w:rPr>
              <w:t>22,458 families</w:t>
            </w:r>
            <w:r w:rsidR="00E25524" w:rsidRPr="00CC52F0">
              <w:rPr>
                <w:rStyle w:val="FootnoteReference"/>
                <w:rFonts w:asciiTheme="majorHAnsi" w:hAnsiTheme="majorHAnsi" w:cstheme="majorHAnsi"/>
                <w:bCs/>
                <w:noProof/>
                <w:sz w:val="19"/>
                <w:szCs w:val="19"/>
              </w:rPr>
              <w:footnoteReference w:id="68"/>
            </w:r>
            <w:r w:rsidR="001354DF" w:rsidRPr="00CC52F0">
              <w:rPr>
                <w:rFonts w:asciiTheme="majorHAnsi" w:hAnsiTheme="majorHAnsi" w:cstheme="majorHAnsi"/>
                <w:b/>
                <w:bCs/>
                <w:noProof/>
                <w:sz w:val="19"/>
                <w:szCs w:val="19"/>
              </w:rPr>
              <w:t xml:space="preserve"> </w:t>
            </w:r>
            <w:r w:rsidR="001354DF" w:rsidRPr="00CC52F0">
              <w:rPr>
                <w:rFonts w:asciiTheme="majorHAnsi" w:hAnsiTheme="majorHAnsi" w:cstheme="majorHAnsi"/>
                <w:bCs/>
                <w:noProof/>
                <w:sz w:val="19"/>
                <w:szCs w:val="19"/>
              </w:rPr>
              <w:t xml:space="preserve">(of which </w:t>
            </w:r>
            <w:r w:rsidR="007A223C" w:rsidRPr="00CC52F0">
              <w:rPr>
                <w:rFonts w:asciiTheme="majorHAnsi" w:hAnsiTheme="majorHAnsi" w:cstheme="majorHAnsi"/>
                <w:bCs/>
                <w:noProof/>
                <w:sz w:val="19"/>
                <w:szCs w:val="19"/>
              </w:rPr>
              <w:t>3</w:t>
            </w:r>
            <w:r w:rsidR="001354DF" w:rsidRPr="00CC52F0">
              <w:rPr>
                <w:rFonts w:asciiTheme="majorHAnsi" w:hAnsiTheme="majorHAnsi" w:cstheme="majorHAnsi"/>
                <w:bCs/>
                <w:noProof/>
                <w:sz w:val="19"/>
                <w:szCs w:val="19"/>
              </w:rPr>
              <w:t>0% female led)</w:t>
            </w:r>
          </w:p>
        </w:tc>
        <w:tc>
          <w:tcPr>
            <w:tcW w:w="1560" w:type="dxa"/>
          </w:tcPr>
          <w:p w14:paraId="1ACB0B92" w14:textId="77777777" w:rsidR="00E25524" w:rsidRPr="005516CD" w:rsidRDefault="00C66BF2"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Questionnaires and focus groups</w:t>
            </w:r>
          </w:p>
        </w:tc>
        <w:tc>
          <w:tcPr>
            <w:tcW w:w="1622" w:type="dxa"/>
          </w:tcPr>
          <w:p w14:paraId="7A879084" w14:textId="77777777" w:rsidR="00E25524" w:rsidRPr="005516CD" w:rsidRDefault="0031038D" w:rsidP="00DE2654">
            <w:pPr>
              <w:ind w:left="-106"/>
            </w:pPr>
            <w:r w:rsidRPr="005516CD">
              <w:rPr>
                <w:rFonts w:asciiTheme="majorHAnsi" w:hAnsiTheme="majorHAnsi" w:cstheme="majorHAnsi"/>
                <w:bCs/>
                <w:noProof/>
                <w:sz w:val="19"/>
                <w:szCs w:val="19"/>
              </w:rPr>
              <w:t>No major negative climatic, social or political events</w:t>
            </w:r>
          </w:p>
        </w:tc>
      </w:tr>
      <w:tr w:rsidR="0031038D" w:rsidRPr="005516CD" w14:paraId="5B8AA25B" w14:textId="77777777" w:rsidTr="0031038D">
        <w:tc>
          <w:tcPr>
            <w:tcW w:w="1947" w:type="dxa"/>
            <w:vMerge w:val="restart"/>
          </w:tcPr>
          <w:p w14:paraId="0AAB480B" w14:textId="77777777" w:rsidR="00E25524" w:rsidRPr="005516CD" w:rsidRDefault="00E25524" w:rsidP="00E25524">
            <w:pPr>
              <w:widowControl w:val="0"/>
              <w:rPr>
                <w:rFonts w:asciiTheme="majorHAnsi" w:hAnsiTheme="majorHAnsi" w:cstheme="majorHAnsi"/>
                <w:b/>
                <w:bCs/>
                <w:noProof/>
                <w:sz w:val="19"/>
                <w:szCs w:val="19"/>
              </w:rPr>
            </w:pPr>
            <w:r w:rsidRPr="005516CD">
              <w:rPr>
                <w:rFonts w:asciiTheme="majorHAnsi" w:hAnsiTheme="majorHAnsi" w:cstheme="majorHAnsi"/>
                <w:b/>
                <w:bCs/>
                <w:noProof/>
                <w:sz w:val="19"/>
                <w:szCs w:val="19"/>
              </w:rPr>
              <w:t>Component 1: </w:t>
            </w:r>
          </w:p>
          <w:p w14:paraId="67F774CF" w14:textId="77777777" w:rsidR="00E25524" w:rsidRPr="005516CD" w:rsidRDefault="00E25524" w:rsidP="00E25524">
            <w:r w:rsidRPr="005516CD">
              <w:rPr>
                <w:rFonts w:asciiTheme="majorHAnsi" w:hAnsiTheme="majorHAnsi" w:cstheme="majorHAnsi"/>
                <w:bCs/>
                <w:noProof/>
                <w:sz w:val="19"/>
                <w:szCs w:val="19"/>
              </w:rPr>
              <w:t>Creation of enabling conditions for application and scaling-up of landscape management model</w:t>
            </w:r>
          </w:p>
        </w:tc>
        <w:tc>
          <w:tcPr>
            <w:tcW w:w="12003" w:type="dxa"/>
            <w:gridSpan w:val="6"/>
            <w:shd w:val="clear" w:color="auto" w:fill="D9D9D9" w:themeFill="background1" w:themeFillShade="D9"/>
          </w:tcPr>
          <w:p w14:paraId="1B49067D" w14:textId="77777777" w:rsidR="00E25524" w:rsidRPr="005516CD" w:rsidRDefault="00E25524" w:rsidP="00E25524">
            <w:r w:rsidRPr="005516CD">
              <w:rPr>
                <w:rFonts w:asciiTheme="majorHAnsi" w:hAnsiTheme="majorHAnsi" w:cstheme="majorHAnsi"/>
                <w:b/>
                <w:bCs/>
                <w:noProof/>
                <w:sz w:val="19"/>
                <w:szCs w:val="19"/>
              </w:rPr>
              <w:t>Harmonized inter-sector planning at landscape level favours connectivity and BD-friendly production systems (e.g. diversified shade coffee and cocoa, diverse tree-rich annual production systems and home-gardens, enriched fallows based on assisted natural regeneration), indicated by:</w:t>
            </w:r>
          </w:p>
        </w:tc>
      </w:tr>
      <w:tr w:rsidR="0031038D" w:rsidRPr="005516CD" w14:paraId="1931C970" w14:textId="77777777" w:rsidTr="00DE2654">
        <w:tc>
          <w:tcPr>
            <w:tcW w:w="1947" w:type="dxa"/>
            <w:vMerge/>
          </w:tcPr>
          <w:p w14:paraId="708358B1" w14:textId="77777777" w:rsidR="00E25524" w:rsidRPr="005516CD" w:rsidRDefault="00E25524" w:rsidP="00E25524">
            <w:pPr>
              <w:widowControl w:val="0"/>
              <w:rPr>
                <w:rFonts w:asciiTheme="majorHAnsi" w:hAnsiTheme="majorHAnsi" w:cstheme="majorHAnsi"/>
                <w:b/>
                <w:bCs/>
                <w:noProof/>
                <w:sz w:val="19"/>
                <w:szCs w:val="19"/>
              </w:rPr>
            </w:pPr>
          </w:p>
        </w:tc>
        <w:tc>
          <w:tcPr>
            <w:tcW w:w="5043" w:type="dxa"/>
          </w:tcPr>
          <w:p w14:paraId="79EE841F" w14:textId="77777777" w:rsidR="00E25524" w:rsidRPr="005516CD" w:rsidRDefault="00E25524" w:rsidP="00FB5829">
            <w:pPr>
              <w:pStyle w:val="ListParagraph"/>
              <w:numPr>
                <w:ilvl w:val="0"/>
                <w:numId w:val="102"/>
              </w:numPr>
              <w:pBdr>
                <w:top w:val="none" w:sz="0" w:space="0" w:color="auto"/>
                <w:left w:val="none" w:sz="0" w:space="0" w:color="auto"/>
                <w:bottom w:val="none" w:sz="0" w:space="0" w:color="auto"/>
                <w:right w:val="none" w:sz="0" w:space="0" w:color="auto"/>
                <w:between w:val="none" w:sz="0" w:space="0" w:color="auto"/>
                <w:bar w:val="none" w:sz="0" w:color="auto"/>
              </w:pBdr>
              <w:tabs>
                <w:tab w:val="left" w:pos="311"/>
              </w:tabs>
              <w:spacing w:after="120"/>
              <w:ind w:left="0" w:firstLine="0"/>
              <w:rPr>
                <w:rFonts w:asciiTheme="majorHAnsi" w:hAnsiTheme="majorHAnsi" w:cstheme="majorHAnsi"/>
                <w:bCs/>
                <w:noProof/>
                <w:color w:val="auto"/>
                <w:sz w:val="19"/>
                <w:szCs w:val="19"/>
              </w:rPr>
            </w:pPr>
            <w:r w:rsidRPr="005516CD">
              <w:rPr>
                <w:rFonts w:asciiTheme="majorHAnsi" w:hAnsiTheme="majorHAnsi" w:cstheme="majorHAnsi"/>
                <w:bCs/>
                <w:noProof/>
                <w:color w:val="auto"/>
                <w:sz w:val="19"/>
                <w:szCs w:val="19"/>
              </w:rPr>
              <w:t xml:space="preserve">Area </w:t>
            </w:r>
            <w:bookmarkStart w:id="76" w:name="_Hlk533769871"/>
            <w:r w:rsidRPr="005516CD">
              <w:rPr>
                <w:rFonts w:asciiTheme="majorHAnsi" w:hAnsiTheme="majorHAnsi" w:cstheme="majorHAnsi"/>
                <w:bCs/>
                <w:noProof/>
                <w:color w:val="auto"/>
                <w:sz w:val="19"/>
                <w:szCs w:val="19"/>
              </w:rPr>
              <w:t xml:space="preserve">prioritised in land use plans (produced through inter-sector processes and accords) across the project area for production systems on the basis of their importance for connectivity </w:t>
            </w:r>
            <w:bookmarkEnd w:id="76"/>
          </w:p>
          <w:p w14:paraId="4E4F82FC" w14:textId="77777777" w:rsidR="00D1197C" w:rsidRPr="005516CD" w:rsidRDefault="00D1197C" w:rsidP="00FB582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311"/>
              </w:tabs>
              <w:ind w:left="0"/>
              <w:rPr>
                <w:rFonts w:asciiTheme="majorHAnsi" w:hAnsiTheme="majorHAnsi" w:cstheme="majorHAnsi"/>
                <w:bCs/>
                <w:noProof/>
                <w:color w:val="auto"/>
                <w:sz w:val="19"/>
                <w:szCs w:val="19"/>
              </w:rPr>
            </w:pPr>
            <w:r w:rsidRPr="005516CD">
              <w:rPr>
                <w:rFonts w:asciiTheme="majorHAnsi" w:hAnsiTheme="majorHAnsi" w:cstheme="majorHAnsi"/>
                <w:b/>
                <w:bCs/>
                <w:i/>
                <w:noProof/>
                <w:color w:val="auto"/>
                <w:sz w:val="19"/>
                <w:szCs w:val="19"/>
              </w:rPr>
              <w:t>IRFF Output Indicator 2.4.1.1.</w:t>
            </w:r>
            <w:r w:rsidRPr="005516CD">
              <w:rPr>
                <w:rFonts w:asciiTheme="majorHAnsi" w:hAnsiTheme="majorHAnsi" w:cstheme="majorHAnsi"/>
                <w:bCs/>
                <w:noProof/>
                <w:color w:val="auto"/>
                <w:sz w:val="19"/>
                <w:szCs w:val="19"/>
              </w:rPr>
              <w:t xml:space="preserve"> </w:t>
            </w:r>
            <w:r w:rsidRPr="005516CD">
              <w:rPr>
                <w:rFonts w:asciiTheme="majorHAnsi" w:hAnsiTheme="majorHAnsi" w:cstheme="majorHAnsi"/>
                <w:bCs/>
                <w:i/>
                <w:noProof/>
                <w:color w:val="auto"/>
                <w:sz w:val="19"/>
                <w:szCs w:val="19"/>
              </w:rPr>
              <w:t>Number of countries with gender-responsive measures in place for conservation, sustainable use, and equitable access to and benefit sharing of natural resources, biodiversity and ecosystems</w:t>
            </w:r>
          </w:p>
        </w:tc>
        <w:tc>
          <w:tcPr>
            <w:tcW w:w="879" w:type="dxa"/>
          </w:tcPr>
          <w:p w14:paraId="5B60E2C6" w14:textId="77777777" w:rsidR="00E25524" w:rsidRPr="005516CD" w:rsidRDefault="00E25524" w:rsidP="00E25524">
            <w:pPr>
              <w:jc w:val="right"/>
            </w:pPr>
            <w:r w:rsidRPr="005516CD">
              <w:rPr>
                <w:rFonts w:asciiTheme="majorHAnsi" w:hAnsiTheme="majorHAnsi" w:cstheme="majorHAnsi"/>
                <w:bCs/>
                <w:noProof/>
                <w:sz w:val="19"/>
                <w:szCs w:val="19"/>
              </w:rPr>
              <w:t>0 ha</w:t>
            </w:r>
          </w:p>
        </w:tc>
        <w:tc>
          <w:tcPr>
            <w:tcW w:w="1340" w:type="dxa"/>
          </w:tcPr>
          <w:p w14:paraId="2EE8AEFB" w14:textId="77777777" w:rsidR="00E25524" w:rsidRPr="005516CD" w:rsidRDefault="00E25524" w:rsidP="00E25524">
            <w:r w:rsidRPr="005516CD">
              <w:rPr>
                <w:rFonts w:asciiTheme="majorHAnsi" w:hAnsiTheme="majorHAnsi" w:cstheme="majorHAnsi"/>
                <w:bCs/>
                <w:noProof/>
                <w:sz w:val="19"/>
                <w:szCs w:val="19"/>
              </w:rPr>
              <w:t>30,118.75 ha</w:t>
            </w:r>
          </w:p>
        </w:tc>
        <w:tc>
          <w:tcPr>
            <w:tcW w:w="1559" w:type="dxa"/>
          </w:tcPr>
          <w:p w14:paraId="2F8D9FFD" w14:textId="77777777" w:rsidR="00E25524" w:rsidRPr="005516CD" w:rsidRDefault="00E25524" w:rsidP="00E25524">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30,1</w:t>
            </w:r>
            <w:r w:rsidR="00AD682B" w:rsidRPr="005516CD">
              <w:rPr>
                <w:rFonts w:asciiTheme="majorHAnsi" w:hAnsiTheme="majorHAnsi" w:cstheme="majorHAnsi"/>
                <w:bCs/>
                <w:noProof/>
                <w:sz w:val="19"/>
                <w:szCs w:val="19"/>
              </w:rPr>
              <w:t>20</w:t>
            </w:r>
            <w:r w:rsidRPr="005516CD">
              <w:rPr>
                <w:rFonts w:asciiTheme="majorHAnsi" w:hAnsiTheme="majorHAnsi" w:cstheme="majorHAnsi"/>
                <w:bCs/>
                <w:noProof/>
                <w:sz w:val="19"/>
                <w:szCs w:val="19"/>
              </w:rPr>
              <w:t xml:space="preserve"> ha</w:t>
            </w:r>
            <w:r w:rsidRPr="005516CD">
              <w:rPr>
                <w:rStyle w:val="FootnoteReference"/>
                <w:rFonts w:asciiTheme="majorHAnsi" w:hAnsiTheme="majorHAnsi" w:cstheme="majorHAnsi"/>
                <w:bCs/>
                <w:noProof/>
                <w:sz w:val="19"/>
                <w:szCs w:val="19"/>
              </w:rPr>
              <w:footnoteReference w:id="69"/>
            </w:r>
          </w:p>
        </w:tc>
        <w:tc>
          <w:tcPr>
            <w:tcW w:w="1560" w:type="dxa"/>
          </w:tcPr>
          <w:p w14:paraId="673F675A" w14:textId="77777777" w:rsidR="00E25524" w:rsidRPr="005516CD" w:rsidRDefault="0031038D"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Land use plans</w:t>
            </w:r>
          </w:p>
        </w:tc>
        <w:tc>
          <w:tcPr>
            <w:tcW w:w="1622" w:type="dxa"/>
          </w:tcPr>
          <w:p w14:paraId="066CDB9D" w14:textId="77777777" w:rsidR="00E25524" w:rsidRPr="005516CD" w:rsidRDefault="0031038D"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 xml:space="preserve">Willingness to collaborate among key actors </w:t>
            </w:r>
          </w:p>
        </w:tc>
      </w:tr>
      <w:tr w:rsidR="0031038D" w:rsidRPr="005516CD" w14:paraId="6DA6B41B" w14:textId="77777777" w:rsidTr="00DE2654">
        <w:tc>
          <w:tcPr>
            <w:tcW w:w="1947" w:type="dxa"/>
            <w:vMerge/>
          </w:tcPr>
          <w:p w14:paraId="26099865" w14:textId="77777777" w:rsidR="0031038D" w:rsidRPr="005516CD" w:rsidRDefault="0031038D" w:rsidP="0031038D">
            <w:pPr>
              <w:widowControl w:val="0"/>
              <w:rPr>
                <w:rFonts w:asciiTheme="majorHAnsi" w:hAnsiTheme="majorHAnsi" w:cstheme="majorHAnsi"/>
                <w:b/>
                <w:bCs/>
                <w:noProof/>
                <w:sz w:val="19"/>
                <w:szCs w:val="19"/>
              </w:rPr>
            </w:pPr>
          </w:p>
        </w:tc>
        <w:tc>
          <w:tcPr>
            <w:tcW w:w="5043" w:type="dxa"/>
          </w:tcPr>
          <w:p w14:paraId="592811D6" w14:textId="77777777" w:rsidR="0031038D" w:rsidRPr="005516CD" w:rsidRDefault="0031038D" w:rsidP="00FB5829">
            <w:pPr>
              <w:pStyle w:val="ListParagraph"/>
              <w:numPr>
                <w:ilvl w:val="0"/>
                <w:numId w:val="102"/>
              </w:numPr>
              <w:pBdr>
                <w:top w:val="none" w:sz="0" w:space="0" w:color="auto"/>
                <w:left w:val="none" w:sz="0" w:space="0" w:color="auto"/>
                <w:bottom w:val="none" w:sz="0" w:space="0" w:color="auto"/>
                <w:right w:val="none" w:sz="0" w:space="0" w:color="auto"/>
                <w:between w:val="none" w:sz="0" w:space="0" w:color="auto"/>
                <w:bar w:val="none" w:sz="0" w:color="auto"/>
              </w:pBdr>
              <w:tabs>
                <w:tab w:val="left" w:pos="311"/>
              </w:tabs>
              <w:spacing w:after="120"/>
              <w:ind w:left="0" w:firstLine="0"/>
              <w:rPr>
                <w:rFonts w:asciiTheme="majorHAnsi" w:hAnsiTheme="majorHAnsi" w:cstheme="majorHAnsi"/>
                <w:bCs/>
                <w:noProof/>
                <w:color w:val="auto"/>
                <w:sz w:val="19"/>
                <w:szCs w:val="19"/>
              </w:rPr>
            </w:pPr>
            <w:r w:rsidRPr="005516CD">
              <w:rPr>
                <w:rFonts w:asciiTheme="majorHAnsi" w:hAnsiTheme="majorHAnsi" w:cstheme="majorHAnsi"/>
                <w:bCs/>
                <w:noProof/>
                <w:color w:val="auto"/>
                <w:sz w:val="19"/>
                <w:szCs w:val="19"/>
              </w:rPr>
              <w:t xml:space="preserve">Area </w:t>
            </w:r>
            <w:bookmarkStart w:id="77" w:name="_Hlk533770022"/>
            <w:r w:rsidRPr="005516CD">
              <w:rPr>
                <w:rFonts w:asciiTheme="majorHAnsi" w:hAnsiTheme="majorHAnsi" w:cstheme="majorHAnsi"/>
                <w:bCs/>
                <w:noProof/>
                <w:color w:val="auto"/>
                <w:sz w:val="19"/>
                <w:szCs w:val="19"/>
              </w:rPr>
              <w:t>prioritised in land use plans across the project area for protective management and restoration as forest cover</w:t>
            </w:r>
            <w:bookmarkEnd w:id="77"/>
          </w:p>
          <w:p w14:paraId="714132F4" w14:textId="77777777" w:rsidR="00693F02" w:rsidRPr="005516CD" w:rsidRDefault="00693F02" w:rsidP="00FB5829">
            <w:pPr>
              <w:pBdr>
                <w:top w:val="nil"/>
                <w:left w:val="nil"/>
                <w:bottom w:val="nil"/>
                <w:right w:val="nil"/>
                <w:between w:val="nil"/>
                <w:bar w:val="nil"/>
              </w:pBdr>
              <w:rPr>
                <w:rFonts w:asciiTheme="majorHAnsi" w:hAnsiTheme="majorHAnsi" w:cstheme="majorHAnsi"/>
                <w:bCs/>
                <w:i/>
                <w:noProof/>
                <w:sz w:val="19"/>
                <w:szCs w:val="19"/>
              </w:rPr>
            </w:pPr>
            <w:r w:rsidRPr="005516CD">
              <w:rPr>
                <w:rFonts w:asciiTheme="majorHAnsi" w:hAnsiTheme="majorHAnsi" w:cstheme="majorHAnsi"/>
                <w:b/>
                <w:bCs/>
                <w:i/>
                <w:noProof/>
                <w:sz w:val="19"/>
                <w:szCs w:val="19"/>
              </w:rPr>
              <w:t xml:space="preserve">IRRF </w:t>
            </w:r>
            <w:r w:rsidR="00141D4A" w:rsidRPr="005516CD">
              <w:rPr>
                <w:rFonts w:asciiTheme="majorHAnsi" w:hAnsiTheme="majorHAnsi" w:cstheme="majorHAnsi"/>
                <w:b/>
                <w:bCs/>
                <w:i/>
                <w:noProof/>
                <w:sz w:val="19"/>
                <w:szCs w:val="19"/>
              </w:rPr>
              <w:t>output i</w:t>
            </w:r>
            <w:r w:rsidRPr="005516CD">
              <w:rPr>
                <w:rFonts w:asciiTheme="majorHAnsi" w:hAnsiTheme="majorHAnsi" w:cstheme="majorHAnsi"/>
                <w:b/>
                <w:bCs/>
                <w:i/>
                <w:noProof/>
                <w:sz w:val="19"/>
                <w:szCs w:val="19"/>
              </w:rPr>
              <w:t>ndicator 1.4.1.2:</w:t>
            </w:r>
            <w:r w:rsidRPr="005516CD">
              <w:rPr>
                <w:rFonts w:asciiTheme="majorHAnsi" w:hAnsiTheme="majorHAnsi" w:cstheme="majorHAnsi"/>
                <w:bCs/>
                <w:i/>
                <w:noProof/>
                <w:sz w:val="19"/>
                <w:szCs w:val="19"/>
              </w:rPr>
              <w:t xml:space="preserve"> Natural resources that are managed under a sustainable use, conservation, access and benefit-sharing regime: a)</w:t>
            </w:r>
            <w:r w:rsidRPr="005516CD">
              <w:rPr>
                <w:rFonts w:asciiTheme="majorHAnsi" w:hAnsiTheme="majorHAnsi" w:cstheme="majorHAnsi"/>
                <w:bCs/>
                <w:i/>
                <w:noProof/>
                <w:sz w:val="19"/>
                <w:szCs w:val="19"/>
              </w:rPr>
              <w:tab/>
              <w:t>Area of land and marine habitat under protection (hectares)</w:t>
            </w:r>
          </w:p>
        </w:tc>
        <w:tc>
          <w:tcPr>
            <w:tcW w:w="879" w:type="dxa"/>
          </w:tcPr>
          <w:p w14:paraId="6D4CB047" w14:textId="77777777" w:rsidR="0031038D" w:rsidRPr="005516CD" w:rsidRDefault="0031038D" w:rsidP="0031038D">
            <w:pPr>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0 ha</w:t>
            </w:r>
          </w:p>
        </w:tc>
        <w:tc>
          <w:tcPr>
            <w:tcW w:w="1340" w:type="dxa"/>
          </w:tcPr>
          <w:p w14:paraId="32137487" w14:textId="77777777" w:rsidR="0031038D" w:rsidRPr="005516CD" w:rsidRDefault="0031038D" w:rsidP="0031038D">
            <w:r w:rsidRPr="005516CD">
              <w:rPr>
                <w:rFonts w:asciiTheme="majorHAnsi" w:hAnsiTheme="majorHAnsi" w:cstheme="majorHAnsi"/>
                <w:bCs/>
                <w:noProof/>
                <w:sz w:val="19"/>
                <w:szCs w:val="19"/>
              </w:rPr>
              <w:t>3,500 ha</w:t>
            </w:r>
          </w:p>
        </w:tc>
        <w:tc>
          <w:tcPr>
            <w:tcW w:w="1559" w:type="dxa"/>
          </w:tcPr>
          <w:p w14:paraId="2F6A25B4" w14:textId="77777777" w:rsidR="0031038D" w:rsidRPr="005516CD" w:rsidRDefault="0031038D" w:rsidP="0031038D">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3,500 ha</w:t>
            </w:r>
          </w:p>
        </w:tc>
        <w:tc>
          <w:tcPr>
            <w:tcW w:w="1560" w:type="dxa"/>
          </w:tcPr>
          <w:p w14:paraId="163528E2" w14:textId="77777777" w:rsidR="0031038D" w:rsidRPr="005516CD" w:rsidRDefault="0031038D" w:rsidP="00DE2654">
            <w:pPr>
              <w:ind w:left="-106"/>
            </w:pPr>
            <w:r w:rsidRPr="005516CD">
              <w:rPr>
                <w:rFonts w:asciiTheme="majorHAnsi" w:hAnsiTheme="majorHAnsi" w:cstheme="majorHAnsi"/>
                <w:bCs/>
                <w:noProof/>
                <w:sz w:val="19"/>
                <w:szCs w:val="19"/>
              </w:rPr>
              <w:t>Land use plans</w:t>
            </w:r>
          </w:p>
        </w:tc>
        <w:tc>
          <w:tcPr>
            <w:tcW w:w="1622" w:type="dxa"/>
          </w:tcPr>
          <w:p w14:paraId="106E2C50" w14:textId="77777777" w:rsidR="0031038D" w:rsidRPr="005516CD" w:rsidRDefault="0031038D" w:rsidP="00DE2654">
            <w:pPr>
              <w:ind w:left="-106"/>
            </w:pPr>
            <w:r w:rsidRPr="005516CD">
              <w:rPr>
                <w:rFonts w:asciiTheme="majorHAnsi" w:hAnsiTheme="majorHAnsi" w:cstheme="majorHAnsi"/>
                <w:bCs/>
                <w:noProof/>
                <w:sz w:val="19"/>
                <w:szCs w:val="19"/>
              </w:rPr>
              <w:t xml:space="preserve">Willingness to collaborate among key actors </w:t>
            </w:r>
          </w:p>
        </w:tc>
      </w:tr>
      <w:tr w:rsidR="0031038D" w:rsidRPr="005516CD" w14:paraId="2C16EEA6" w14:textId="77777777" w:rsidTr="0031038D">
        <w:tc>
          <w:tcPr>
            <w:tcW w:w="1947" w:type="dxa"/>
            <w:vMerge/>
          </w:tcPr>
          <w:p w14:paraId="2F584EBE" w14:textId="77777777" w:rsidR="0031038D" w:rsidRPr="005516CD" w:rsidRDefault="0031038D" w:rsidP="0031038D">
            <w:pPr>
              <w:widowControl w:val="0"/>
              <w:rPr>
                <w:rFonts w:asciiTheme="majorHAnsi" w:hAnsiTheme="majorHAnsi" w:cstheme="majorHAnsi"/>
                <w:b/>
                <w:bCs/>
                <w:noProof/>
                <w:sz w:val="19"/>
                <w:szCs w:val="19"/>
              </w:rPr>
            </w:pPr>
          </w:p>
        </w:tc>
        <w:tc>
          <w:tcPr>
            <w:tcW w:w="12003" w:type="dxa"/>
            <w:gridSpan w:val="6"/>
            <w:shd w:val="clear" w:color="auto" w:fill="D9D9D9" w:themeFill="background1" w:themeFillShade="D9"/>
          </w:tcPr>
          <w:p w14:paraId="69D1AE41" w14:textId="77777777" w:rsidR="0031038D" w:rsidRPr="005516CD" w:rsidRDefault="0031038D" w:rsidP="0031038D">
            <w:pPr>
              <w:keepLines/>
              <w:rPr>
                <w:rFonts w:asciiTheme="majorHAnsi" w:hAnsiTheme="majorHAnsi" w:cstheme="majorHAnsi"/>
                <w:b/>
                <w:bCs/>
                <w:noProof/>
                <w:sz w:val="19"/>
                <w:szCs w:val="19"/>
              </w:rPr>
            </w:pPr>
            <w:r w:rsidRPr="005516CD">
              <w:rPr>
                <w:rFonts w:asciiTheme="majorHAnsi" w:hAnsiTheme="majorHAnsi" w:cstheme="majorHAnsi"/>
                <w:b/>
                <w:bCs/>
                <w:noProof/>
                <w:sz w:val="19"/>
                <w:szCs w:val="19"/>
              </w:rPr>
              <w:t xml:space="preserve">Improved conditions of community governance addressing threats to tree cover and the sustainability of management </w:t>
            </w:r>
          </w:p>
        </w:tc>
      </w:tr>
      <w:tr w:rsidR="0031038D" w:rsidRPr="005516CD" w14:paraId="0E6A2339" w14:textId="77777777" w:rsidTr="00DE2654">
        <w:tc>
          <w:tcPr>
            <w:tcW w:w="1947" w:type="dxa"/>
            <w:vMerge/>
          </w:tcPr>
          <w:p w14:paraId="06CE1386" w14:textId="77777777" w:rsidR="0031038D" w:rsidRPr="005516CD" w:rsidRDefault="0031038D" w:rsidP="0031038D">
            <w:pPr>
              <w:widowControl w:val="0"/>
              <w:rPr>
                <w:rFonts w:asciiTheme="majorHAnsi" w:hAnsiTheme="majorHAnsi" w:cstheme="majorHAnsi"/>
                <w:b/>
                <w:bCs/>
                <w:noProof/>
                <w:sz w:val="19"/>
                <w:szCs w:val="19"/>
              </w:rPr>
            </w:pPr>
          </w:p>
        </w:tc>
        <w:tc>
          <w:tcPr>
            <w:tcW w:w="5043" w:type="dxa"/>
          </w:tcPr>
          <w:p w14:paraId="2ACFBE84" w14:textId="77777777" w:rsidR="0031038D" w:rsidRPr="005516CD" w:rsidRDefault="0031038D" w:rsidP="006B27F4">
            <w:pPr>
              <w:pStyle w:val="ListParagraph"/>
              <w:numPr>
                <w:ilvl w:val="0"/>
                <w:numId w:val="102"/>
              </w:numPr>
              <w:pBdr>
                <w:top w:val="none" w:sz="0" w:space="0" w:color="auto"/>
                <w:left w:val="none" w:sz="0" w:space="0" w:color="auto"/>
                <w:bottom w:val="none" w:sz="0" w:space="0" w:color="auto"/>
                <w:right w:val="none" w:sz="0" w:space="0" w:color="auto"/>
                <w:between w:val="none" w:sz="0" w:space="0" w:color="auto"/>
                <w:bar w:val="none" w:sz="0" w:color="auto"/>
              </w:pBdr>
              <w:tabs>
                <w:tab w:val="left" w:pos="311"/>
              </w:tabs>
              <w:spacing w:after="60"/>
              <w:ind w:left="0" w:firstLine="0"/>
              <w:rPr>
                <w:rFonts w:asciiTheme="majorHAnsi" w:hAnsiTheme="majorHAnsi" w:cstheme="majorHAnsi"/>
                <w:bCs/>
                <w:noProof/>
                <w:color w:val="auto"/>
                <w:sz w:val="19"/>
                <w:szCs w:val="19"/>
              </w:rPr>
            </w:pPr>
            <w:r w:rsidRPr="005516CD">
              <w:rPr>
                <w:rFonts w:asciiTheme="majorHAnsi" w:hAnsiTheme="majorHAnsi" w:cstheme="majorHAnsi"/>
                <w:bCs/>
                <w:noProof/>
                <w:color w:val="auto"/>
                <w:sz w:val="19"/>
                <w:szCs w:val="19"/>
              </w:rPr>
              <w:t xml:space="preserve">Number of communities with improved mechanisms for natural resource governance </w:t>
            </w:r>
          </w:p>
        </w:tc>
        <w:tc>
          <w:tcPr>
            <w:tcW w:w="879" w:type="dxa"/>
          </w:tcPr>
          <w:p w14:paraId="7ECCA8B0" w14:textId="77777777" w:rsidR="0031038D" w:rsidRPr="005516CD" w:rsidRDefault="0031038D" w:rsidP="0031038D">
            <w:pPr>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0</w:t>
            </w:r>
          </w:p>
        </w:tc>
        <w:tc>
          <w:tcPr>
            <w:tcW w:w="1340" w:type="dxa"/>
          </w:tcPr>
          <w:p w14:paraId="0C7066DF" w14:textId="77777777" w:rsidR="0031038D" w:rsidRPr="005516CD" w:rsidRDefault="0031038D" w:rsidP="0031038D">
            <w:r w:rsidRPr="005516CD">
              <w:rPr>
                <w:rFonts w:asciiTheme="majorHAnsi" w:hAnsiTheme="majorHAnsi" w:cstheme="majorHAnsi"/>
                <w:bCs/>
                <w:noProof/>
                <w:sz w:val="19"/>
                <w:szCs w:val="19"/>
              </w:rPr>
              <w:t xml:space="preserve">16 communities (25,600 ha) in 8 communes </w:t>
            </w:r>
          </w:p>
        </w:tc>
        <w:tc>
          <w:tcPr>
            <w:tcW w:w="1559" w:type="dxa"/>
          </w:tcPr>
          <w:p w14:paraId="4F272119" w14:textId="77777777" w:rsidR="0031038D" w:rsidRPr="005516CD" w:rsidRDefault="0031038D" w:rsidP="0031038D">
            <w:r w:rsidRPr="005516CD">
              <w:rPr>
                <w:rFonts w:asciiTheme="majorHAnsi" w:hAnsiTheme="majorHAnsi" w:cstheme="majorHAnsi"/>
                <w:bCs/>
                <w:noProof/>
                <w:sz w:val="19"/>
                <w:szCs w:val="19"/>
              </w:rPr>
              <w:t xml:space="preserve">32 communities (51,200 ha) in 16 communes </w:t>
            </w:r>
          </w:p>
        </w:tc>
        <w:tc>
          <w:tcPr>
            <w:tcW w:w="1560" w:type="dxa"/>
          </w:tcPr>
          <w:p w14:paraId="2B2D9CBE" w14:textId="77777777" w:rsidR="0031038D" w:rsidRPr="005516CD" w:rsidRDefault="0031038D"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Focus groups, interviews with community members</w:t>
            </w:r>
          </w:p>
        </w:tc>
        <w:tc>
          <w:tcPr>
            <w:tcW w:w="1622" w:type="dxa"/>
          </w:tcPr>
          <w:p w14:paraId="0FE2E4A4" w14:textId="77777777" w:rsidR="0031038D" w:rsidRPr="005516CD" w:rsidRDefault="0031038D"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Underlying social stability</w:t>
            </w:r>
          </w:p>
        </w:tc>
      </w:tr>
      <w:tr w:rsidR="0031038D" w:rsidRPr="005516CD" w14:paraId="5F6AD8F9" w14:textId="77777777" w:rsidTr="0031038D">
        <w:tc>
          <w:tcPr>
            <w:tcW w:w="1947" w:type="dxa"/>
            <w:vMerge/>
          </w:tcPr>
          <w:p w14:paraId="18D60BAA" w14:textId="77777777" w:rsidR="0031038D" w:rsidRPr="005516CD" w:rsidRDefault="0031038D" w:rsidP="0031038D">
            <w:pPr>
              <w:widowControl w:val="0"/>
              <w:rPr>
                <w:rFonts w:asciiTheme="majorHAnsi" w:hAnsiTheme="majorHAnsi" w:cstheme="majorHAnsi"/>
                <w:b/>
                <w:bCs/>
                <w:noProof/>
                <w:sz w:val="19"/>
                <w:szCs w:val="19"/>
              </w:rPr>
            </w:pPr>
          </w:p>
        </w:tc>
        <w:tc>
          <w:tcPr>
            <w:tcW w:w="12003" w:type="dxa"/>
            <w:gridSpan w:val="6"/>
            <w:shd w:val="clear" w:color="auto" w:fill="D9D9D9" w:themeFill="background1" w:themeFillShade="D9"/>
          </w:tcPr>
          <w:p w14:paraId="668A36F2" w14:textId="77777777" w:rsidR="0031038D" w:rsidRPr="005516CD" w:rsidRDefault="0031038D" w:rsidP="0031038D">
            <w:r w:rsidRPr="005516CD">
              <w:rPr>
                <w:rFonts w:asciiTheme="majorHAnsi" w:hAnsiTheme="majorHAnsi" w:cstheme="majorHAnsi"/>
                <w:b/>
                <w:bCs/>
                <w:noProof/>
                <w:sz w:val="19"/>
                <w:szCs w:val="19"/>
              </w:rPr>
              <w:t xml:space="preserve">Value chains incentivizing production systems in the target localities that generate multiple environmental benefits, indicated by:  </w:t>
            </w:r>
          </w:p>
        </w:tc>
      </w:tr>
      <w:tr w:rsidR="0031038D" w:rsidRPr="005516CD" w14:paraId="42F251E9" w14:textId="77777777" w:rsidTr="00DE2654">
        <w:tc>
          <w:tcPr>
            <w:tcW w:w="1947" w:type="dxa"/>
            <w:vMerge/>
          </w:tcPr>
          <w:p w14:paraId="2112BA5A" w14:textId="77777777" w:rsidR="0031038D" w:rsidRPr="005516CD" w:rsidRDefault="0031038D" w:rsidP="0031038D">
            <w:pPr>
              <w:widowControl w:val="0"/>
              <w:rPr>
                <w:rFonts w:asciiTheme="majorHAnsi" w:hAnsiTheme="majorHAnsi" w:cstheme="majorHAnsi"/>
                <w:b/>
                <w:bCs/>
                <w:noProof/>
                <w:sz w:val="19"/>
                <w:szCs w:val="19"/>
              </w:rPr>
            </w:pPr>
          </w:p>
        </w:tc>
        <w:tc>
          <w:tcPr>
            <w:tcW w:w="5043" w:type="dxa"/>
          </w:tcPr>
          <w:p w14:paraId="6683C5C4" w14:textId="77777777" w:rsidR="0031038D" w:rsidRPr="005516CD" w:rsidRDefault="0031038D" w:rsidP="006B27F4">
            <w:pPr>
              <w:pStyle w:val="ListParagraph"/>
              <w:numPr>
                <w:ilvl w:val="0"/>
                <w:numId w:val="102"/>
              </w:numPr>
              <w:pBdr>
                <w:top w:val="none" w:sz="0" w:space="0" w:color="auto"/>
                <w:left w:val="none" w:sz="0" w:space="0" w:color="auto"/>
                <w:bottom w:val="none" w:sz="0" w:space="0" w:color="auto"/>
                <w:right w:val="none" w:sz="0" w:space="0" w:color="auto"/>
                <w:between w:val="none" w:sz="0" w:space="0" w:color="auto"/>
                <w:bar w:val="none" w:sz="0" w:color="auto"/>
              </w:pBdr>
              <w:tabs>
                <w:tab w:val="left" w:pos="311"/>
              </w:tabs>
              <w:ind w:left="0" w:firstLine="0"/>
              <w:rPr>
                <w:rFonts w:asciiTheme="majorHAnsi" w:hAnsiTheme="majorHAnsi" w:cstheme="majorHAnsi"/>
                <w:bCs/>
                <w:noProof/>
                <w:color w:val="auto"/>
                <w:sz w:val="19"/>
                <w:szCs w:val="19"/>
              </w:rPr>
            </w:pPr>
            <w:r w:rsidRPr="005516CD">
              <w:rPr>
                <w:rFonts w:asciiTheme="majorHAnsi" w:hAnsiTheme="majorHAnsi" w:cstheme="majorHAnsi"/>
                <w:bCs/>
                <w:noProof/>
                <w:color w:val="auto"/>
                <w:sz w:val="19"/>
                <w:szCs w:val="19"/>
              </w:rPr>
              <w:t xml:space="preserve">Number of value chains, based on products of sustainable production systems, functioning consistently and generating equitable benefits for producers (producers receive at least 80% of the final sale price in the case of crops and 70% in the case of value-added products) </w:t>
            </w:r>
          </w:p>
        </w:tc>
        <w:tc>
          <w:tcPr>
            <w:tcW w:w="879" w:type="dxa"/>
          </w:tcPr>
          <w:p w14:paraId="6846DD72" w14:textId="77777777" w:rsidR="0031038D" w:rsidRPr="005516CD" w:rsidRDefault="0031038D" w:rsidP="0031038D">
            <w:pPr>
              <w:jc w:val="right"/>
            </w:pPr>
            <w:r w:rsidRPr="005516CD">
              <w:rPr>
                <w:rFonts w:asciiTheme="majorHAnsi" w:hAnsiTheme="majorHAnsi" w:cstheme="majorHAnsi"/>
                <w:bCs/>
                <w:noProof/>
                <w:sz w:val="19"/>
                <w:szCs w:val="19"/>
              </w:rPr>
              <w:t>0</w:t>
            </w:r>
          </w:p>
        </w:tc>
        <w:tc>
          <w:tcPr>
            <w:tcW w:w="1340" w:type="dxa"/>
          </w:tcPr>
          <w:p w14:paraId="01AA582D" w14:textId="77777777" w:rsidR="0031038D" w:rsidRPr="008244FA" w:rsidRDefault="0031038D" w:rsidP="0031038D">
            <w:pPr>
              <w:spacing w:after="60"/>
              <w:rPr>
                <w:rFonts w:asciiTheme="majorHAnsi" w:hAnsiTheme="majorHAnsi" w:cstheme="majorHAnsi"/>
                <w:sz w:val="20"/>
              </w:rPr>
            </w:pPr>
            <w:r w:rsidRPr="008244FA">
              <w:rPr>
                <w:rFonts w:asciiTheme="majorHAnsi" w:hAnsiTheme="majorHAnsi" w:cstheme="majorHAnsi"/>
                <w:sz w:val="20"/>
              </w:rPr>
              <w:t>3 value chains</w:t>
            </w:r>
          </w:p>
        </w:tc>
        <w:tc>
          <w:tcPr>
            <w:tcW w:w="1559" w:type="dxa"/>
          </w:tcPr>
          <w:p w14:paraId="7F057030" w14:textId="77777777" w:rsidR="0031038D" w:rsidRPr="008244FA" w:rsidRDefault="0031038D" w:rsidP="0031038D">
            <w:pPr>
              <w:spacing w:after="60"/>
              <w:rPr>
                <w:rFonts w:asciiTheme="majorHAnsi" w:hAnsiTheme="majorHAnsi" w:cstheme="majorHAnsi"/>
                <w:sz w:val="20"/>
              </w:rPr>
            </w:pPr>
            <w:r w:rsidRPr="008244FA">
              <w:rPr>
                <w:rFonts w:asciiTheme="majorHAnsi" w:hAnsiTheme="majorHAnsi" w:cstheme="majorHAnsi"/>
                <w:sz w:val="20"/>
              </w:rPr>
              <w:t>5 value chains</w:t>
            </w:r>
          </w:p>
        </w:tc>
        <w:tc>
          <w:tcPr>
            <w:tcW w:w="1560" w:type="dxa"/>
          </w:tcPr>
          <w:p w14:paraId="0EADEA56" w14:textId="77777777" w:rsidR="0031038D" w:rsidRPr="005516CD" w:rsidRDefault="0031038D"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Focus groups, interviews with value chain actors</w:t>
            </w:r>
          </w:p>
        </w:tc>
        <w:tc>
          <w:tcPr>
            <w:tcW w:w="1622" w:type="dxa"/>
          </w:tcPr>
          <w:p w14:paraId="41039EDD" w14:textId="77777777" w:rsidR="0031038D" w:rsidRPr="005516CD" w:rsidRDefault="0031038D" w:rsidP="00DE2654">
            <w:pPr>
              <w:ind w:left="-106"/>
            </w:pPr>
            <w:r w:rsidRPr="005516CD">
              <w:rPr>
                <w:rFonts w:asciiTheme="majorHAnsi" w:hAnsiTheme="majorHAnsi" w:cstheme="majorHAnsi"/>
                <w:bCs/>
                <w:noProof/>
                <w:sz w:val="19"/>
                <w:szCs w:val="19"/>
              </w:rPr>
              <w:t>No major negative social or political events</w:t>
            </w:r>
          </w:p>
        </w:tc>
      </w:tr>
      <w:tr w:rsidR="0031038D" w:rsidRPr="005516CD" w14:paraId="67A8E5C0" w14:textId="77777777" w:rsidTr="00C066AB">
        <w:tc>
          <w:tcPr>
            <w:tcW w:w="13950" w:type="dxa"/>
            <w:gridSpan w:val="7"/>
          </w:tcPr>
          <w:p w14:paraId="653D3860" w14:textId="77777777" w:rsidR="0031038D" w:rsidRPr="005516CD" w:rsidRDefault="0031038D" w:rsidP="006B27F4">
            <w:pPr>
              <w:pStyle w:val="ListParagraph"/>
              <w:keepLines/>
              <w:widowControl w:val="0"/>
              <w:numPr>
                <w:ilvl w:val="1"/>
                <w:numId w:val="86"/>
              </w:numPr>
              <w:ind w:left="306" w:hanging="306"/>
              <w:rPr>
                <w:rFonts w:asciiTheme="majorHAnsi" w:hAnsiTheme="majorHAnsi" w:cstheme="majorHAnsi"/>
                <w:bCs/>
                <w:noProof/>
                <w:sz w:val="19"/>
                <w:szCs w:val="19"/>
              </w:rPr>
            </w:pPr>
            <w:r w:rsidRPr="005516CD">
              <w:rPr>
                <w:rFonts w:asciiTheme="majorHAnsi" w:hAnsiTheme="majorHAnsi" w:cstheme="majorHAnsi"/>
                <w:bCs/>
                <w:noProof/>
                <w:sz w:val="19"/>
                <w:szCs w:val="19"/>
              </w:rPr>
              <w:t>Decision making tools developed and operationalised to optimize the configuration of landscape elements in relation to spatial aspects of connectivity, biological importance, production potential, vulnerability and flows of ecosystem services including a robust biodiversity monitoring protocol and implementation structure</w:t>
            </w:r>
          </w:p>
          <w:p w14:paraId="78A8A7D1" w14:textId="77777777" w:rsidR="0031038D" w:rsidRPr="005516CD" w:rsidRDefault="0031038D" w:rsidP="006B27F4">
            <w:pPr>
              <w:pStyle w:val="ListParagraph"/>
              <w:keepLines/>
              <w:widowControl w:val="0"/>
              <w:numPr>
                <w:ilvl w:val="1"/>
                <w:numId w:val="86"/>
              </w:numPr>
              <w:ind w:left="306" w:hanging="306"/>
              <w:rPr>
                <w:rFonts w:asciiTheme="majorHAnsi" w:hAnsiTheme="majorHAnsi" w:cstheme="majorHAnsi"/>
                <w:bCs/>
                <w:noProof/>
                <w:sz w:val="19"/>
                <w:szCs w:val="19"/>
                <w:lang w:val="en-GB"/>
              </w:rPr>
            </w:pPr>
            <w:r w:rsidRPr="005516CD">
              <w:rPr>
                <w:rFonts w:asciiTheme="majorHAnsi" w:hAnsiTheme="majorHAnsi" w:cstheme="majorHAnsi"/>
                <w:bCs/>
                <w:noProof/>
                <w:sz w:val="19"/>
                <w:szCs w:val="19"/>
              </w:rPr>
              <w:t>Socially</w:t>
            </w:r>
            <w:r w:rsidRPr="005516CD">
              <w:rPr>
                <w:rFonts w:asciiTheme="majorHAnsi" w:hAnsiTheme="majorHAnsi" w:cstheme="majorHAnsi"/>
                <w:bCs/>
                <w:noProof/>
                <w:sz w:val="19"/>
                <w:szCs w:val="19"/>
                <w:lang w:val="en-GB"/>
              </w:rPr>
              <w:t>- and institutionally sustainable mechanisms for governance established and operationalised</w:t>
            </w:r>
            <w:r w:rsidRPr="005516CD">
              <w:rPr>
                <w:rFonts w:asciiTheme="majorHAnsi" w:hAnsiTheme="majorHAnsi" w:cstheme="majorHAnsi"/>
                <w:bCs/>
                <w:noProof/>
                <w:sz w:val="19"/>
                <w:szCs w:val="19"/>
                <w:u w:val="single"/>
                <w:lang w:val="en-GB"/>
              </w:rPr>
              <w:t xml:space="preserve"> </w:t>
            </w:r>
            <w:r w:rsidRPr="005516CD">
              <w:rPr>
                <w:rFonts w:asciiTheme="majorHAnsi" w:hAnsiTheme="majorHAnsi" w:cstheme="majorHAnsi"/>
                <w:bCs/>
                <w:noProof/>
                <w:sz w:val="19"/>
                <w:szCs w:val="19"/>
                <w:lang w:val="en-GB"/>
              </w:rPr>
              <w:t>in support of tree-rich production systems</w:t>
            </w:r>
          </w:p>
          <w:p w14:paraId="793B012C" w14:textId="77777777" w:rsidR="0031038D" w:rsidRPr="005516CD" w:rsidRDefault="0031038D" w:rsidP="006B27F4">
            <w:pPr>
              <w:pStyle w:val="ListParagraph"/>
              <w:keepLines/>
              <w:widowControl w:val="0"/>
              <w:numPr>
                <w:ilvl w:val="1"/>
                <w:numId w:val="86"/>
              </w:numPr>
              <w:pBdr>
                <w:top w:val="none" w:sz="0" w:space="0" w:color="auto"/>
                <w:left w:val="none" w:sz="0" w:space="0" w:color="auto"/>
                <w:bottom w:val="none" w:sz="0" w:space="0" w:color="auto"/>
                <w:right w:val="none" w:sz="0" w:space="0" w:color="auto"/>
                <w:between w:val="none" w:sz="0" w:space="0" w:color="auto"/>
                <w:bar w:val="none" w:sz="0" w:color="auto"/>
              </w:pBdr>
              <w:ind w:left="306" w:hanging="306"/>
            </w:pPr>
            <w:r w:rsidRPr="005516CD">
              <w:rPr>
                <w:rFonts w:asciiTheme="majorHAnsi" w:hAnsiTheme="majorHAnsi" w:cstheme="majorHAnsi"/>
                <w:bCs/>
                <w:noProof/>
                <w:sz w:val="19"/>
                <w:szCs w:val="19"/>
              </w:rPr>
              <w:t>Market</w:t>
            </w:r>
            <w:r w:rsidRPr="005516CD">
              <w:rPr>
                <w:rFonts w:asciiTheme="majorHAnsi" w:hAnsiTheme="majorHAnsi" w:cstheme="majorHAnsi"/>
                <w:bCs/>
                <w:noProof/>
                <w:sz w:val="19"/>
                <w:szCs w:val="19"/>
                <w:lang w:val="en-GB"/>
              </w:rPr>
              <w:t>-based instruments established for safeguarding biodiversity in production landscapes</w:t>
            </w:r>
          </w:p>
        </w:tc>
      </w:tr>
      <w:tr w:rsidR="0031038D" w:rsidRPr="005516CD" w14:paraId="797565A8" w14:textId="77777777" w:rsidTr="0031038D">
        <w:tc>
          <w:tcPr>
            <w:tcW w:w="1947" w:type="dxa"/>
            <w:vMerge w:val="restart"/>
          </w:tcPr>
          <w:p w14:paraId="5582DED3" w14:textId="77777777" w:rsidR="0031038D" w:rsidRPr="005516CD" w:rsidRDefault="0031038D" w:rsidP="0031038D">
            <w:pPr>
              <w:widowControl w:val="0"/>
              <w:rPr>
                <w:rFonts w:asciiTheme="majorHAnsi" w:hAnsiTheme="majorHAnsi" w:cstheme="majorHAnsi"/>
                <w:b/>
                <w:bCs/>
                <w:noProof/>
                <w:sz w:val="19"/>
                <w:szCs w:val="19"/>
              </w:rPr>
            </w:pPr>
            <w:r w:rsidRPr="005516CD">
              <w:rPr>
                <w:rFonts w:asciiTheme="majorHAnsi" w:hAnsiTheme="majorHAnsi" w:cstheme="majorHAnsi"/>
                <w:b/>
                <w:bCs/>
                <w:noProof/>
                <w:sz w:val="19"/>
                <w:szCs w:val="19"/>
              </w:rPr>
              <w:t xml:space="preserve">Component 2: </w:t>
            </w:r>
            <w:r w:rsidRPr="005516CD">
              <w:rPr>
                <w:rFonts w:asciiTheme="majorHAnsi" w:hAnsiTheme="majorHAnsi" w:cstheme="majorHAnsi"/>
                <w:bCs/>
                <w:noProof/>
                <w:sz w:val="19"/>
                <w:szCs w:val="19"/>
              </w:rPr>
              <w:t>Conservation compatible tree-based production systems as part of sustainable landscape mosaics</w:t>
            </w:r>
          </w:p>
        </w:tc>
        <w:tc>
          <w:tcPr>
            <w:tcW w:w="12003" w:type="dxa"/>
            <w:gridSpan w:val="6"/>
            <w:shd w:val="clear" w:color="auto" w:fill="D9D9D9" w:themeFill="background1" w:themeFillShade="D9"/>
          </w:tcPr>
          <w:p w14:paraId="18AB29F5" w14:textId="77777777" w:rsidR="0031038D" w:rsidRPr="005516CD" w:rsidRDefault="0031038D" w:rsidP="0031038D">
            <w:r w:rsidRPr="005516CD">
              <w:rPr>
                <w:rFonts w:asciiTheme="majorHAnsi" w:hAnsiTheme="majorHAnsi" w:cstheme="majorHAnsi"/>
                <w:b/>
                <w:bCs/>
                <w:noProof/>
                <w:sz w:val="19"/>
                <w:szCs w:val="19"/>
              </w:rPr>
              <w:t>Improved access to mechanisms for knowledge and capacity development and financial support for the sustainable management of tree-based production systems, generating multiple environmental benefits, indicated by:</w:t>
            </w:r>
          </w:p>
        </w:tc>
      </w:tr>
      <w:tr w:rsidR="0031038D" w:rsidRPr="005516CD" w14:paraId="2004C9AC" w14:textId="77777777" w:rsidTr="00DE2654">
        <w:tc>
          <w:tcPr>
            <w:tcW w:w="1947" w:type="dxa"/>
            <w:vMerge/>
          </w:tcPr>
          <w:p w14:paraId="27C9CD14" w14:textId="77777777" w:rsidR="0031038D" w:rsidRPr="005516CD" w:rsidRDefault="0031038D" w:rsidP="0031038D">
            <w:pPr>
              <w:widowControl w:val="0"/>
              <w:rPr>
                <w:rFonts w:asciiTheme="majorHAnsi" w:hAnsiTheme="majorHAnsi" w:cstheme="majorHAnsi"/>
                <w:b/>
                <w:bCs/>
                <w:noProof/>
                <w:sz w:val="19"/>
                <w:szCs w:val="19"/>
              </w:rPr>
            </w:pPr>
          </w:p>
        </w:tc>
        <w:tc>
          <w:tcPr>
            <w:tcW w:w="5043" w:type="dxa"/>
          </w:tcPr>
          <w:p w14:paraId="03CD333D" w14:textId="77777777" w:rsidR="0031038D" w:rsidRPr="005516CD" w:rsidRDefault="0031038D" w:rsidP="0031038D">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rPr>
                <w:rFonts w:asciiTheme="majorHAnsi" w:hAnsiTheme="majorHAnsi" w:cstheme="majorHAnsi"/>
                <w:bCs/>
                <w:noProof/>
                <w:color w:val="auto"/>
                <w:sz w:val="19"/>
                <w:szCs w:val="19"/>
              </w:rPr>
            </w:pPr>
            <w:r w:rsidRPr="005516CD">
              <w:rPr>
                <w:rFonts w:asciiTheme="majorHAnsi" w:hAnsiTheme="majorHAnsi" w:cstheme="majorHAnsi"/>
                <w:b/>
                <w:bCs/>
                <w:noProof/>
                <w:sz w:val="19"/>
                <w:szCs w:val="19"/>
              </w:rPr>
              <w:t>2.1</w:t>
            </w:r>
            <w:r w:rsidRPr="005516CD">
              <w:rPr>
                <w:rFonts w:asciiTheme="majorHAnsi" w:hAnsiTheme="majorHAnsi" w:cstheme="majorHAnsi"/>
                <w:bCs/>
                <w:noProof/>
                <w:sz w:val="19"/>
                <w:szCs w:val="19"/>
              </w:rPr>
              <w:t xml:space="preserve"> Number of farming families with improved access to reliable sources of technical support for the application of sustainable production systems</w:t>
            </w:r>
          </w:p>
        </w:tc>
        <w:tc>
          <w:tcPr>
            <w:tcW w:w="879" w:type="dxa"/>
          </w:tcPr>
          <w:p w14:paraId="72335CC3" w14:textId="77777777" w:rsidR="0031038D" w:rsidRPr="005516CD" w:rsidRDefault="0031038D" w:rsidP="0031038D">
            <w:pPr>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N/A</w:t>
            </w:r>
          </w:p>
        </w:tc>
        <w:tc>
          <w:tcPr>
            <w:tcW w:w="1340" w:type="dxa"/>
          </w:tcPr>
          <w:p w14:paraId="377A881F" w14:textId="77777777" w:rsidR="0031038D" w:rsidRPr="005516CD" w:rsidRDefault="0031038D" w:rsidP="0031038D">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3,750 families</w:t>
            </w:r>
            <w:r w:rsidR="00F43558" w:rsidRPr="005516CD">
              <w:rPr>
                <w:rFonts w:asciiTheme="majorHAnsi" w:hAnsiTheme="majorHAnsi" w:cstheme="majorHAnsi"/>
                <w:bCs/>
                <w:noProof/>
                <w:sz w:val="19"/>
                <w:szCs w:val="19"/>
              </w:rPr>
              <w:t xml:space="preserve"> (of which at least 20% female led)</w:t>
            </w:r>
          </w:p>
        </w:tc>
        <w:tc>
          <w:tcPr>
            <w:tcW w:w="1559" w:type="dxa"/>
          </w:tcPr>
          <w:p w14:paraId="72C4DAA9" w14:textId="77777777" w:rsidR="00F43558" w:rsidRPr="005516CD" w:rsidRDefault="0031038D" w:rsidP="0031038D">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7,500 families</w:t>
            </w:r>
            <w:r w:rsidRPr="005516CD">
              <w:rPr>
                <w:rStyle w:val="FootnoteReference"/>
                <w:rFonts w:asciiTheme="majorHAnsi" w:hAnsiTheme="majorHAnsi" w:cstheme="majorHAnsi"/>
                <w:bCs/>
                <w:noProof/>
                <w:sz w:val="19"/>
                <w:szCs w:val="19"/>
              </w:rPr>
              <w:footnoteReference w:id="70"/>
            </w:r>
            <w:r w:rsidR="00F43558" w:rsidRPr="005516CD">
              <w:rPr>
                <w:rFonts w:asciiTheme="majorHAnsi" w:hAnsiTheme="majorHAnsi" w:cstheme="majorHAnsi"/>
                <w:bCs/>
                <w:noProof/>
                <w:sz w:val="19"/>
                <w:szCs w:val="19"/>
              </w:rPr>
              <w:t xml:space="preserve"> </w:t>
            </w:r>
          </w:p>
          <w:p w14:paraId="05057797" w14:textId="77777777" w:rsidR="0031038D" w:rsidRPr="005516CD" w:rsidRDefault="00F43558" w:rsidP="0031038D">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(of which at least 20% female led)</w:t>
            </w:r>
          </w:p>
        </w:tc>
        <w:tc>
          <w:tcPr>
            <w:tcW w:w="1560" w:type="dxa"/>
          </w:tcPr>
          <w:p w14:paraId="3DC98870" w14:textId="77777777" w:rsidR="0031038D" w:rsidRPr="005516CD" w:rsidRDefault="0064076C" w:rsidP="00DE2654">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Farmer interviews, reviews of extension systems</w:t>
            </w:r>
          </w:p>
        </w:tc>
        <w:tc>
          <w:tcPr>
            <w:tcW w:w="1622" w:type="dxa"/>
          </w:tcPr>
          <w:p w14:paraId="77840D72" w14:textId="77777777" w:rsidR="0031038D" w:rsidRPr="005516CD" w:rsidRDefault="00757872" w:rsidP="00757872">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No major negative social or political events</w:t>
            </w:r>
          </w:p>
        </w:tc>
      </w:tr>
      <w:tr w:rsidR="00757872" w:rsidRPr="005516CD" w14:paraId="779C3B07" w14:textId="77777777" w:rsidTr="00DE2654">
        <w:tc>
          <w:tcPr>
            <w:tcW w:w="1947" w:type="dxa"/>
            <w:vMerge/>
          </w:tcPr>
          <w:p w14:paraId="72B99DAE" w14:textId="77777777" w:rsidR="00757872" w:rsidRPr="005516CD" w:rsidRDefault="00757872" w:rsidP="00757872">
            <w:pPr>
              <w:widowControl w:val="0"/>
              <w:rPr>
                <w:rFonts w:asciiTheme="majorHAnsi" w:hAnsiTheme="majorHAnsi" w:cstheme="majorHAnsi"/>
                <w:b/>
                <w:bCs/>
                <w:noProof/>
                <w:sz w:val="19"/>
                <w:szCs w:val="19"/>
              </w:rPr>
            </w:pPr>
          </w:p>
        </w:tc>
        <w:tc>
          <w:tcPr>
            <w:tcW w:w="5043" w:type="dxa"/>
          </w:tcPr>
          <w:p w14:paraId="55E30004" w14:textId="77777777" w:rsidR="00757872" w:rsidRPr="005516CD" w:rsidRDefault="00757872" w:rsidP="00757872">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rPr>
                <w:rFonts w:asciiTheme="majorHAnsi" w:hAnsiTheme="majorHAnsi" w:cstheme="majorHAnsi"/>
                <w:bCs/>
                <w:noProof/>
                <w:sz w:val="19"/>
                <w:szCs w:val="19"/>
              </w:rPr>
            </w:pPr>
            <w:r w:rsidRPr="005516CD">
              <w:rPr>
                <w:rFonts w:asciiTheme="majorHAnsi" w:hAnsiTheme="majorHAnsi" w:cstheme="majorHAnsi"/>
                <w:b/>
                <w:bCs/>
                <w:noProof/>
                <w:sz w:val="19"/>
                <w:szCs w:val="19"/>
              </w:rPr>
              <w:t>2.2</w:t>
            </w:r>
            <w:r w:rsidRPr="005516CD">
              <w:rPr>
                <w:rFonts w:asciiTheme="majorHAnsi" w:hAnsiTheme="majorHAnsi" w:cstheme="majorHAnsi"/>
                <w:bCs/>
                <w:noProof/>
                <w:sz w:val="19"/>
                <w:szCs w:val="19"/>
              </w:rPr>
              <w:t xml:space="preserve"> Number of farmers who have applied and maintained modifications to their farms as a result of knowledge </w:t>
            </w:r>
            <w:r w:rsidR="00C04E4A" w:rsidRPr="005516CD">
              <w:rPr>
                <w:rFonts w:asciiTheme="majorHAnsi" w:hAnsiTheme="majorHAnsi" w:cstheme="majorHAnsi"/>
                <w:bCs/>
                <w:noProof/>
                <w:sz w:val="19"/>
                <w:szCs w:val="19"/>
              </w:rPr>
              <w:t xml:space="preserve">and skills </w:t>
            </w:r>
            <w:r w:rsidRPr="005516CD">
              <w:rPr>
                <w:rFonts w:asciiTheme="majorHAnsi" w:hAnsiTheme="majorHAnsi" w:cstheme="majorHAnsi"/>
                <w:bCs/>
                <w:noProof/>
                <w:sz w:val="19"/>
                <w:szCs w:val="19"/>
              </w:rPr>
              <w:t xml:space="preserve">gained through participation in Farmer Field Schools </w:t>
            </w:r>
          </w:p>
        </w:tc>
        <w:tc>
          <w:tcPr>
            <w:tcW w:w="879" w:type="dxa"/>
          </w:tcPr>
          <w:p w14:paraId="00847133" w14:textId="77777777" w:rsidR="00757872" w:rsidRPr="005516CD" w:rsidRDefault="00757872" w:rsidP="00757872">
            <w:pPr>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N/A</w:t>
            </w:r>
          </w:p>
        </w:tc>
        <w:tc>
          <w:tcPr>
            <w:tcW w:w="1340" w:type="dxa"/>
          </w:tcPr>
          <w:p w14:paraId="73F75989" w14:textId="77777777" w:rsidR="00F43558" w:rsidRPr="005516CD" w:rsidRDefault="00757872" w:rsidP="00757872">
            <w:pPr>
              <w:rPr>
                <w:rFonts w:asciiTheme="majorHAnsi" w:hAnsiTheme="majorHAnsi" w:cstheme="majorHAnsi"/>
                <w:bCs/>
                <w:noProof/>
                <w:sz w:val="19"/>
                <w:szCs w:val="19"/>
              </w:rPr>
            </w:pPr>
            <w:r w:rsidRPr="005516CD">
              <w:rPr>
                <w:rFonts w:asciiTheme="majorHAnsi" w:hAnsiTheme="majorHAnsi" w:cstheme="majorHAnsi"/>
                <w:bCs/>
                <w:noProof/>
                <w:sz w:val="19"/>
                <w:szCs w:val="19"/>
              </w:rPr>
              <w:t>2,500 families</w:t>
            </w:r>
            <w:r w:rsidR="00F43558" w:rsidRPr="005516CD">
              <w:rPr>
                <w:rFonts w:asciiTheme="majorHAnsi" w:hAnsiTheme="majorHAnsi" w:cstheme="majorHAnsi"/>
                <w:bCs/>
                <w:noProof/>
                <w:sz w:val="19"/>
                <w:szCs w:val="19"/>
              </w:rPr>
              <w:t xml:space="preserve"> </w:t>
            </w:r>
          </w:p>
          <w:p w14:paraId="7332DCD2" w14:textId="77777777" w:rsidR="00757872" w:rsidRPr="005516CD" w:rsidRDefault="00F43558" w:rsidP="00757872">
            <w:pPr>
              <w:rPr>
                <w:rFonts w:asciiTheme="majorHAnsi" w:hAnsiTheme="majorHAnsi" w:cstheme="majorHAnsi"/>
                <w:bCs/>
                <w:noProof/>
                <w:sz w:val="19"/>
                <w:szCs w:val="19"/>
              </w:rPr>
            </w:pPr>
            <w:r w:rsidRPr="005516CD">
              <w:rPr>
                <w:rFonts w:asciiTheme="majorHAnsi" w:hAnsiTheme="majorHAnsi" w:cstheme="majorHAnsi"/>
                <w:bCs/>
                <w:noProof/>
                <w:sz w:val="19"/>
                <w:szCs w:val="19"/>
              </w:rPr>
              <w:t>(of which at least 20% female led)</w:t>
            </w:r>
          </w:p>
        </w:tc>
        <w:tc>
          <w:tcPr>
            <w:tcW w:w="1559" w:type="dxa"/>
          </w:tcPr>
          <w:p w14:paraId="014E5A01" w14:textId="77777777" w:rsidR="00757872" w:rsidRPr="005516CD" w:rsidRDefault="00757872" w:rsidP="00757872">
            <w:pPr>
              <w:spacing w:after="60"/>
              <w:rPr>
                <w:rFonts w:asciiTheme="majorHAnsi" w:hAnsiTheme="majorHAnsi" w:cstheme="majorHAnsi"/>
                <w:bCs/>
                <w:noProof/>
                <w:sz w:val="19"/>
                <w:szCs w:val="19"/>
              </w:rPr>
            </w:pPr>
            <w:r w:rsidRPr="005516CD">
              <w:rPr>
                <w:rFonts w:asciiTheme="majorHAnsi" w:hAnsiTheme="majorHAnsi" w:cstheme="majorHAnsi"/>
                <w:bCs/>
                <w:noProof/>
                <w:sz w:val="19"/>
                <w:szCs w:val="19"/>
              </w:rPr>
              <w:t>4,740 families</w:t>
            </w:r>
            <w:r w:rsidRPr="005516CD">
              <w:rPr>
                <w:rStyle w:val="FootnoteReference"/>
                <w:rFonts w:asciiTheme="majorHAnsi" w:hAnsiTheme="majorHAnsi" w:cstheme="majorHAnsi"/>
                <w:bCs/>
                <w:noProof/>
                <w:sz w:val="19"/>
                <w:szCs w:val="19"/>
              </w:rPr>
              <w:footnoteReference w:id="71"/>
            </w:r>
            <w:r w:rsidR="00F43558" w:rsidRPr="005516CD">
              <w:rPr>
                <w:rFonts w:asciiTheme="majorHAnsi" w:hAnsiTheme="majorHAnsi" w:cstheme="majorHAnsi"/>
                <w:bCs/>
                <w:noProof/>
                <w:sz w:val="19"/>
                <w:szCs w:val="19"/>
              </w:rPr>
              <w:t xml:space="preserve"> (of which at least 20% female led)</w:t>
            </w:r>
          </w:p>
        </w:tc>
        <w:tc>
          <w:tcPr>
            <w:tcW w:w="1560" w:type="dxa"/>
          </w:tcPr>
          <w:p w14:paraId="35DF99A0" w14:textId="77777777" w:rsidR="00757872" w:rsidRPr="005516CD" w:rsidRDefault="00757872" w:rsidP="00757872">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Field visit, farmer interviews</w:t>
            </w:r>
          </w:p>
        </w:tc>
        <w:tc>
          <w:tcPr>
            <w:tcW w:w="1622" w:type="dxa"/>
          </w:tcPr>
          <w:p w14:paraId="5E1570FB" w14:textId="77777777" w:rsidR="00757872" w:rsidRPr="005516CD" w:rsidRDefault="00757872" w:rsidP="00757872">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No major negative social or political events</w:t>
            </w:r>
          </w:p>
        </w:tc>
      </w:tr>
      <w:tr w:rsidR="00757872" w:rsidRPr="005516CD" w14:paraId="173ACB60" w14:textId="77777777" w:rsidTr="00DE2654">
        <w:tc>
          <w:tcPr>
            <w:tcW w:w="1947" w:type="dxa"/>
            <w:vMerge/>
          </w:tcPr>
          <w:p w14:paraId="3F916052" w14:textId="77777777" w:rsidR="00757872" w:rsidRPr="005516CD" w:rsidRDefault="00757872" w:rsidP="00757872">
            <w:pPr>
              <w:widowControl w:val="0"/>
              <w:rPr>
                <w:rFonts w:asciiTheme="majorHAnsi" w:hAnsiTheme="majorHAnsi" w:cstheme="majorHAnsi"/>
                <w:b/>
                <w:bCs/>
                <w:noProof/>
                <w:sz w:val="19"/>
                <w:szCs w:val="19"/>
              </w:rPr>
            </w:pPr>
          </w:p>
        </w:tc>
        <w:tc>
          <w:tcPr>
            <w:tcW w:w="5043" w:type="dxa"/>
          </w:tcPr>
          <w:p w14:paraId="47290F77" w14:textId="77777777" w:rsidR="00757872" w:rsidRPr="005516CD" w:rsidRDefault="00757872" w:rsidP="00757872">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rPr>
                <w:rFonts w:asciiTheme="majorHAnsi" w:hAnsiTheme="majorHAnsi" w:cstheme="majorHAnsi"/>
                <w:bCs/>
                <w:noProof/>
                <w:sz w:val="19"/>
                <w:szCs w:val="19"/>
              </w:rPr>
            </w:pPr>
            <w:r w:rsidRPr="005516CD">
              <w:rPr>
                <w:rFonts w:asciiTheme="majorHAnsi" w:hAnsiTheme="majorHAnsi" w:cstheme="majorHAnsi"/>
                <w:b/>
                <w:bCs/>
                <w:noProof/>
                <w:sz w:val="19"/>
                <w:szCs w:val="19"/>
              </w:rPr>
              <w:t>2.3</w:t>
            </w:r>
            <w:r w:rsidRPr="005516CD">
              <w:rPr>
                <w:rFonts w:asciiTheme="majorHAnsi" w:hAnsiTheme="majorHAnsi" w:cstheme="majorHAnsi"/>
                <w:bCs/>
                <w:noProof/>
                <w:sz w:val="19"/>
                <w:szCs w:val="19"/>
              </w:rPr>
              <w:t xml:space="preserve"> Number of </w:t>
            </w:r>
            <w:r w:rsidR="00D0550E" w:rsidRPr="005516CD">
              <w:rPr>
                <w:rFonts w:asciiTheme="majorHAnsi" w:hAnsiTheme="majorHAnsi" w:cstheme="majorHAnsi"/>
                <w:bCs/>
                <w:noProof/>
                <w:sz w:val="19"/>
                <w:szCs w:val="19"/>
              </w:rPr>
              <w:t>families with businesses</w:t>
            </w:r>
            <w:r w:rsidRPr="005516CD">
              <w:rPr>
                <w:rFonts w:asciiTheme="majorHAnsi" w:hAnsiTheme="majorHAnsi" w:cstheme="majorHAnsi"/>
                <w:bCs/>
                <w:noProof/>
                <w:sz w:val="19"/>
                <w:szCs w:val="19"/>
              </w:rPr>
              <w:t xml:space="preserve"> based on sustainable production systems</w:t>
            </w:r>
            <w:r w:rsidR="00D0550E" w:rsidRPr="005516CD">
              <w:rPr>
                <w:rFonts w:asciiTheme="majorHAnsi" w:hAnsiTheme="majorHAnsi" w:cstheme="majorHAnsi"/>
                <w:bCs/>
                <w:noProof/>
                <w:sz w:val="19"/>
                <w:szCs w:val="19"/>
              </w:rPr>
              <w:t>,</w:t>
            </w:r>
            <w:r w:rsidRPr="005516CD">
              <w:rPr>
                <w:rFonts w:asciiTheme="majorHAnsi" w:hAnsiTheme="majorHAnsi" w:cstheme="majorHAnsi"/>
                <w:bCs/>
                <w:noProof/>
                <w:sz w:val="19"/>
                <w:szCs w:val="19"/>
              </w:rPr>
              <w:t xml:space="preserve"> with improved access to reliable sources of financial support </w:t>
            </w:r>
          </w:p>
        </w:tc>
        <w:tc>
          <w:tcPr>
            <w:tcW w:w="879" w:type="dxa"/>
          </w:tcPr>
          <w:p w14:paraId="0D4334BB" w14:textId="77777777" w:rsidR="00757872" w:rsidRPr="005516CD" w:rsidRDefault="00757872" w:rsidP="00757872">
            <w:pPr>
              <w:jc w:val="right"/>
              <w:rPr>
                <w:rFonts w:asciiTheme="majorHAnsi" w:hAnsiTheme="majorHAnsi" w:cstheme="majorHAnsi"/>
                <w:bCs/>
                <w:noProof/>
                <w:sz w:val="19"/>
                <w:szCs w:val="19"/>
              </w:rPr>
            </w:pPr>
            <w:r w:rsidRPr="005516CD">
              <w:rPr>
                <w:rFonts w:asciiTheme="majorHAnsi" w:hAnsiTheme="majorHAnsi" w:cstheme="majorHAnsi"/>
                <w:bCs/>
                <w:noProof/>
                <w:sz w:val="19"/>
                <w:szCs w:val="19"/>
              </w:rPr>
              <w:t>N/A</w:t>
            </w:r>
          </w:p>
        </w:tc>
        <w:tc>
          <w:tcPr>
            <w:tcW w:w="1340" w:type="dxa"/>
          </w:tcPr>
          <w:p w14:paraId="664A9E02" w14:textId="77777777" w:rsidR="00757872" w:rsidRPr="005516CD" w:rsidRDefault="00757872" w:rsidP="00757872">
            <w:pPr>
              <w:rPr>
                <w:rFonts w:asciiTheme="majorHAnsi" w:hAnsiTheme="majorHAnsi" w:cstheme="majorHAnsi"/>
                <w:bCs/>
                <w:noProof/>
                <w:sz w:val="19"/>
                <w:szCs w:val="19"/>
              </w:rPr>
            </w:pPr>
            <w:r w:rsidRPr="005516CD">
              <w:rPr>
                <w:rFonts w:asciiTheme="majorHAnsi" w:hAnsiTheme="majorHAnsi" w:cstheme="majorHAnsi"/>
                <w:bCs/>
                <w:noProof/>
                <w:sz w:val="19"/>
                <w:szCs w:val="19"/>
              </w:rPr>
              <w:t>30 families</w:t>
            </w:r>
            <w:r w:rsidR="009137BC" w:rsidRPr="005516CD">
              <w:rPr>
                <w:rFonts w:asciiTheme="majorHAnsi" w:hAnsiTheme="majorHAnsi" w:cstheme="majorHAnsi"/>
                <w:bCs/>
                <w:noProof/>
                <w:sz w:val="19"/>
                <w:szCs w:val="19"/>
              </w:rPr>
              <w:t xml:space="preserve"> (of which at least 20% female led)</w:t>
            </w:r>
          </w:p>
        </w:tc>
        <w:tc>
          <w:tcPr>
            <w:tcW w:w="1559" w:type="dxa"/>
          </w:tcPr>
          <w:p w14:paraId="579C95C8" w14:textId="77777777" w:rsidR="00757872" w:rsidRPr="005516CD" w:rsidRDefault="00757872" w:rsidP="00757872">
            <w:pPr>
              <w:rPr>
                <w:rFonts w:asciiTheme="majorHAnsi" w:hAnsiTheme="majorHAnsi" w:cstheme="majorHAnsi"/>
                <w:bCs/>
                <w:noProof/>
                <w:sz w:val="19"/>
                <w:szCs w:val="19"/>
              </w:rPr>
            </w:pPr>
            <w:r w:rsidRPr="005516CD">
              <w:rPr>
                <w:rFonts w:asciiTheme="majorHAnsi" w:hAnsiTheme="majorHAnsi" w:cstheme="majorHAnsi"/>
                <w:bCs/>
                <w:noProof/>
                <w:sz w:val="19"/>
                <w:szCs w:val="19"/>
              </w:rPr>
              <w:t>75 families (HTG 250,000 = USD 3,193 each)</w:t>
            </w:r>
            <w:r w:rsidR="009137BC" w:rsidRPr="005516CD">
              <w:rPr>
                <w:rFonts w:asciiTheme="majorHAnsi" w:hAnsiTheme="majorHAnsi" w:cstheme="majorHAnsi"/>
                <w:bCs/>
                <w:noProof/>
                <w:sz w:val="19"/>
                <w:szCs w:val="19"/>
              </w:rPr>
              <w:t xml:space="preserve"> (of which at least 20% female led)</w:t>
            </w:r>
          </w:p>
        </w:tc>
        <w:tc>
          <w:tcPr>
            <w:tcW w:w="1560" w:type="dxa"/>
          </w:tcPr>
          <w:p w14:paraId="2D2AF871" w14:textId="77777777" w:rsidR="00757872" w:rsidRPr="005516CD" w:rsidRDefault="003B4E38" w:rsidP="00757872">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Farmer interviews, review of financial institutions’ credit packages</w:t>
            </w:r>
          </w:p>
        </w:tc>
        <w:tc>
          <w:tcPr>
            <w:tcW w:w="1622" w:type="dxa"/>
          </w:tcPr>
          <w:p w14:paraId="6489D845" w14:textId="77777777" w:rsidR="00757872" w:rsidRPr="005516CD" w:rsidRDefault="00757872" w:rsidP="00757872">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No major negative social or political events</w:t>
            </w:r>
          </w:p>
        </w:tc>
      </w:tr>
      <w:tr w:rsidR="00757872" w:rsidRPr="005516CD" w14:paraId="6B3089D7" w14:textId="77777777" w:rsidTr="00C066AB">
        <w:tc>
          <w:tcPr>
            <w:tcW w:w="13950" w:type="dxa"/>
            <w:gridSpan w:val="7"/>
          </w:tcPr>
          <w:p w14:paraId="4598E277" w14:textId="77777777" w:rsidR="00757872" w:rsidRPr="005516CD" w:rsidRDefault="00757872" w:rsidP="00757872">
            <w:pPr>
              <w:keepNext/>
              <w:keepLines/>
              <w:widowControl w:val="0"/>
              <w:rPr>
                <w:rFonts w:asciiTheme="majorHAnsi" w:hAnsiTheme="majorHAnsi" w:cstheme="majorHAnsi"/>
                <w:bCs/>
                <w:noProof/>
                <w:sz w:val="19"/>
                <w:szCs w:val="19"/>
              </w:rPr>
            </w:pPr>
            <w:r w:rsidRPr="005516CD">
              <w:rPr>
                <w:rFonts w:asciiTheme="majorHAnsi" w:hAnsiTheme="majorHAnsi" w:cstheme="majorHAnsi"/>
                <w:bCs/>
                <w:noProof/>
                <w:sz w:val="19"/>
                <w:szCs w:val="19"/>
              </w:rPr>
              <w:t xml:space="preserve">2.1 Improved service delivery systems for technical assistance </w:t>
            </w:r>
          </w:p>
          <w:p w14:paraId="1534B8BD" w14:textId="77777777" w:rsidR="00757872" w:rsidRPr="005516CD" w:rsidRDefault="00757872" w:rsidP="00757872">
            <w:pPr>
              <w:keepLines/>
              <w:widowControl w:val="0"/>
              <w:rPr>
                <w:rFonts w:asciiTheme="majorHAnsi" w:hAnsiTheme="majorHAnsi" w:cstheme="majorHAnsi"/>
                <w:bCs/>
                <w:noProof/>
                <w:sz w:val="19"/>
                <w:szCs w:val="19"/>
              </w:rPr>
            </w:pPr>
            <w:r w:rsidRPr="005516CD">
              <w:rPr>
                <w:rFonts w:asciiTheme="majorHAnsi" w:hAnsiTheme="majorHAnsi" w:cstheme="majorHAnsi"/>
                <w:bCs/>
                <w:noProof/>
                <w:sz w:val="19"/>
                <w:szCs w:val="19"/>
              </w:rPr>
              <w:t>2.2 Improved financing mechanisms for tree-based production systems</w:t>
            </w:r>
          </w:p>
          <w:p w14:paraId="229FE568" w14:textId="77777777" w:rsidR="00757872" w:rsidRPr="005516CD" w:rsidRDefault="00757872" w:rsidP="00757872">
            <w:pPr>
              <w:keepLines/>
              <w:widowControl w:val="0"/>
            </w:pPr>
            <w:r w:rsidRPr="005516CD">
              <w:rPr>
                <w:rFonts w:asciiTheme="majorHAnsi" w:hAnsiTheme="majorHAnsi" w:cstheme="majorHAnsi"/>
                <w:bCs/>
                <w:noProof/>
                <w:sz w:val="19"/>
                <w:szCs w:val="19"/>
              </w:rPr>
              <w:t xml:space="preserve">2.3 Capacities for generating revenue from tree-based systems on farm </w:t>
            </w:r>
          </w:p>
        </w:tc>
      </w:tr>
      <w:tr w:rsidR="00757872" w:rsidRPr="005516CD" w14:paraId="581018CE" w14:textId="77777777" w:rsidTr="0031038D">
        <w:tc>
          <w:tcPr>
            <w:tcW w:w="1947" w:type="dxa"/>
            <w:vMerge w:val="restart"/>
          </w:tcPr>
          <w:p w14:paraId="4024ECC0" w14:textId="77777777" w:rsidR="00757872" w:rsidRPr="005516CD" w:rsidRDefault="00757872" w:rsidP="00757872">
            <w:pPr>
              <w:widowControl w:val="0"/>
              <w:rPr>
                <w:rFonts w:asciiTheme="majorHAnsi" w:hAnsiTheme="majorHAnsi" w:cstheme="majorHAnsi"/>
                <w:b/>
                <w:bCs/>
                <w:noProof/>
                <w:sz w:val="19"/>
                <w:szCs w:val="19"/>
              </w:rPr>
            </w:pPr>
            <w:r w:rsidRPr="005516CD">
              <w:rPr>
                <w:rFonts w:asciiTheme="majorHAnsi" w:hAnsiTheme="majorHAnsi" w:cstheme="majorHAnsi"/>
                <w:b/>
                <w:bCs/>
                <w:noProof/>
                <w:sz w:val="19"/>
                <w:szCs w:val="19"/>
              </w:rPr>
              <w:t xml:space="preserve">Component 3: </w:t>
            </w:r>
            <w:r w:rsidRPr="005516CD">
              <w:rPr>
                <w:rFonts w:asciiTheme="majorHAnsi" w:hAnsiTheme="majorHAnsi" w:cstheme="majorHAnsi"/>
                <w:bCs/>
                <w:noProof/>
                <w:sz w:val="19"/>
                <w:szCs w:val="19"/>
              </w:rPr>
              <w:t>Knowledge management and learning</w:t>
            </w:r>
          </w:p>
        </w:tc>
        <w:tc>
          <w:tcPr>
            <w:tcW w:w="12003" w:type="dxa"/>
            <w:gridSpan w:val="6"/>
            <w:shd w:val="clear" w:color="auto" w:fill="D9D9D9" w:themeFill="background1" w:themeFillShade="D9"/>
          </w:tcPr>
          <w:p w14:paraId="639B4E1A" w14:textId="77777777" w:rsidR="00757872" w:rsidRPr="005516CD" w:rsidRDefault="00757872" w:rsidP="00757872">
            <w:r w:rsidRPr="005516CD">
              <w:rPr>
                <w:rFonts w:asciiTheme="majorHAnsi" w:hAnsiTheme="majorHAnsi" w:cstheme="majorHAnsi"/>
                <w:b/>
                <w:bCs/>
                <w:noProof/>
                <w:sz w:val="19"/>
                <w:szCs w:val="19"/>
              </w:rPr>
              <w:t xml:space="preserve">Knowledge management supports adaptive project management and upscaling, </w:t>
            </w:r>
            <w:r w:rsidRPr="005516CD">
              <w:rPr>
                <w:rFonts w:asciiTheme="majorHAnsi" w:hAnsiTheme="majorHAnsi" w:cstheme="majorHAnsi"/>
                <w:bCs/>
                <w:noProof/>
                <w:sz w:val="19"/>
                <w:szCs w:val="19"/>
              </w:rPr>
              <w:t>indicated by</w:t>
            </w:r>
            <w:r w:rsidRPr="005516CD">
              <w:rPr>
                <w:rFonts w:asciiTheme="majorHAnsi" w:hAnsiTheme="majorHAnsi" w:cstheme="majorHAnsi"/>
                <w:b/>
                <w:bCs/>
                <w:noProof/>
                <w:sz w:val="19"/>
                <w:szCs w:val="19"/>
              </w:rPr>
              <w:t>:</w:t>
            </w:r>
          </w:p>
        </w:tc>
      </w:tr>
      <w:tr w:rsidR="00757872" w:rsidRPr="005516CD" w14:paraId="188CEFD6" w14:textId="77777777" w:rsidTr="00DE2654">
        <w:tc>
          <w:tcPr>
            <w:tcW w:w="1947" w:type="dxa"/>
            <w:vMerge/>
          </w:tcPr>
          <w:p w14:paraId="7C947D1C" w14:textId="77777777" w:rsidR="00757872" w:rsidRPr="005516CD" w:rsidRDefault="00757872" w:rsidP="00757872">
            <w:pPr>
              <w:widowControl w:val="0"/>
              <w:rPr>
                <w:rFonts w:asciiTheme="majorHAnsi" w:hAnsiTheme="majorHAnsi" w:cstheme="majorHAnsi"/>
                <w:b/>
                <w:bCs/>
                <w:noProof/>
                <w:sz w:val="19"/>
                <w:szCs w:val="19"/>
              </w:rPr>
            </w:pPr>
          </w:p>
        </w:tc>
        <w:tc>
          <w:tcPr>
            <w:tcW w:w="5043" w:type="dxa"/>
          </w:tcPr>
          <w:p w14:paraId="6790990D" w14:textId="77777777" w:rsidR="00757872" w:rsidRPr="005516CD" w:rsidRDefault="00757872" w:rsidP="00757872">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rPr>
                <w:rFonts w:asciiTheme="majorHAnsi" w:hAnsiTheme="majorHAnsi" w:cstheme="majorHAnsi"/>
                <w:bCs/>
                <w:noProof/>
                <w:sz w:val="19"/>
                <w:szCs w:val="19"/>
              </w:rPr>
            </w:pPr>
            <w:r w:rsidRPr="005516CD">
              <w:rPr>
                <w:rFonts w:asciiTheme="majorHAnsi" w:hAnsiTheme="majorHAnsi" w:cstheme="majorHAnsi"/>
                <w:b/>
                <w:bCs/>
                <w:noProof/>
                <w:sz w:val="19"/>
                <w:szCs w:val="19"/>
              </w:rPr>
              <w:t>3.</w:t>
            </w:r>
            <w:r w:rsidR="001F260B" w:rsidRPr="005516CD">
              <w:rPr>
                <w:rFonts w:asciiTheme="majorHAnsi" w:hAnsiTheme="majorHAnsi" w:cstheme="majorHAnsi"/>
                <w:b/>
                <w:bCs/>
                <w:noProof/>
                <w:sz w:val="19"/>
                <w:szCs w:val="19"/>
              </w:rPr>
              <w:t>1</w:t>
            </w:r>
            <w:r w:rsidRPr="005516CD">
              <w:rPr>
                <w:rFonts w:asciiTheme="majorHAnsi" w:hAnsiTheme="majorHAnsi" w:cstheme="majorHAnsi"/>
                <w:bCs/>
                <w:noProof/>
                <w:sz w:val="19"/>
                <w:szCs w:val="19"/>
              </w:rPr>
              <w:t xml:space="preserve"> Number of other projects incorporating project approaches in their operations</w:t>
            </w:r>
          </w:p>
        </w:tc>
        <w:tc>
          <w:tcPr>
            <w:tcW w:w="879" w:type="dxa"/>
          </w:tcPr>
          <w:p w14:paraId="314C678F" w14:textId="77777777" w:rsidR="00757872" w:rsidRPr="005516CD" w:rsidRDefault="00757872" w:rsidP="00757872">
            <w:pPr>
              <w:jc w:val="right"/>
            </w:pPr>
            <w:r w:rsidRPr="005516CD">
              <w:rPr>
                <w:rFonts w:asciiTheme="majorHAnsi" w:hAnsiTheme="majorHAnsi" w:cstheme="majorHAnsi"/>
                <w:bCs/>
                <w:noProof/>
                <w:sz w:val="19"/>
                <w:szCs w:val="19"/>
              </w:rPr>
              <w:t>N/A</w:t>
            </w:r>
          </w:p>
        </w:tc>
        <w:tc>
          <w:tcPr>
            <w:tcW w:w="1340" w:type="dxa"/>
          </w:tcPr>
          <w:p w14:paraId="5B2D98A3" w14:textId="77777777" w:rsidR="00757872" w:rsidRPr="005516CD" w:rsidRDefault="00757872" w:rsidP="00757872">
            <w:pPr>
              <w:rPr>
                <w:rFonts w:asciiTheme="majorHAnsi" w:hAnsiTheme="majorHAnsi" w:cstheme="majorHAnsi"/>
                <w:bCs/>
                <w:noProof/>
                <w:sz w:val="19"/>
                <w:szCs w:val="19"/>
              </w:rPr>
            </w:pPr>
            <w:r w:rsidRPr="005516CD">
              <w:rPr>
                <w:rFonts w:asciiTheme="majorHAnsi" w:hAnsiTheme="majorHAnsi" w:cstheme="majorHAnsi"/>
                <w:bCs/>
                <w:noProof/>
                <w:sz w:val="19"/>
                <w:szCs w:val="19"/>
              </w:rPr>
              <w:t>2</w:t>
            </w:r>
          </w:p>
        </w:tc>
        <w:tc>
          <w:tcPr>
            <w:tcW w:w="1559" w:type="dxa"/>
          </w:tcPr>
          <w:p w14:paraId="7F458E30" w14:textId="77777777" w:rsidR="00757872" w:rsidRPr="005516CD" w:rsidRDefault="00757872" w:rsidP="00757872">
            <w:pPr>
              <w:ind w:left="-96" w:right="-39"/>
              <w:rPr>
                <w:rFonts w:asciiTheme="majorHAnsi" w:hAnsiTheme="majorHAnsi" w:cstheme="majorHAnsi"/>
                <w:bCs/>
                <w:noProof/>
                <w:sz w:val="19"/>
                <w:szCs w:val="19"/>
              </w:rPr>
            </w:pPr>
            <w:r w:rsidRPr="005516CD">
              <w:rPr>
                <w:rFonts w:asciiTheme="majorHAnsi" w:hAnsiTheme="majorHAnsi" w:cstheme="majorHAnsi"/>
                <w:bCs/>
                <w:noProof/>
                <w:sz w:val="19"/>
                <w:szCs w:val="19"/>
              </w:rPr>
              <w:t>5</w:t>
            </w:r>
          </w:p>
        </w:tc>
        <w:tc>
          <w:tcPr>
            <w:tcW w:w="1560" w:type="dxa"/>
          </w:tcPr>
          <w:p w14:paraId="2A6CB3A3" w14:textId="77777777" w:rsidR="00757872" w:rsidRPr="005516CD" w:rsidRDefault="00757872" w:rsidP="00757872">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Interviews with staff of other projects</w:t>
            </w:r>
          </w:p>
        </w:tc>
        <w:tc>
          <w:tcPr>
            <w:tcW w:w="1622" w:type="dxa"/>
          </w:tcPr>
          <w:p w14:paraId="273432C8" w14:textId="77777777" w:rsidR="00757872" w:rsidRPr="005516CD" w:rsidRDefault="000838A7" w:rsidP="00757872">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Receptiveness of staff of other projects</w:t>
            </w:r>
          </w:p>
        </w:tc>
      </w:tr>
      <w:tr w:rsidR="00757872" w:rsidRPr="005516CD" w14:paraId="67940476" w14:textId="77777777" w:rsidTr="00DE2654">
        <w:tc>
          <w:tcPr>
            <w:tcW w:w="1947" w:type="dxa"/>
            <w:vMerge/>
          </w:tcPr>
          <w:p w14:paraId="71D99BA9" w14:textId="77777777" w:rsidR="00757872" w:rsidRPr="005516CD" w:rsidRDefault="00757872" w:rsidP="00757872">
            <w:pPr>
              <w:widowControl w:val="0"/>
              <w:rPr>
                <w:rFonts w:asciiTheme="majorHAnsi" w:hAnsiTheme="majorHAnsi" w:cstheme="majorHAnsi"/>
                <w:b/>
                <w:bCs/>
                <w:noProof/>
                <w:sz w:val="19"/>
                <w:szCs w:val="19"/>
              </w:rPr>
            </w:pPr>
          </w:p>
        </w:tc>
        <w:tc>
          <w:tcPr>
            <w:tcW w:w="5043" w:type="dxa"/>
          </w:tcPr>
          <w:p w14:paraId="4435A811" w14:textId="77777777" w:rsidR="00757872" w:rsidRPr="005516CD" w:rsidRDefault="00757872" w:rsidP="00757872">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rPr>
                <w:rFonts w:asciiTheme="majorHAnsi" w:hAnsiTheme="majorHAnsi" w:cstheme="majorHAnsi"/>
                <w:bCs/>
                <w:noProof/>
                <w:sz w:val="19"/>
                <w:szCs w:val="19"/>
              </w:rPr>
            </w:pPr>
            <w:r w:rsidRPr="005516CD">
              <w:rPr>
                <w:rFonts w:asciiTheme="majorHAnsi" w:hAnsiTheme="majorHAnsi" w:cstheme="majorHAnsi"/>
                <w:b/>
                <w:bCs/>
                <w:noProof/>
                <w:sz w:val="19"/>
                <w:szCs w:val="19"/>
              </w:rPr>
              <w:t>3.</w:t>
            </w:r>
            <w:r w:rsidR="001F260B" w:rsidRPr="005516CD">
              <w:rPr>
                <w:rFonts w:asciiTheme="majorHAnsi" w:hAnsiTheme="majorHAnsi" w:cstheme="majorHAnsi"/>
                <w:b/>
                <w:bCs/>
                <w:noProof/>
                <w:sz w:val="19"/>
                <w:szCs w:val="19"/>
              </w:rPr>
              <w:t>2</w:t>
            </w:r>
            <w:r w:rsidRPr="005516CD">
              <w:rPr>
                <w:rFonts w:asciiTheme="majorHAnsi" w:hAnsiTheme="majorHAnsi" w:cstheme="majorHAnsi"/>
                <w:bCs/>
                <w:noProof/>
                <w:sz w:val="19"/>
                <w:szCs w:val="19"/>
              </w:rPr>
              <w:t xml:space="preserve"> Proportion of members in key stakeholder categories with adequate knowledge and understanding of project objectives, concepts, principles and progress</w:t>
            </w:r>
            <w:r w:rsidRPr="005516CD">
              <w:rPr>
                <w:rStyle w:val="FootnoteReference"/>
                <w:rFonts w:asciiTheme="majorHAnsi" w:hAnsiTheme="majorHAnsi" w:cstheme="majorHAnsi"/>
                <w:bCs/>
                <w:noProof/>
                <w:sz w:val="19"/>
                <w:szCs w:val="19"/>
              </w:rPr>
              <w:footnoteReference w:id="72"/>
            </w:r>
          </w:p>
        </w:tc>
        <w:tc>
          <w:tcPr>
            <w:tcW w:w="879" w:type="dxa"/>
          </w:tcPr>
          <w:p w14:paraId="597D6FD0" w14:textId="77777777" w:rsidR="00757872" w:rsidRPr="005516CD" w:rsidRDefault="00757872" w:rsidP="00757872">
            <w:pPr>
              <w:jc w:val="right"/>
            </w:pPr>
            <w:r w:rsidRPr="005516CD">
              <w:rPr>
                <w:rFonts w:asciiTheme="majorHAnsi" w:hAnsiTheme="majorHAnsi" w:cstheme="majorHAnsi"/>
                <w:bCs/>
                <w:noProof/>
                <w:sz w:val="19"/>
                <w:szCs w:val="19"/>
              </w:rPr>
              <w:t>N/A</w:t>
            </w:r>
          </w:p>
        </w:tc>
        <w:tc>
          <w:tcPr>
            <w:tcW w:w="1340" w:type="dxa"/>
          </w:tcPr>
          <w:p w14:paraId="3C375E06" w14:textId="77777777" w:rsidR="00757872" w:rsidRPr="005516CD" w:rsidRDefault="00757872" w:rsidP="00757872">
            <w:pPr>
              <w:rPr>
                <w:rFonts w:asciiTheme="majorHAnsi" w:hAnsiTheme="majorHAnsi" w:cstheme="majorHAnsi"/>
                <w:bCs/>
                <w:noProof/>
                <w:sz w:val="19"/>
                <w:szCs w:val="19"/>
              </w:rPr>
            </w:pPr>
            <w:r w:rsidRPr="005516CD">
              <w:rPr>
                <w:rFonts w:asciiTheme="majorHAnsi" w:hAnsiTheme="majorHAnsi" w:cstheme="majorHAnsi"/>
                <w:bCs/>
                <w:noProof/>
                <w:sz w:val="19"/>
                <w:szCs w:val="19"/>
              </w:rPr>
              <w:t>40%</w:t>
            </w:r>
          </w:p>
        </w:tc>
        <w:tc>
          <w:tcPr>
            <w:tcW w:w="1559" w:type="dxa"/>
          </w:tcPr>
          <w:p w14:paraId="331ECF64" w14:textId="77777777" w:rsidR="00757872" w:rsidRPr="005516CD" w:rsidRDefault="00757872" w:rsidP="00757872">
            <w:pPr>
              <w:ind w:left="-96" w:right="-39"/>
              <w:rPr>
                <w:rFonts w:asciiTheme="majorHAnsi" w:hAnsiTheme="majorHAnsi" w:cstheme="majorHAnsi"/>
                <w:bCs/>
                <w:noProof/>
                <w:sz w:val="19"/>
                <w:szCs w:val="19"/>
              </w:rPr>
            </w:pPr>
            <w:r w:rsidRPr="005516CD">
              <w:rPr>
                <w:rFonts w:asciiTheme="majorHAnsi" w:hAnsiTheme="majorHAnsi" w:cstheme="majorHAnsi"/>
                <w:bCs/>
                <w:noProof/>
                <w:sz w:val="19"/>
                <w:szCs w:val="19"/>
              </w:rPr>
              <w:t>75%</w:t>
            </w:r>
          </w:p>
        </w:tc>
        <w:tc>
          <w:tcPr>
            <w:tcW w:w="1560" w:type="dxa"/>
          </w:tcPr>
          <w:p w14:paraId="4007068C" w14:textId="77777777" w:rsidR="00757872" w:rsidRPr="005516CD" w:rsidRDefault="00757872" w:rsidP="00757872">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Interviews and questionnaires</w:t>
            </w:r>
          </w:p>
        </w:tc>
        <w:tc>
          <w:tcPr>
            <w:tcW w:w="1622" w:type="dxa"/>
          </w:tcPr>
          <w:p w14:paraId="6892ECD1" w14:textId="77777777" w:rsidR="00757872" w:rsidRPr="005516CD" w:rsidRDefault="000838A7" w:rsidP="00757872">
            <w:pPr>
              <w:ind w:left="-106"/>
              <w:rPr>
                <w:rFonts w:asciiTheme="majorHAnsi" w:hAnsiTheme="majorHAnsi" w:cstheme="majorHAnsi"/>
                <w:bCs/>
                <w:noProof/>
                <w:sz w:val="19"/>
                <w:szCs w:val="19"/>
              </w:rPr>
            </w:pPr>
            <w:r w:rsidRPr="005516CD">
              <w:rPr>
                <w:rFonts w:asciiTheme="majorHAnsi" w:hAnsiTheme="majorHAnsi" w:cstheme="majorHAnsi"/>
                <w:bCs/>
                <w:noProof/>
                <w:sz w:val="19"/>
                <w:szCs w:val="19"/>
              </w:rPr>
              <w:t>No major negative social or political events</w:t>
            </w:r>
          </w:p>
        </w:tc>
      </w:tr>
      <w:tr w:rsidR="00757872" w:rsidRPr="005516CD" w14:paraId="5776980A" w14:textId="77777777" w:rsidTr="00C066AB">
        <w:tc>
          <w:tcPr>
            <w:tcW w:w="13950" w:type="dxa"/>
            <w:gridSpan w:val="7"/>
          </w:tcPr>
          <w:p w14:paraId="347C0A58" w14:textId="77777777" w:rsidR="00757872" w:rsidRPr="005516CD" w:rsidRDefault="00757872" w:rsidP="00757872">
            <w:pPr>
              <w:widowControl w:val="0"/>
              <w:rPr>
                <w:rFonts w:asciiTheme="majorHAnsi" w:hAnsiTheme="majorHAnsi" w:cstheme="majorHAnsi"/>
                <w:bCs/>
                <w:noProof/>
                <w:sz w:val="19"/>
                <w:szCs w:val="19"/>
              </w:rPr>
            </w:pPr>
            <w:r w:rsidRPr="005516CD">
              <w:rPr>
                <w:rFonts w:asciiTheme="majorHAnsi" w:hAnsiTheme="majorHAnsi" w:cstheme="majorHAnsi"/>
                <w:bCs/>
                <w:noProof/>
                <w:sz w:val="19"/>
                <w:szCs w:val="19"/>
              </w:rPr>
              <w:t>3.1 Knowledge management and dissemination strategy to ensure that lessons learned are incorporated in project management and scaled up elsewhere</w:t>
            </w:r>
          </w:p>
          <w:p w14:paraId="15A5A5E4" w14:textId="77777777" w:rsidR="00757872" w:rsidRPr="005516CD" w:rsidRDefault="00757872" w:rsidP="00757872">
            <w:pPr>
              <w:widowControl w:val="0"/>
              <w:rPr>
                <w:rFonts w:asciiTheme="majorHAnsi" w:hAnsiTheme="majorHAnsi" w:cstheme="majorHAnsi"/>
                <w:bCs/>
                <w:noProof/>
                <w:sz w:val="19"/>
                <w:szCs w:val="19"/>
              </w:rPr>
            </w:pPr>
            <w:r w:rsidRPr="005516CD">
              <w:rPr>
                <w:rFonts w:asciiTheme="majorHAnsi" w:hAnsiTheme="majorHAnsi" w:cstheme="majorHAnsi"/>
                <w:bCs/>
                <w:noProof/>
                <w:sz w:val="19"/>
                <w:szCs w:val="19"/>
              </w:rPr>
              <w:t>3.2 Communication strategy to ensure that project objectives, concepts, principles and progress are effectively communicated to all key stakeholder categories</w:t>
            </w:r>
          </w:p>
          <w:p w14:paraId="0ED9E017" w14:textId="77777777" w:rsidR="00757872" w:rsidRPr="005516CD" w:rsidRDefault="00757872" w:rsidP="00757872">
            <w:r w:rsidRPr="005516CD">
              <w:rPr>
                <w:rFonts w:asciiTheme="majorHAnsi" w:hAnsiTheme="majorHAnsi" w:cstheme="majorHAnsi"/>
                <w:bCs/>
                <w:noProof/>
                <w:sz w:val="19"/>
                <w:szCs w:val="19"/>
              </w:rPr>
              <w:t>3.3 Monitoring and evaluation strategy, to ensure that the project is managed in an informed, adaptive and effective manner</w:t>
            </w:r>
            <w:r w:rsidR="00CD7CF9" w:rsidRPr="005516CD">
              <w:rPr>
                <w:rFonts w:asciiTheme="majorHAnsi" w:hAnsiTheme="majorHAnsi" w:cstheme="majorHAnsi"/>
                <w:bCs/>
                <w:noProof/>
                <w:sz w:val="19"/>
                <w:szCs w:val="19"/>
              </w:rPr>
              <w:t xml:space="preserve"> </w:t>
            </w:r>
            <w:r w:rsidR="00CD7CF9" w:rsidRPr="005516CD">
              <w:rPr>
                <w:rFonts w:asciiTheme="majorHAnsi" w:eastAsia="Times New Roman" w:hAnsiTheme="majorHAnsi" w:cstheme="majorHAnsi"/>
                <w:bCs/>
                <w:sz w:val="19"/>
                <w:szCs w:val="19"/>
              </w:rPr>
              <w:t>taking into account environmental and safeguards considerations</w:t>
            </w:r>
          </w:p>
        </w:tc>
      </w:tr>
    </w:tbl>
    <w:p w14:paraId="7BB38E9F" w14:textId="77777777" w:rsidR="00E45267" w:rsidRPr="005516CD" w:rsidRDefault="00E45267" w:rsidP="00E45267"/>
    <w:p w14:paraId="3273658B" w14:textId="77777777" w:rsidR="009C36BD" w:rsidRPr="005516CD" w:rsidRDefault="009C36BD" w:rsidP="007B146B"/>
    <w:p w14:paraId="100B6209" w14:textId="77777777" w:rsidR="001771FE" w:rsidRPr="005516CD" w:rsidRDefault="001771FE" w:rsidP="007B146B">
      <w:pPr>
        <w:pStyle w:val="Body"/>
      </w:pPr>
    </w:p>
    <w:p w14:paraId="1FBCB343" w14:textId="77777777" w:rsidR="001771FE" w:rsidRPr="005516CD" w:rsidRDefault="001771FE" w:rsidP="007B146B">
      <w:pPr>
        <w:pStyle w:val="Body"/>
        <w:sectPr w:rsidR="001771FE" w:rsidRPr="005516CD" w:rsidSect="00E274EE">
          <w:headerReference w:type="even" r:id="rId59"/>
          <w:headerReference w:type="default" r:id="rId60"/>
          <w:footerReference w:type="default" r:id="rId61"/>
          <w:headerReference w:type="first" r:id="rId62"/>
          <w:pgSz w:w="16840" w:h="11900" w:orient="landscape"/>
          <w:pgMar w:top="1440" w:right="1440" w:bottom="1440" w:left="1440" w:header="708" w:footer="432" w:gutter="0"/>
          <w:cols w:space="720"/>
          <w:docGrid w:linePitch="326"/>
        </w:sectPr>
      </w:pPr>
    </w:p>
    <w:p w14:paraId="2535C977" w14:textId="77777777" w:rsidR="00E45267" w:rsidRPr="005516CD" w:rsidRDefault="00E45267" w:rsidP="003B2210">
      <w:pPr>
        <w:pStyle w:val="Heading2"/>
        <w:numPr>
          <w:ilvl w:val="0"/>
          <w:numId w:val="167"/>
        </w:numPr>
        <w:spacing w:after="120"/>
        <w:rPr>
          <w:rFonts w:ascii="Calibri" w:eastAsia="Calibri" w:hAnsi="Calibri" w:cs="Calibri"/>
          <w:caps/>
          <w:sz w:val="22"/>
          <w:lang w:val="en-US"/>
        </w:rPr>
      </w:pPr>
      <w:bookmarkStart w:id="78" w:name="_Toc8933099"/>
      <w:bookmarkStart w:id="79" w:name="_Hlk528726868"/>
      <w:r w:rsidRPr="005516CD">
        <w:rPr>
          <w:rFonts w:ascii="Calibri" w:eastAsia="Calibri" w:hAnsi="Calibri" w:cs="Calibri"/>
          <w:caps/>
          <w:sz w:val="22"/>
          <w:lang w:val="en-US"/>
        </w:rPr>
        <w:t>Monitoring and Evaluation (M&amp;E) Plan</w:t>
      </w:r>
      <w:bookmarkEnd w:id="78"/>
    </w:p>
    <w:p w14:paraId="1B7E8F95"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The project results as outlined </w:t>
      </w:r>
      <w:r w:rsidRPr="005516CD">
        <w:rPr>
          <w:rStyle w:val="Hyperlink2"/>
          <w:rFonts w:asciiTheme="majorHAnsi" w:hAnsiTheme="majorHAnsi" w:cstheme="majorHAnsi"/>
          <w:color w:val="auto"/>
          <w:sz w:val="20"/>
          <w:szCs w:val="20"/>
        </w:rPr>
        <w:t>in</w:t>
      </w:r>
      <w:r w:rsidRPr="005516CD">
        <w:rPr>
          <w:rFonts w:asciiTheme="majorHAnsi" w:hAnsiTheme="majorHAnsi" w:cstheme="majorHAnsi"/>
          <w:sz w:val="20"/>
          <w:szCs w:val="20"/>
          <w:lang w:val="en-US"/>
        </w:rPr>
        <w:t xml:space="preserve"> the project results framework will be monitored annually and evaluated periodically during project implementation to ensure the project effectively achieves these results. The project monitoring and </w:t>
      </w:r>
      <w:r w:rsidRPr="005516CD">
        <w:rPr>
          <w:rFonts w:asciiTheme="majorHAnsi" w:hAnsiTheme="majorHAnsi" w:cstheme="majorHAnsi"/>
          <w:sz w:val="20"/>
          <w:szCs w:val="20"/>
        </w:rPr>
        <w:t>evaluation</w:t>
      </w:r>
      <w:r w:rsidRPr="005516CD">
        <w:rPr>
          <w:rFonts w:asciiTheme="majorHAnsi" w:hAnsiTheme="majorHAnsi" w:cstheme="majorHAnsi"/>
          <w:sz w:val="20"/>
          <w:szCs w:val="20"/>
          <w:lang w:val="en-US"/>
        </w:rPr>
        <w:t xml:space="preserve"> plan will also facilitate learning and ensure knowledge is shared and widely disseminated to support the scaling up and replication of project results.</w:t>
      </w:r>
    </w:p>
    <w:p w14:paraId="61570731"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i/>
          <w:iCs/>
          <w:sz w:val="20"/>
          <w:szCs w:val="20"/>
        </w:rPr>
      </w:pPr>
      <w:r w:rsidRPr="005516CD">
        <w:rPr>
          <w:rStyle w:val="None"/>
          <w:rFonts w:asciiTheme="majorHAnsi" w:hAnsiTheme="majorHAnsi" w:cstheme="majorHAnsi"/>
          <w:sz w:val="20"/>
          <w:szCs w:val="20"/>
        </w:rPr>
        <w:t xml:space="preserve">As </w:t>
      </w:r>
      <w:r w:rsidR="0026174B" w:rsidRPr="005516CD">
        <w:rPr>
          <w:rStyle w:val="None"/>
          <w:rFonts w:asciiTheme="majorHAnsi" w:hAnsiTheme="majorHAnsi" w:cstheme="majorHAnsi"/>
          <w:sz w:val="20"/>
          <w:szCs w:val="20"/>
        </w:rPr>
        <w:t xml:space="preserve">joint </w:t>
      </w:r>
      <w:r w:rsidRPr="005516CD">
        <w:rPr>
          <w:rStyle w:val="None"/>
          <w:rFonts w:asciiTheme="majorHAnsi" w:hAnsiTheme="majorHAnsi" w:cstheme="majorHAnsi"/>
          <w:sz w:val="20"/>
          <w:szCs w:val="20"/>
        </w:rPr>
        <w:t xml:space="preserve">Implementing Agency, UNDP will be directly responsible for reporting project progress and impacts to GEF. Project-level monitoring and evaluation will be undertaken in compliance with UNDP requirements as outlined in the </w:t>
      </w:r>
      <w:hyperlink r:id="rId63" w:history="1">
        <w:r w:rsidRPr="005516CD">
          <w:rPr>
            <w:rStyle w:val="None"/>
            <w:rFonts w:asciiTheme="majorHAnsi" w:eastAsia="Calibri" w:hAnsiTheme="majorHAnsi" w:cstheme="majorHAnsi"/>
            <w:sz w:val="20"/>
            <w:szCs w:val="20"/>
            <w:u w:color="000000"/>
          </w:rPr>
          <w:t>UNDP POPP</w:t>
        </w:r>
      </w:hyperlink>
      <w:r w:rsidRPr="005516CD">
        <w:rPr>
          <w:rStyle w:val="None"/>
          <w:rFonts w:asciiTheme="majorHAnsi" w:eastAsia="Calibri" w:hAnsiTheme="majorHAnsi" w:cstheme="majorHAnsi"/>
          <w:sz w:val="20"/>
          <w:szCs w:val="20"/>
          <w:u w:color="000000"/>
        </w:rPr>
        <w:t xml:space="preserve"> and </w:t>
      </w:r>
      <w:hyperlink r:id="rId64" w:history="1">
        <w:r w:rsidRPr="005516CD">
          <w:rPr>
            <w:rStyle w:val="None"/>
            <w:rFonts w:asciiTheme="majorHAnsi" w:eastAsia="Calibri" w:hAnsiTheme="majorHAnsi" w:cstheme="majorHAnsi"/>
            <w:sz w:val="20"/>
            <w:szCs w:val="20"/>
            <w:u w:color="000000"/>
          </w:rPr>
          <w:t>UNDP Evaluation Policy</w:t>
        </w:r>
      </w:hyperlink>
      <w:r w:rsidRPr="005516CD">
        <w:rPr>
          <w:rStyle w:val="None"/>
          <w:rFonts w:asciiTheme="majorHAnsi" w:hAnsiTheme="majorHAnsi" w:cstheme="majorHAnsi"/>
          <w:sz w:val="20"/>
          <w:szCs w:val="20"/>
        </w:rPr>
        <w:t xml:space="preserve">. While these UNDP requirements are not outlined in this project document, the UNDP Country Office will work with the relevant project stakeholders to ensure that these respective M&amp;E requirements are met in a timely fashion and to high quality standards. Additional mandatory GEF-specific M&amp;E requirements (as outlined below) will be undertaken in accordance with the </w:t>
      </w:r>
      <w:hyperlink r:id="rId65" w:history="1">
        <w:r w:rsidRPr="005516CD">
          <w:rPr>
            <w:rStyle w:val="Hyperlink73"/>
            <w:rFonts w:asciiTheme="majorHAnsi" w:hAnsiTheme="majorHAnsi" w:cstheme="majorHAnsi"/>
            <w:color w:val="auto"/>
            <w:sz w:val="20"/>
            <w:szCs w:val="20"/>
          </w:rPr>
          <w:t>GEF M&amp;E policy</w:t>
        </w:r>
      </w:hyperlink>
      <w:r w:rsidRPr="005516CD">
        <w:rPr>
          <w:rStyle w:val="None"/>
          <w:rFonts w:asciiTheme="majorHAnsi" w:hAnsiTheme="majorHAnsi" w:cstheme="majorHAnsi"/>
          <w:sz w:val="20"/>
          <w:szCs w:val="20"/>
        </w:rPr>
        <w:t xml:space="preserve"> and other relevant GEF policies</w:t>
      </w:r>
      <w:r w:rsidRPr="005516CD">
        <w:rPr>
          <w:rStyle w:val="None"/>
          <w:rFonts w:asciiTheme="majorHAnsi" w:eastAsia="Arial" w:hAnsiTheme="majorHAnsi" w:cstheme="majorHAnsi"/>
          <w:sz w:val="20"/>
          <w:szCs w:val="20"/>
          <w:vertAlign w:val="superscript"/>
        </w:rPr>
        <w:footnoteReference w:id="73"/>
      </w:r>
      <w:r w:rsidRPr="005516CD">
        <w:rPr>
          <w:rStyle w:val="None"/>
          <w:rFonts w:asciiTheme="majorHAnsi" w:hAnsiTheme="majorHAnsi" w:cstheme="majorHAnsi"/>
          <w:sz w:val="20"/>
          <w:szCs w:val="20"/>
        </w:rPr>
        <w:t>.  This will include reporting on GEF Core Indicators, which are included in the project Results Framework.</w:t>
      </w:r>
    </w:p>
    <w:p w14:paraId="62BBC840"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In addition to these mandatory UNDP</w:t>
      </w:r>
      <w:r w:rsidR="00B17F59" w:rsidRPr="005516CD">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 xml:space="preserve">and GEF M&amp;E requirements, other M&amp;E activities deemed necessary to </w:t>
      </w:r>
      <w:r w:rsidRPr="005516CD">
        <w:rPr>
          <w:rStyle w:val="Hyperlink2"/>
          <w:rFonts w:asciiTheme="majorHAnsi" w:hAnsiTheme="majorHAnsi" w:cstheme="majorHAnsi"/>
          <w:color w:val="auto"/>
          <w:sz w:val="20"/>
          <w:szCs w:val="20"/>
        </w:rPr>
        <w:t>support</w:t>
      </w:r>
      <w:r w:rsidRPr="005516CD">
        <w:rPr>
          <w:rFonts w:asciiTheme="majorHAnsi" w:hAnsiTheme="majorHAnsi" w:cstheme="majorHAnsi"/>
          <w:sz w:val="20"/>
          <w:szCs w:val="20"/>
          <w:lang w:val="en-US"/>
        </w:rPr>
        <w:t xml:space="preserve">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UNDP and The GEF Operational Focal Point will strive to ensure consistency in the approach taken to the GEF-specific M&amp;E requirements across all GEF-financed projects in the country.</w:t>
      </w:r>
      <w:r w:rsidRPr="005516CD">
        <w:rPr>
          <w:rStyle w:val="None"/>
          <w:rFonts w:asciiTheme="majorHAnsi" w:eastAsia="Arial" w:hAnsiTheme="majorHAnsi" w:cstheme="majorHAnsi"/>
          <w:sz w:val="20"/>
          <w:szCs w:val="20"/>
          <w:vertAlign w:val="superscript"/>
        </w:rPr>
        <w:footnoteReference w:id="74"/>
      </w:r>
      <w:r w:rsidRPr="005516CD">
        <w:rPr>
          <w:rFonts w:asciiTheme="majorHAnsi" w:hAnsiTheme="majorHAnsi" w:cstheme="majorHAnsi"/>
          <w:sz w:val="20"/>
          <w:szCs w:val="20"/>
        </w:rPr>
        <w:t xml:space="preserve">    </w:t>
      </w:r>
    </w:p>
    <w:p w14:paraId="58FE3D34" w14:textId="77777777" w:rsidR="00E45267" w:rsidRPr="005516CD" w:rsidRDefault="00E45267" w:rsidP="00E45267">
      <w:pPr>
        <w:pStyle w:val="Body"/>
        <w:jc w:val="left"/>
        <w:rPr>
          <w:rStyle w:val="None"/>
          <w:rFonts w:asciiTheme="majorHAnsi" w:hAnsiTheme="majorHAnsi" w:cstheme="majorHAnsi"/>
          <w:b/>
          <w:bCs/>
          <w:color w:val="auto"/>
        </w:rPr>
      </w:pPr>
      <w:r w:rsidRPr="005516CD">
        <w:rPr>
          <w:rStyle w:val="None"/>
          <w:rFonts w:asciiTheme="majorHAnsi" w:hAnsiTheme="majorHAnsi" w:cstheme="majorHAnsi"/>
          <w:b/>
          <w:bCs/>
          <w:color w:val="auto"/>
        </w:rPr>
        <w:t>M&amp;E Oversight and monitoring responsibilities:</w:t>
      </w:r>
    </w:p>
    <w:p w14:paraId="2C7EDAB2" w14:textId="67C91680"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 xml:space="preserve">Project </w:t>
      </w:r>
      <w:r w:rsidR="00201734">
        <w:rPr>
          <w:rStyle w:val="None"/>
          <w:rFonts w:asciiTheme="majorHAnsi" w:hAnsiTheme="majorHAnsi" w:cstheme="majorHAnsi"/>
          <w:sz w:val="20"/>
          <w:szCs w:val="20"/>
          <w:u w:val="single"/>
        </w:rPr>
        <w:t>Officer</w:t>
      </w:r>
      <w:r w:rsidRPr="005516CD">
        <w:rPr>
          <w:rFonts w:asciiTheme="majorHAnsi" w:hAnsiTheme="majorHAnsi" w:cstheme="majorHAnsi"/>
          <w:sz w:val="20"/>
          <w:szCs w:val="20"/>
          <w:lang w:val="en-US"/>
        </w:rPr>
        <w:t xml:space="preserve">:  The </w:t>
      </w:r>
      <w:r w:rsidR="00250916" w:rsidRPr="005516CD">
        <w:rPr>
          <w:rFonts w:asciiTheme="majorHAnsi" w:hAnsiTheme="majorHAnsi" w:cstheme="majorHAnsi"/>
          <w:sz w:val="20"/>
          <w:szCs w:val="20"/>
          <w:lang w:val="en-US"/>
        </w:rPr>
        <w:t xml:space="preserve">Project </w:t>
      </w:r>
      <w:r w:rsidR="00201734">
        <w:rPr>
          <w:rFonts w:asciiTheme="majorHAnsi" w:hAnsiTheme="majorHAnsi" w:cstheme="majorHAnsi"/>
          <w:sz w:val="20"/>
          <w:szCs w:val="20"/>
          <w:lang w:val="en-US"/>
        </w:rPr>
        <w:t>Officer</w:t>
      </w:r>
      <w:r w:rsidR="00201734" w:rsidRPr="005516CD">
        <w:rPr>
          <w:rFonts w:asciiTheme="majorHAnsi" w:hAnsiTheme="majorHAnsi" w:cstheme="majorHAnsi"/>
          <w:sz w:val="20"/>
          <w:szCs w:val="20"/>
          <w:lang w:val="en-US"/>
        </w:rPr>
        <w:t xml:space="preserve"> </w:t>
      </w:r>
      <w:r w:rsidR="00250916" w:rsidRPr="005516CD">
        <w:rPr>
          <w:rFonts w:asciiTheme="majorHAnsi" w:hAnsiTheme="majorHAnsi" w:cstheme="majorHAnsi"/>
          <w:sz w:val="20"/>
          <w:szCs w:val="20"/>
          <w:lang w:val="en-US"/>
        </w:rPr>
        <w:t>(P</w:t>
      </w:r>
      <w:r w:rsidR="00201734">
        <w:rPr>
          <w:rFonts w:asciiTheme="majorHAnsi" w:hAnsiTheme="majorHAnsi" w:cstheme="majorHAnsi"/>
          <w:sz w:val="20"/>
          <w:szCs w:val="20"/>
          <w:lang w:val="en-US"/>
        </w:rPr>
        <w:t>O</w:t>
      </w:r>
      <w:r w:rsidRPr="005516CD">
        <w:rPr>
          <w:rFonts w:asciiTheme="majorHAnsi" w:hAnsiTheme="majorHAnsi" w:cstheme="majorHAnsi"/>
          <w:sz w:val="20"/>
          <w:szCs w:val="20"/>
          <w:lang w:val="en-US"/>
        </w:rPr>
        <w:t xml:space="preserve">) will be responsible for day-to-day project management and regular monitoring of project results and risks, including social and environmental risks. The </w:t>
      </w:r>
      <w:r w:rsidR="00250916" w:rsidRPr="005516CD">
        <w:rPr>
          <w:rFonts w:asciiTheme="majorHAnsi" w:hAnsiTheme="majorHAnsi" w:cstheme="majorHAnsi"/>
          <w:sz w:val="20"/>
          <w:szCs w:val="20"/>
          <w:lang w:val="en-US"/>
        </w:rPr>
        <w:t>P</w:t>
      </w:r>
      <w:r w:rsidR="00201734">
        <w:rPr>
          <w:rFonts w:asciiTheme="majorHAnsi" w:hAnsiTheme="majorHAnsi" w:cstheme="majorHAnsi"/>
          <w:sz w:val="20"/>
          <w:szCs w:val="20"/>
          <w:lang w:val="en-US"/>
        </w:rPr>
        <w:t xml:space="preserve">O </w:t>
      </w:r>
      <w:r w:rsidRPr="005516CD">
        <w:rPr>
          <w:rFonts w:asciiTheme="majorHAnsi" w:hAnsiTheme="majorHAnsi" w:cstheme="majorHAnsi"/>
          <w:sz w:val="20"/>
          <w:szCs w:val="20"/>
          <w:lang w:val="en-US"/>
        </w:rPr>
        <w:t xml:space="preserve">will ensure that all project staff maintain a high level of transparency, responsibility and accountability in M&amp;E and reporting of project results. The </w:t>
      </w:r>
      <w:r w:rsidR="00250916" w:rsidRPr="005516CD">
        <w:rPr>
          <w:rFonts w:asciiTheme="majorHAnsi" w:hAnsiTheme="majorHAnsi" w:cstheme="majorHAnsi"/>
          <w:sz w:val="20"/>
          <w:szCs w:val="20"/>
          <w:lang w:val="en-US"/>
        </w:rPr>
        <w:t>P</w:t>
      </w:r>
      <w:r w:rsidR="00201734">
        <w:rPr>
          <w:rFonts w:asciiTheme="majorHAnsi" w:hAnsiTheme="majorHAnsi" w:cstheme="majorHAnsi"/>
          <w:sz w:val="20"/>
          <w:szCs w:val="20"/>
          <w:lang w:val="en-US"/>
        </w:rPr>
        <w:t>O</w:t>
      </w:r>
      <w:r w:rsidR="00250916" w:rsidRPr="005516CD">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will inform the Project Director, the Project Board, the UNDP Country Office, the UNDP-GEF R</w:t>
      </w:r>
      <w:r w:rsidR="00150252" w:rsidRPr="005516CD">
        <w:rPr>
          <w:rFonts w:asciiTheme="majorHAnsi" w:hAnsiTheme="majorHAnsi" w:cstheme="majorHAnsi"/>
          <w:sz w:val="20"/>
          <w:szCs w:val="20"/>
          <w:lang w:val="en-US"/>
        </w:rPr>
        <w:t>egional Technical Advisor (R</w:t>
      </w:r>
      <w:r w:rsidRPr="005516CD">
        <w:rPr>
          <w:rFonts w:asciiTheme="majorHAnsi" w:hAnsiTheme="majorHAnsi" w:cstheme="majorHAnsi"/>
          <w:sz w:val="20"/>
          <w:szCs w:val="20"/>
          <w:lang w:val="en-US"/>
        </w:rPr>
        <w:t>TA</w:t>
      </w:r>
      <w:r w:rsidR="00150252" w:rsidRPr="005516CD">
        <w:rPr>
          <w:rFonts w:asciiTheme="majorHAnsi" w:hAnsiTheme="majorHAnsi" w:cstheme="majorHAnsi"/>
          <w:sz w:val="20"/>
          <w:szCs w:val="20"/>
          <w:lang w:val="en-US"/>
        </w:rPr>
        <w:t>)</w:t>
      </w:r>
      <w:r w:rsidRPr="005516CD">
        <w:rPr>
          <w:rFonts w:asciiTheme="majorHAnsi" w:hAnsiTheme="majorHAnsi" w:cstheme="majorHAnsi"/>
          <w:sz w:val="20"/>
          <w:szCs w:val="20"/>
          <w:lang w:val="en-US"/>
        </w:rPr>
        <w:t xml:space="preserve"> and the FAO Country Representation of any delays or difficulties as they arise during implementation so that appropriate support and corrective measures can be adopted. </w:t>
      </w:r>
    </w:p>
    <w:p w14:paraId="19989A3C" w14:textId="184E4CC1"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The </w:t>
      </w:r>
      <w:r w:rsidR="00250916" w:rsidRPr="005516CD">
        <w:rPr>
          <w:rFonts w:asciiTheme="majorHAnsi" w:hAnsiTheme="majorHAnsi" w:cstheme="majorHAnsi"/>
          <w:sz w:val="20"/>
          <w:szCs w:val="20"/>
          <w:lang w:val="en-US"/>
        </w:rPr>
        <w:t>P</w:t>
      </w:r>
      <w:r w:rsidR="00201734">
        <w:rPr>
          <w:rFonts w:asciiTheme="majorHAnsi" w:hAnsiTheme="majorHAnsi" w:cstheme="majorHAnsi"/>
          <w:sz w:val="20"/>
          <w:szCs w:val="20"/>
          <w:lang w:val="en-US"/>
        </w:rPr>
        <w:t>O</w:t>
      </w:r>
      <w:r w:rsidR="00250916" w:rsidRPr="005516CD">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 xml:space="preserve">will develop annual work plans based on the multi-year work plan included in Annex A, including annual output targets to support the efficient implementation of the project. The </w:t>
      </w:r>
      <w:r w:rsidR="00250916" w:rsidRPr="005516CD">
        <w:rPr>
          <w:rFonts w:asciiTheme="majorHAnsi" w:hAnsiTheme="majorHAnsi" w:cstheme="majorHAnsi"/>
          <w:sz w:val="20"/>
          <w:szCs w:val="20"/>
          <w:lang w:val="en-US"/>
        </w:rPr>
        <w:t>P</w:t>
      </w:r>
      <w:r w:rsidR="00201734">
        <w:rPr>
          <w:rFonts w:asciiTheme="majorHAnsi" w:hAnsiTheme="majorHAnsi" w:cstheme="majorHAnsi"/>
          <w:sz w:val="20"/>
          <w:szCs w:val="20"/>
          <w:lang w:val="en-US"/>
        </w:rPr>
        <w:t>O</w:t>
      </w:r>
      <w:r w:rsidR="00250916" w:rsidRPr="005516CD">
        <w:rPr>
          <w:rFonts w:asciiTheme="majorHAnsi" w:hAnsiTheme="majorHAnsi" w:cstheme="majorHAnsi"/>
          <w:sz w:val="20"/>
          <w:szCs w:val="20"/>
          <w:lang w:val="en-US"/>
        </w:rPr>
        <w:t xml:space="preserve"> </w:t>
      </w:r>
      <w:r w:rsidRPr="005516CD">
        <w:rPr>
          <w:rStyle w:val="Hyperlink2"/>
          <w:rFonts w:asciiTheme="majorHAnsi" w:hAnsiTheme="majorHAnsi" w:cstheme="majorHAnsi"/>
          <w:color w:val="auto"/>
          <w:sz w:val="20"/>
          <w:szCs w:val="20"/>
        </w:rPr>
        <w:t>will</w:t>
      </w:r>
      <w:r w:rsidRPr="005516CD">
        <w:rPr>
          <w:rFonts w:asciiTheme="majorHAnsi" w:hAnsiTheme="majorHAnsi" w:cstheme="majorHAnsi"/>
          <w:sz w:val="20"/>
          <w:szCs w:val="20"/>
          <w:lang w:val="en-US"/>
        </w:rPr>
        <w:t xml:space="preserve"> ensure that the standard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w:t>
      </w:r>
      <w:r w:rsidR="00150252" w:rsidRPr="005516CD">
        <w:rPr>
          <w:rFonts w:asciiTheme="majorHAnsi" w:hAnsiTheme="majorHAnsi" w:cstheme="majorHAnsi"/>
          <w:sz w:val="20"/>
          <w:szCs w:val="20"/>
          <w:lang w:val="en-US"/>
        </w:rPr>
        <w:t xml:space="preserve">knowledge management </w:t>
      </w:r>
      <w:r w:rsidRPr="005516CD">
        <w:rPr>
          <w:rFonts w:asciiTheme="majorHAnsi" w:hAnsiTheme="majorHAnsi" w:cstheme="majorHAnsi"/>
          <w:sz w:val="20"/>
          <w:szCs w:val="20"/>
          <w:lang w:val="en-US"/>
        </w:rPr>
        <w:t xml:space="preserve">strategy etc.) occur on a regular basis.  </w:t>
      </w:r>
    </w:p>
    <w:p w14:paraId="0E61B2C9"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Project Board</w:t>
      </w:r>
      <w:r w:rsidRPr="005516CD">
        <w:rPr>
          <w:rFonts w:asciiTheme="majorHAnsi" w:hAnsiTheme="majorHAnsi" w:cstheme="majorHAnsi"/>
          <w:sz w:val="20"/>
          <w:szCs w:val="20"/>
          <w:lang w:val="en-US"/>
        </w:rPr>
        <w:t>:  The Project Board (Project Steering Committee) will take corrective action as needed to ensure the project achieves the desired results. The Project Board will hold project reviews to assess the performance of the project and appraise the Annual Work Plan for the following year. In the project</w:t>
      </w:r>
      <w:r w:rsidRPr="005516CD">
        <w:rPr>
          <w:rFonts w:asciiTheme="majorHAnsi" w:hAnsiTheme="majorHAnsi" w:cstheme="majorHAnsi"/>
          <w:sz w:val="20"/>
          <w:szCs w:val="20"/>
        </w:rPr>
        <w:t>’</w:t>
      </w:r>
      <w:r w:rsidRPr="005516CD">
        <w:rPr>
          <w:rFonts w:asciiTheme="majorHAnsi" w:hAnsiTheme="majorHAnsi" w:cstheme="majorHAnsi"/>
          <w:sz w:val="20"/>
          <w:szCs w:val="20"/>
          <w:lang w:val="en-US"/>
        </w:rPr>
        <w:t xml:space="preserve">s final year, the Project Board will hold an end-of-project review to capture lessons learned and discuss opportunities for scaling up and to highlight project results </w:t>
      </w:r>
      <w:r w:rsidRPr="005516CD">
        <w:rPr>
          <w:rStyle w:val="Hyperlink2"/>
          <w:rFonts w:asciiTheme="majorHAnsi" w:hAnsiTheme="majorHAnsi" w:cstheme="majorHAnsi"/>
          <w:color w:val="auto"/>
          <w:sz w:val="20"/>
          <w:szCs w:val="20"/>
        </w:rPr>
        <w:t>and</w:t>
      </w:r>
      <w:r w:rsidRPr="005516CD">
        <w:rPr>
          <w:rFonts w:asciiTheme="majorHAnsi" w:hAnsiTheme="majorHAnsi" w:cstheme="majorHAnsi"/>
          <w:sz w:val="20"/>
          <w:szCs w:val="20"/>
          <w:lang w:val="en-US"/>
        </w:rPr>
        <w:t xml:space="preserve"> lessons learned with relevant audiences. This final review meeting will also discuss the findings outlined in the project terminal evaluation report and the management response.</w:t>
      </w:r>
    </w:p>
    <w:p w14:paraId="55148B55" w14:textId="0EE35704"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Project Implementing Partner</w:t>
      </w:r>
      <w:r w:rsidRPr="005516CD">
        <w:rPr>
          <w:rFonts w:asciiTheme="majorHAnsi" w:hAnsiTheme="majorHAnsi" w:cstheme="majorHAnsi"/>
          <w:sz w:val="20"/>
          <w:szCs w:val="20"/>
          <w:lang w:val="en-US"/>
        </w:rPr>
        <w:t xml:space="preserve">:  </w:t>
      </w:r>
      <w:proofErr w:type="spellStart"/>
      <w:r w:rsidR="009241AB">
        <w:rPr>
          <w:rFonts w:asciiTheme="majorHAnsi" w:hAnsiTheme="majorHAnsi" w:cstheme="majorHAnsi"/>
          <w:sz w:val="20"/>
          <w:szCs w:val="20"/>
          <w:lang w:val="en-US"/>
        </w:rPr>
        <w:t>MoE</w:t>
      </w:r>
      <w:proofErr w:type="spellEnd"/>
      <w:r w:rsidRPr="005516CD">
        <w:rPr>
          <w:rFonts w:asciiTheme="majorHAnsi" w:hAnsiTheme="majorHAnsi" w:cstheme="majorHAnsi"/>
          <w:sz w:val="20"/>
          <w:szCs w:val="20"/>
          <w:lang w:val="en-US"/>
        </w:rPr>
        <w:t xml:space="preserve"> will be the Implementing Partner (IP) of the project. The IP will be responsible for providing any and all required information and data necessary for timely, comprehensive and evidence-based project reporting, including results and financial data, as necessary and appropriate. The </w:t>
      </w:r>
      <w:r w:rsidRPr="005516CD">
        <w:rPr>
          <w:rStyle w:val="Hyperlink2"/>
          <w:rFonts w:asciiTheme="majorHAnsi" w:hAnsiTheme="majorHAnsi" w:cstheme="majorHAnsi"/>
          <w:color w:val="auto"/>
          <w:sz w:val="20"/>
          <w:szCs w:val="20"/>
        </w:rPr>
        <w:t>Implementing</w:t>
      </w:r>
      <w:r w:rsidRPr="005516CD">
        <w:rPr>
          <w:rFonts w:asciiTheme="majorHAnsi" w:hAnsiTheme="majorHAnsi" w:cstheme="majorHAnsi"/>
          <w:sz w:val="20"/>
          <w:szCs w:val="20"/>
          <w:lang w:val="en-US"/>
        </w:rPr>
        <w:t xml:space="preserve"> Partner will strive to ensure project-level M&amp;E is undertaken by national </w:t>
      </w:r>
      <w:r w:rsidR="00A62C89" w:rsidRPr="005516CD">
        <w:rPr>
          <w:rFonts w:asciiTheme="majorHAnsi" w:hAnsiTheme="majorHAnsi" w:cstheme="majorHAnsi"/>
          <w:sz w:val="20"/>
          <w:szCs w:val="20"/>
          <w:lang w:val="en-US"/>
        </w:rPr>
        <w:t>institutes and</w:t>
      </w:r>
      <w:r w:rsidRPr="005516CD">
        <w:rPr>
          <w:rFonts w:asciiTheme="majorHAnsi" w:hAnsiTheme="majorHAnsi" w:cstheme="majorHAnsi"/>
          <w:sz w:val="20"/>
          <w:szCs w:val="20"/>
          <w:lang w:val="en-US"/>
        </w:rPr>
        <w:t xml:space="preserve"> is aligned with national systems so that the data used by and generated by the project supports national systems. </w:t>
      </w:r>
    </w:p>
    <w:p w14:paraId="10320C35" w14:textId="428DF232"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UNDP Country Office</w:t>
      </w:r>
      <w:r w:rsidRPr="005516CD">
        <w:rPr>
          <w:rFonts w:asciiTheme="majorHAnsi" w:hAnsiTheme="majorHAnsi" w:cstheme="majorHAnsi"/>
          <w:sz w:val="20"/>
          <w:szCs w:val="20"/>
          <w:lang w:val="en-US"/>
        </w:rPr>
        <w:t xml:space="preserve">:  The UNDP Country Office will support the Project </w:t>
      </w:r>
      <w:r w:rsidR="00201734">
        <w:rPr>
          <w:rFonts w:asciiTheme="majorHAnsi" w:hAnsiTheme="majorHAnsi" w:cstheme="majorHAnsi"/>
          <w:sz w:val="20"/>
          <w:szCs w:val="20"/>
          <w:lang w:val="en-US"/>
        </w:rPr>
        <w:t>Officer</w:t>
      </w:r>
      <w:r w:rsidR="00201734" w:rsidRPr="005516CD">
        <w:rPr>
          <w:rFonts w:asciiTheme="majorHAnsi" w:hAnsiTheme="majorHAnsi" w:cstheme="majorHAnsi"/>
          <w:sz w:val="20"/>
          <w:szCs w:val="20"/>
          <w:lang w:val="en-US"/>
        </w:rPr>
        <w:t xml:space="preserve"> </w:t>
      </w:r>
      <w:r w:rsidR="00AA2989" w:rsidRPr="005516CD">
        <w:rPr>
          <w:rFonts w:asciiTheme="majorHAnsi" w:hAnsiTheme="majorHAnsi" w:cstheme="majorHAnsi"/>
          <w:sz w:val="20"/>
          <w:szCs w:val="20"/>
          <w:lang w:val="en-US"/>
        </w:rPr>
        <w:t xml:space="preserve">and project team members </w:t>
      </w:r>
      <w:r w:rsidRPr="005516CD">
        <w:rPr>
          <w:rFonts w:asciiTheme="majorHAnsi" w:hAnsiTheme="majorHAnsi" w:cstheme="majorHAnsi"/>
          <w:sz w:val="20"/>
          <w:szCs w:val="20"/>
          <w:lang w:val="en-US"/>
        </w:rPr>
        <w:t xml:space="preserve">as needed, including through annual supervision </w:t>
      </w:r>
      <w:r w:rsidRPr="005516CD">
        <w:rPr>
          <w:rStyle w:val="None"/>
          <w:rFonts w:asciiTheme="majorHAnsi" w:hAnsiTheme="majorHAnsi" w:cstheme="majorHAnsi"/>
          <w:sz w:val="20"/>
          <w:szCs w:val="20"/>
        </w:rPr>
        <w:t>missions</w:t>
      </w:r>
      <w:r w:rsidRPr="005516CD">
        <w:rPr>
          <w:rFonts w:asciiTheme="majorHAnsi" w:hAnsiTheme="majorHAnsi" w:cstheme="majorHAnsi"/>
          <w:sz w:val="20"/>
          <w:szCs w:val="20"/>
          <w:lang w:val="en-US"/>
        </w:rPr>
        <w:t xml:space="preserve">. The annual supervision missions will take place according to the schedule outlined in the annual work plan. Supervision mission reports will be circulated to the project team and Project </w:t>
      </w:r>
      <w:r w:rsidRPr="005516CD">
        <w:rPr>
          <w:rStyle w:val="Hyperlink2"/>
          <w:rFonts w:asciiTheme="majorHAnsi" w:hAnsiTheme="majorHAnsi" w:cstheme="majorHAnsi"/>
          <w:color w:val="auto"/>
          <w:sz w:val="20"/>
          <w:szCs w:val="20"/>
        </w:rPr>
        <w:t>Board</w:t>
      </w:r>
      <w:r w:rsidRPr="005516CD">
        <w:rPr>
          <w:rFonts w:asciiTheme="majorHAnsi" w:hAnsiTheme="majorHAnsi" w:cstheme="majorHAnsi"/>
          <w:sz w:val="20"/>
          <w:szCs w:val="20"/>
          <w:lang w:val="en-US"/>
        </w:rPr>
        <w:t xml:space="preserve"> within one month of the mission.  The UNDP Country Office</w:t>
      </w:r>
      <w:r w:rsidR="00AA2989" w:rsidRPr="005516CD">
        <w:rPr>
          <w:rFonts w:asciiTheme="majorHAnsi" w:hAnsiTheme="majorHAnsi" w:cstheme="majorHAnsi"/>
          <w:sz w:val="20"/>
          <w:szCs w:val="20"/>
          <w:lang w:val="en-US"/>
        </w:rPr>
        <w:t xml:space="preserve">, as </w:t>
      </w:r>
      <w:r w:rsidR="0026174B" w:rsidRPr="005516CD">
        <w:rPr>
          <w:rFonts w:asciiTheme="majorHAnsi" w:hAnsiTheme="majorHAnsi" w:cstheme="majorHAnsi"/>
          <w:sz w:val="20"/>
          <w:szCs w:val="20"/>
          <w:lang w:val="en-US"/>
        </w:rPr>
        <w:t>joint</w:t>
      </w:r>
      <w:r w:rsidR="00AA2989" w:rsidRPr="005516CD">
        <w:rPr>
          <w:rFonts w:asciiTheme="majorHAnsi" w:hAnsiTheme="majorHAnsi" w:cstheme="majorHAnsi"/>
          <w:sz w:val="20"/>
          <w:szCs w:val="20"/>
          <w:lang w:val="en-US"/>
        </w:rPr>
        <w:t xml:space="preserve"> I</w:t>
      </w:r>
      <w:r w:rsidR="00150252" w:rsidRPr="005516CD">
        <w:rPr>
          <w:rFonts w:asciiTheme="majorHAnsi" w:hAnsiTheme="majorHAnsi" w:cstheme="majorHAnsi"/>
          <w:sz w:val="20"/>
          <w:szCs w:val="20"/>
          <w:lang w:val="en-US"/>
        </w:rPr>
        <w:t>mplementing Agency (I</w:t>
      </w:r>
      <w:r w:rsidR="00AA2989" w:rsidRPr="005516CD">
        <w:rPr>
          <w:rFonts w:asciiTheme="majorHAnsi" w:hAnsiTheme="majorHAnsi" w:cstheme="majorHAnsi"/>
          <w:sz w:val="20"/>
          <w:szCs w:val="20"/>
          <w:lang w:val="en-US"/>
        </w:rPr>
        <w:t>A</w:t>
      </w:r>
      <w:r w:rsidR="00150252" w:rsidRPr="005516CD">
        <w:rPr>
          <w:rFonts w:asciiTheme="majorHAnsi" w:hAnsiTheme="majorHAnsi" w:cstheme="majorHAnsi"/>
          <w:sz w:val="20"/>
          <w:szCs w:val="20"/>
          <w:lang w:val="en-US"/>
        </w:rPr>
        <w:t>)</w:t>
      </w:r>
      <w:r w:rsidR="00AA2989" w:rsidRPr="005516CD">
        <w:rPr>
          <w:rFonts w:asciiTheme="majorHAnsi" w:hAnsiTheme="majorHAnsi" w:cstheme="majorHAnsi"/>
          <w:sz w:val="20"/>
          <w:szCs w:val="20"/>
          <w:lang w:val="en-US"/>
        </w:rPr>
        <w:t>,</w:t>
      </w:r>
      <w:r w:rsidRPr="005516CD">
        <w:rPr>
          <w:rFonts w:asciiTheme="majorHAnsi" w:hAnsiTheme="majorHAnsi" w:cstheme="majorHAnsi"/>
          <w:sz w:val="20"/>
          <w:szCs w:val="20"/>
          <w:lang w:val="en-US"/>
        </w:rPr>
        <w:t xml:space="preserve"> will initiate and organize key GEF M&amp;E activities including the annual GEF </w:t>
      </w:r>
      <w:r w:rsidR="00150252" w:rsidRPr="005516CD">
        <w:rPr>
          <w:rFonts w:asciiTheme="majorHAnsi" w:hAnsiTheme="majorHAnsi" w:cstheme="majorHAnsi"/>
          <w:sz w:val="20"/>
          <w:szCs w:val="20"/>
          <w:lang w:val="en-US"/>
        </w:rPr>
        <w:t>Project Implementation Report (</w:t>
      </w:r>
      <w:r w:rsidRPr="005516CD">
        <w:rPr>
          <w:rFonts w:asciiTheme="majorHAnsi" w:hAnsiTheme="majorHAnsi" w:cstheme="majorHAnsi"/>
          <w:sz w:val="20"/>
          <w:szCs w:val="20"/>
          <w:lang w:val="en-US"/>
        </w:rPr>
        <w:t>PIR</w:t>
      </w:r>
      <w:r w:rsidR="00150252" w:rsidRPr="005516CD">
        <w:rPr>
          <w:rFonts w:asciiTheme="majorHAnsi" w:hAnsiTheme="majorHAnsi" w:cstheme="majorHAnsi"/>
          <w:sz w:val="20"/>
          <w:szCs w:val="20"/>
          <w:lang w:val="en-US"/>
        </w:rPr>
        <w:t>)</w:t>
      </w:r>
      <w:r w:rsidRPr="005516CD">
        <w:rPr>
          <w:rFonts w:asciiTheme="majorHAnsi" w:hAnsiTheme="majorHAnsi" w:cstheme="majorHAnsi"/>
          <w:sz w:val="20"/>
          <w:szCs w:val="20"/>
          <w:lang w:val="en-US"/>
        </w:rPr>
        <w:t>, the independent mid-term review and the independent terminal evaluation. The UNDP Country Office will also ensure that the standard UNDP</w:t>
      </w:r>
      <w:r w:rsidR="00B17F59" w:rsidRPr="005516CD">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and GEF M&amp;E requirements are fulfilled to the highest quality</w:t>
      </w:r>
      <w:r w:rsidR="0038553C" w:rsidRPr="005516CD">
        <w:rPr>
          <w:rFonts w:asciiTheme="majorHAnsi" w:hAnsiTheme="majorHAnsi" w:cstheme="majorHAnsi"/>
          <w:sz w:val="20"/>
          <w:szCs w:val="20"/>
          <w:lang w:val="en-US"/>
        </w:rPr>
        <w:t>.</w:t>
      </w:r>
      <w:r w:rsidRPr="005516CD">
        <w:rPr>
          <w:rFonts w:asciiTheme="majorHAnsi" w:hAnsiTheme="majorHAnsi" w:cstheme="majorHAnsi"/>
          <w:sz w:val="20"/>
          <w:szCs w:val="20"/>
          <w:lang w:val="en-US"/>
        </w:rPr>
        <w:t xml:space="preserve">  </w:t>
      </w:r>
    </w:p>
    <w:p w14:paraId="6B0AF5F0" w14:textId="5A91356A"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bookmarkStart w:id="80" w:name="_Hlk513940"/>
      <w:r w:rsidRPr="005516CD">
        <w:rPr>
          <w:rFonts w:asciiTheme="majorHAnsi" w:hAnsiTheme="majorHAnsi" w:cstheme="majorHAnsi"/>
          <w:sz w:val="20"/>
          <w:szCs w:val="20"/>
          <w:lang w:val="en-US"/>
        </w:rPr>
        <w:t xml:space="preserve">The UNDP Country Office will be responsible for complying with all UNDP and FAO project-level M&amp;E </w:t>
      </w:r>
      <w:r w:rsidRPr="005516CD">
        <w:rPr>
          <w:rStyle w:val="None"/>
          <w:rFonts w:asciiTheme="majorHAnsi" w:hAnsiTheme="majorHAnsi" w:cstheme="majorHAnsi"/>
          <w:sz w:val="20"/>
          <w:szCs w:val="20"/>
        </w:rPr>
        <w:t>requirements</w:t>
      </w:r>
      <w:r w:rsidRPr="005516CD">
        <w:rPr>
          <w:rFonts w:asciiTheme="majorHAnsi" w:hAnsiTheme="majorHAnsi" w:cstheme="majorHAnsi"/>
          <w:sz w:val="20"/>
          <w:szCs w:val="20"/>
          <w:lang w:val="en-US"/>
        </w:rPr>
        <w:t xml:space="preserve"> as outlined in the </w:t>
      </w:r>
      <w:hyperlink r:id="rId66" w:history="1">
        <w:r w:rsidRPr="005516CD">
          <w:rPr>
            <w:rFonts w:asciiTheme="majorHAnsi" w:hAnsiTheme="majorHAnsi" w:cstheme="majorHAnsi"/>
            <w:sz w:val="20"/>
            <w:szCs w:val="20"/>
          </w:rPr>
          <w:t xml:space="preserve">UNDP </w:t>
        </w:r>
        <w:r w:rsidR="00362980" w:rsidRPr="005516CD">
          <w:rPr>
            <w:rFonts w:asciiTheme="majorHAnsi" w:hAnsiTheme="majorHAnsi" w:cstheme="majorHAnsi"/>
            <w:sz w:val="20"/>
            <w:szCs w:val="20"/>
          </w:rPr>
          <w:t>Programme and Operations Policies and Procedures (</w:t>
        </w:r>
        <w:r w:rsidRPr="005516CD">
          <w:rPr>
            <w:rFonts w:asciiTheme="majorHAnsi" w:hAnsiTheme="majorHAnsi" w:cstheme="majorHAnsi"/>
            <w:sz w:val="20"/>
            <w:szCs w:val="20"/>
          </w:rPr>
          <w:t>POPP</w:t>
        </w:r>
      </w:hyperlink>
      <w:r w:rsidR="00362980" w:rsidRPr="005516CD">
        <w:rPr>
          <w:rFonts w:asciiTheme="majorHAnsi" w:hAnsiTheme="majorHAnsi" w:cstheme="majorHAnsi"/>
          <w:sz w:val="20"/>
          <w:szCs w:val="20"/>
        </w:rPr>
        <w:t>)</w:t>
      </w:r>
      <w:r w:rsidRPr="005516CD">
        <w:rPr>
          <w:rFonts w:asciiTheme="majorHAnsi" w:hAnsiTheme="majorHAnsi" w:cstheme="majorHAnsi"/>
          <w:sz w:val="20"/>
          <w:szCs w:val="20"/>
          <w:lang w:val="en-US"/>
        </w:rPr>
        <w:t xml:space="preserve">. </w:t>
      </w:r>
      <w:bookmarkEnd w:id="80"/>
      <w:r w:rsidRPr="005516CD">
        <w:rPr>
          <w:rFonts w:asciiTheme="majorHAnsi" w:hAnsiTheme="majorHAnsi" w:cstheme="majorHAnsi"/>
          <w:sz w:val="20"/>
          <w:szCs w:val="20"/>
          <w:lang w:val="en-US"/>
        </w:rPr>
        <w:t xml:space="preserve">This includes ensuring the UNDP Quality Assurance Assessment during implementation is undertaken annually; that annual targets at the output level are developed, monitored and </w:t>
      </w:r>
      <w:r w:rsidRPr="005516CD">
        <w:rPr>
          <w:rStyle w:val="Hyperlink2"/>
          <w:rFonts w:asciiTheme="majorHAnsi" w:hAnsiTheme="majorHAnsi" w:cstheme="majorHAnsi"/>
          <w:color w:val="auto"/>
          <w:sz w:val="20"/>
          <w:szCs w:val="20"/>
        </w:rPr>
        <w:t>reported</w:t>
      </w:r>
      <w:r w:rsidRPr="005516CD">
        <w:rPr>
          <w:rFonts w:asciiTheme="majorHAnsi" w:hAnsiTheme="majorHAnsi" w:cstheme="majorHAnsi"/>
          <w:sz w:val="20"/>
          <w:szCs w:val="20"/>
          <w:lang w:val="en-US"/>
        </w:rPr>
        <w:t xml:space="preserve"> using UNDP corporate systems; the regular updating of the ATLAS risk log; and, the updating of the UNDP gender marker on an annual basis based on gender mainstreaming progress reported in the GEF PIR and the UNDP </w:t>
      </w:r>
      <w:r w:rsidR="00362980" w:rsidRPr="005516CD">
        <w:rPr>
          <w:rFonts w:asciiTheme="majorHAnsi" w:hAnsiTheme="majorHAnsi" w:cstheme="majorHAnsi"/>
          <w:sz w:val="20"/>
          <w:szCs w:val="20"/>
          <w:lang w:val="en-US"/>
        </w:rPr>
        <w:t>Results Oriented Annual Report (</w:t>
      </w:r>
      <w:r w:rsidRPr="005516CD">
        <w:rPr>
          <w:rFonts w:asciiTheme="majorHAnsi" w:hAnsiTheme="majorHAnsi" w:cstheme="majorHAnsi"/>
          <w:sz w:val="20"/>
          <w:szCs w:val="20"/>
          <w:lang w:val="en-US"/>
        </w:rPr>
        <w:t>ROAR</w:t>
      </w:r>
      <w:r w:rsidR="00362980" w:rsidRPr="005516CD">
        <w:rPr>
          <w:rFonts w:asciiTheme="majorHAnsi" w:hAnsiTheme="majorHAnsi" w:cstheme="majorHAnsi"/>
          <w:sz w:val="20"/>
          <w:szCs w:val="20"/>
          <w:lang w:val="en-US"/>
        </w:rPr>
        <w:t>)</w:t>
      </w:r>
      <w:r w:rsidRPr="005516CD">
        <w:rPr>
          <w:rFonts w:asciiTheme="majorHAnsi" w:hAnsiTheme="majorHAnsi" w:cstheme="majorHAnsi"/>
          <w:sz w:val="20"/>
          <w:szCs w:val="20"/>
          <w:lang w:val="en-US"/>
        </w:rPr>
        <w:t xml:space="preserve">. Any quality concerns flagged during these M&amp;E activities (e.g. annual GEF PIR quality assessment ratings) will be addressed by the UNDP Country Office and the Project </w:t>
      </w:r>
      <w:r w:rsidR="00201734">
        <w:rPr>
          <w:rFonts w:asciiTheme="majorHAnsi" w:hAnsiTheme="majorHAnsi" w:cstheme="majorHAnsi"/>
          <w:sz w:val="20"/>
          <w:szCs w:val="20"/>
          <w:lang w:val="en-US"/>
        </w:rPr>
        <w:t>Officer</w:t>
      </w:r>
      <w:r w:rsidRPr="005516CD">
        <w:rPr>
          <w:rFonts w:asciiTheme="majorHAnsi" w:hAnsiTheme="majorHAnsi" w:cstheme="majorHAnsi"/>
          <w:sz w:val="20"/>
          <w:szCs w:val="20"/>
          <w:lang w:val="en-US"/>
        </w:rPr>
        <w:t xml:space="preserve">.  </w:t>
      </w:r>
    </w:p>
    <w:p w14:paraId="1E89EA3B"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The UNDP Country Office will retain all M&amp;E records for this project for up to seven years after project financial </w:t>
      </w:r>
      <w:r w:rsidRPr="005516CD">
        <w:rPr>
          <w:rStyle w:val="Hyperlink2"/>
          <w:rFonts w:asciiTheme="majorHAnsi" w:hAnsiTheme="majorHAnsi" w:cstheme="majorHAnsi"/>
          <w:color w:val="auto"/>
          <w:sz w:val="20"/>
          <w:szCs w:val="20"/>
        </w:rPr>
        <w:t>closure</w:t>
      </w:r>
      <w:r w:rsidRPr="005516CD">
        <w:rPr>
          <w:rFonts w:asciiTheme="majorHAnsi" w:hAnsiTheme="majorHAnsi" w:cstheme="majorHAnsi"/>
          <w:sz w:val="20"/>
          <w:szCs w:val="20"/>
          <w:lang w:val="en-US"/>
        </w:rPr>
        <w:t xml:space="preserve"> in order to </w:t>
      </w:r>
      <w:r w:rsidRPr="005516CD">
        <w:rPr>
          <w:rStyle w:val="None"/>
          <w:rFonts w:asciiTheme="majorHAnsi" w:hAnsiTheme="majorHAnsi" w:cstheme="majorHAnsi"/>
          <w:sz w:val="20"/>
          <w:szCs w:val="20"/>
        </w:rPr>
        <w:t>support</w:t>
      </w:r>
      <w:r w:rsidRPr="005516CD">
        <w:rPr>
          <w:rFonts w:asciiTheme="majorHAnsi" w:hAnsiTheme="majorHAnsi" w:cstheme="majorHAnsi"/>
          <w:sz w:val="20"/>
          <w:szCs w:val="20"/>
          <w:lang w:val="en-US"/>
        </w:rPr>
        <w:t xml:space="preserve"> ex-post evaluations undertaken by the UNDP Independent Evaluation Office (IEO) and/or the GEF Independent Evaluation Office (IEO).  </w:t>
      </w:r>
    </w:p>
    <w:p w14:paraId="2BEB9E98"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Style w:val="None"/>
          <w:rFonts w:asciiTheme="majorHAnsi" w:hAnsiTheme="majorHAnsi" w:cstheme="majorHAnsi"/>
          <w:sz w:val="20"/>
          <w:szCs w:val="20"/>
          <w:u w:val="single"/>
        </w:rPr>
        <w:t>UNDP-GEF Unit</w:t>
      </w:r>
      <w:r w:rsidRPr="005516CD">
        <w:rPr>
          <w:rFonts w:asciiTheme="majorHAnsi" w:hAnsiTheme="majorHAnsi" w:cstheme="majorHAnsi"/>
          <w:sz w:val="20"/>
          <w:szCs w:val="20"/>
          <w:lang w:val="en-US"/>
        </w:rPr>
        <w:t xml:space="preserve">:  Additional M&amp;E and implementation quality assurance and troubleshooting support will be provided by the UNDP-GEF Regional </w:t>
      </w:r>
      <w:r w:rsidRPr="005516CD">
        <w:rPr>
          <w:rStyle w:val="None"/>
          <w:rFonts w:asciiTheme="majorHAnsi" w:hAnsiTheme="majorHAnsi" w:cstheme="majorHAnsi"/>
          <w:sz w:val="20"/>
          <w:szCs w:val="20"/>
        </w:rPr>
        <w:t>Technical</w:t>
      </w:r>
      <w:r w:rsidRPr="005516CD">
        <w:rPr>
          <w:rFonts w:asciiTheme="majorHAnsi" w:hAnsiTheme="majorHAnsi" w:cstheme="majorHAnsi"/>
          <w:sz w:val="20"/>
          <w:szCs w:val="20"/>
          <w:lang w:val="en-US"/>
        </w:rPr>
        <w:t xml:space="preserve"> Advisor and the UNDP-GEF Directorate as needed.  </w:t>
      </w:r>
    </w:p>
    <w:p w14:paraId="092FF9CD" w14:textId="77777777" w:rsidR="00E45267" w:rsidRPr="005516CD" w:rsidRDefault="00E45267" w:rsidP="00E45267">
      <w:pPr>
        <w:pStyle w:val="Body"/>
        <w:spacing w:after="0"/>
        <w:jc w:val="left"/>
        <w:rPr>
          <w:rStyle w:val="None"/>
          <w:rFonts w:asciiTheme="majorHAnsi" w:hAnsiTheme="majorHAnsi" w:cstheme="majorHAnsi"/>
          <w:b/>
          <w:bCs/>
          <w:color w:val="auto"/>
        </w:rPr>
      </w:pPr>
      <w:r w:rsidRPr="005516CD">
        <w:rPr>
          <w:rStyle w:val="None"/>
          <w:rFonts w:asciiTheme="majorHAnsi" w:hAnsiTheme="majorHAnsi" w:cstheme="majorHAnsi"/>
          <w:b/>
          <w:bCs/>
          <w:color w:val="auto"/>
        </w:rPr>
        <w:t xml:space="preserve">Audit: </w:t>
      </w:r>
    </w:p>
    <w:p w14:paraId="108ED304"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The project will </w:t>
      </w:r>
      <w:r w:rsidRPr="005516CD">
        <w:rPr>
          <w:rStyle w:val="None"/>
          <w:rFonts w:asciiTheme="majorHAnsi" w:hAnsiTheme="majorHAnsi" w:cstheme="majorHAnsi"/>
          <w:sz w:val="20"/>
          <w:szCs w:val="20"/>
        </w:rPr>
        <w:t>be</w:t>
      </w:r>
      <w:r w:rsidRPr="005516CD">
        <w:rPr>
          <w:rFonts w:asciiTheme="majorHAnsi" w:hAnsiTheme="majorHAnsi" w:cstheme="majorHAnsi"/>
          <w:sz w:val="20"/>
          <w:szCs w:val="20"/>
          <w:lang w:val="en-US"/>
        </w:rPr>
        <w:t xml:space="preserve"> audited according to UNDP Financial Regulations and Rules and applicable audit policies on N</w:t>
      </w:r>
      <w:r w:rsidR="00362980" w:rsidRPr="005516CD">
        <w:rPr>
          <w:rFonts w:asciiTheme="majorHAnsi" w:hAnsiTheme="majorHAnsi" w:cstheme="majorHAnsi"/>
          <w:sz w:val="20"/>
          <w:szCs w:val="20"/>
          <w:lang w:val="en-US"/>
        </w:rPr>
        <w:t>ationa</w:t>
      </w:r>
      <w:r w:rsidR="00250916" w:rsidRPr="005516CD">
        <w:rPr>
          <w:rFonts w:asciiTheme="majorHAnsi" w:hAnsiTheme="majorHAnsi" w:cstheme="majorHAnsi"/>
          <w:sz w:val="20"/>
          <w:szCs w:val="20"/>
          <w:lang w:val="en-US"/>
        </w:rPr>
        <w:t>l</w:t>
      </w:r>
      <w:r w:rsidR="00362980" w:rsidRPr="005516CD">
        <w:rPr>
          <w:rFonts w:asciiTheme="majorHAnsi" w:hAnsiTheme="majorHAnsi" w:cstheme="majorHAnsi"/>
          <w:sz w:val="20"/>
          <w:szCs w:val="20"/>
          <w:lang w:val="en-US"/>
        </w:rPr>
        <w:t xml:space="preserve"> Implementation Modality (N</w:t>
      </w:r>
      <w:r w:rsidRPr="005516CD">
        <w:rPr>
          <w:rFonts w:asciiTheme="majorHAnsi" w:hAnsiTheme="majorHAnsi" w:cstheme="majorHAnsi"/>
          <w:sz w:val="20"/>
          <w:szCs w:val="20"/>
          <w:lang w:val="en-US"/>
        </w:rPr>
        <w:t>IM</w:t>
      </w:r>
      <w:r w:rsidR="00362980" w:rsidRPr="005516CD">
        <w:rPr>
          <w:rFonts w:asciiTheme="majorHAnsi" w:hAnsiTheme="majorHAnsi" w:cstheme="majorHAnsi"/>
          <w:sz w:val="20"/>
          <w:szCs w:val="20"/>
          <w:lang w:val="en-US"/>
        </w:rPr>
        <w:t>)</w:t>
      </w:r>
      <w:r w:rsidRPr="005516CD">
        <w:rPr>
          <w:rFonts w:asciiTheme="majorHAnsi" w:hAnsiTheme="majorHAnsi" w:cstheme="majorHAnsi"/>
          <w:sz w:val="20"/>
          <w:szCs w:val="20"/>
          <w:lang w:val="en-US"/>
        </w:rPr>
        <w:t xml:space="preserve"> </w:t>
      </w:r>
      <w:r w:rsidRPr="005516CD">
        <w:rPr>
          <w:rStyle w:val="Hyperlink2"/>
          <w:rFonts w:asciiTheme="majorHAnsi" w:hAnsiTheme="majorHAnsi" w:cstheme="majorHAnsi"/>
          <w:color w:val="auto"/>
          <w:sz w:val="20"/>
          <w:szCs w:val="20"/>
        </w:rPr>
        <w:t>implemented</w:t>
      </w:r>
      <w:r w:rsidRPr="005516CD">
        <w:rPr>
          <w:rFonts w:asciiTheme="majorHAnsi" w:hAnsiTheme="majorHAnsi" w:cstheme="majorHAnsi"/>
          <w:sz w:val="20"/>
          <w:szCs w:val="20"/>
          <w:lang w:val="en-US"/>
        </w:rPr>
        <w:t xml:space="preserve"> projects</w:t>
      </w:r>
      <w:r w:rsidRPr="005516CD">
        <w:rPr>
          <w:rStyle w:val="None"/>
          <w:rFonts w:asciiTheme="majorHAnsi" w:eastAsia="Arial" w:hAnsiTheme="majorHAnsi" w:cstheme="majorHAnsi"/>
          <w:sz w:val="20"/>
          <w:szCs w:val="20"/>
          <w:vertAlign w:val="superscript"/>
        </w:rPr>
        <w:footnoteReference w:id="75"/>
      </w:r>
      <w:r w:rsidR="00362980" w:rsidRPr="005516CD">
        <w:rPr>
          <w:rFonts w:asciiTheme="majorHAnsi" w:hAnsiTheme="majorHAnsi" w:cstheme="majorHAnsi"/>
          <w:sz w:val="20"/>
          <w:szCs w:val="20"/>
          <w:lang w:val="en-US"/>
        </w:rPr>
        <w:t>.</w:t>
      </w:r>
    </w:p>
    <w:p w14:paraId="5241F401" w14:textId="77777777" w:rsidR="00E45267" w:rsidRPr="005516CD" w:rsidRDefault="00E45267" w:rsidP="00E45267">
      <w:pPr>
        <w:pStyle w:val="Body"/>
        <w:spacing w:after="0"/>
        <w:jc w:val="left"/>
        <w:rPr>
          <w:rStyle w:val="None"/>
          <w:rFonts w:asciiTheme="majorHAnsi" w:hAnsiTheme="majorHAnsi" w:cstheme="majorHAnsi"/>
          <w:b/>
          <w:bCs/>
          <w:color w:val="auto"/>
        </w:rPr>
      </w:pPr>
      <w:r w:rsidRPr="005516CD">
        <w:rPr>
          <w:rStyle w:val="None"/>
          <w:rFonts w:asciiTheme="majorHAnsi" w:hAnsiTheme="majorHAnsi" w:cstheme="majorHAnsi"/>
          <w:b/>
          <w:bCs/>
          <w:color w:val="auto"/>
        </w:rPr>
        <w:t>Additional GEF monitoring and reporting requirements:</w:t>
      </w:r>
    </w:p>
    <w:p w14:paraId="473AA301"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Inception Workshop and Report</w:t>
      </w:r>
      <w:r w:rsidRPr="005516CD">
        <w:rPr>
          <w:rFonts w:asciiTheme="majorHAnsi" w:hAnsiTheme="majorHAnsi" w:cstheme="majorHAnsi"/>
          <w:sz w:val="20"/>
          <w:szCs w:val="20"/>
          <w:lang w:val="en-US"/>
        </w:rPr>
        <w:t xml:space="preserve">:  A </w:t>
      </w:r>
      <w:r w:rsidRPr="005516CD">
        <w:rPr>
          <w:rStyle w:val="Hyperlink2"/>
          <w:rFonts w:asciiTheme="majorHAnsi" w:hAnsiTheme="majorHAnsi" w:cstheme="majorHAnsi"/>
          <w:color w:val="auto"/>
          <w:sz w:val="20"/>
          <w:szCs w:val="20"/>
        </w:rPr>
        <w:t>project</w:t>
      </w:r>
      <w:r w:rsidRPr="005516CD">
        <w:rPr>
          <w:rFonts w:asciiTheme="majorHAnsi" w:hAnsiTheme="majorHAnsi" w:cstheme="majorHAnsi"/>
          <w:sz w:val="20"/>
          <w:szCs w:val="20"/>
          <w:lang w:val="en-US"/>
        </w:rPr>
        <w:t xml:space="preserve"> </w:t>
      </w:r>
      <w:r w:rsidRPr="005516CD">
        <w:rPr>
          <w:rStyle w:val="None"/>
          <w:rFonts w:asciiTheme="majorHAnsi" w:hAnsiTheme="majorHAnsi" w:cstheme="majorHAnsi"/>
          <w:sz w:val="20"/>
          <w:szCs w:val="20"/>
        </w:rPr>
        <w:t>inception</w:t>
      </w:r>
      <w:r w:rsidRPr="005516CD">
        <w:rPr>
          <w:rFonts w:asciiTheme="majorHAnsi" w:hAnsiTheme="majorHAnsi" w:cstheme="majorHAnsi"/>
          <w:sz w:val="20"/>
          <w:szCs w:val="20"/>
          <w:lang w:val="en-US"/>
        </w:rPr>
        <w:t xml:space="preserve"> workshop will be held within two months after the project document has been signed by all relevant parties to, amongst others:  </w:t>
      </w:r>
    </w:p>
    <w:p w14:paraId="2F8C32A2" w14:textId="77777777" w:rsidR="00E45267" w:rsidRPr="005516CD" w:rsidRDefault="00E45267" w:rsidP="00E45267">
      <w:pPr>
        <w:pStyle w:val="Body"/>
        <w:spacing w:after="0"/>
        <w:jc w:val="left"/>
        <w:rPr>
          <w:rFonts w:asciiTheme="majorHAnsi" w:hAnsiTheme="majorHAnsi" w:cstheme="majorHAnsi"/>
          <w:color w:val="auto"/>
        </w:rPr>
      </w:pPr>
      <w:r w:rsidRPr="005516CD">
        <w:rPr>
          <w:rFonts w:asciiTheme="majorHAnsi" w:hAnsiTheme="majorHAnsi" w:cstheme="majorHAnsi"/>
          <w:color w:val="auto"/>
          <w:lang w:val="en-US"/>
        </w:rPr>
        <w:t xml:space="preserve">a) Re-orient project stakeholders to the project strategy and discuss any changes in the overall context that influence project strategy and implementation; </w:t>
      </w:r>
    </w:p>
    <w:p w14:paraId="307F3F74" w14:textId="77777777" w:rsidR="00E45267" w:rsidRPr="005516CD" w:rsidRDefault="00E45267" w:rsidP="00E45267">
      <w:pPr>
        <w:pStyle w:val="Body"/>
        <w:spacing w:after="0"/>
        <w:jc w:val="left"/>
        <w:rPr>
          <w:rFonts w:asciiTheme="majorHAnsi" w:hAnsiTheme="majorHAnsi" w:cstheme="majorHAnsi"/>
          <w:color w:val="auto"/>
        </w:rPr>
      </w:pPr>
      <w:r w:rsidRPr="005516CD">
        <w:rPr>
          <w:rFonts w:asciiTheme="majorHAnsi" w:hAnsiTheme="majorHAnsi" w:cstheme="majorHAnsi"/>
          <w:color w:val="auto"/>
          <w:lang w:val="en-US"/>
        </w:rPr>
        <w:t xml:space="preserve">b) Discuss the roles and responsibilities of the project team, including reporting and communication lines and conflict resolution mechanisms; </w:t>
      </w:r>
    </w:p>
    <w:p w14:paraId="1CB20D60" w14:textId="77777777" w:rsidR="00E45267" w:rsidRPr="005516CD" w:rsidRDefault="00E45267" w:rsidP="00E45267">
      <w:pPr>
        <w:pStyle w:val="Body"/>
        <w:spacing w:after="0"/>
        <w:jc w:val="left"/>
        <w:rPr>
          <w:rFonts w:asciiTheme="majorHAnsi" w:hAnsiTheme="majorHAnsi" w:cstheme="majorHAnsi"/>
          <w:color w:val="auto"/>
        </w:rPr>
      </w:pPr>
      <w:r w:rsidRPr="005516CD">
        <w:rPr>
          <w:rFonts w:asciiTheme="majorHAnsi" w:hAnsiTheme="majorHAnsi" w:cstheme="majorHAnsi"/>
          <w:color w:val="auto"/>
          <w:lang w:val="en-US"/>
        </w:rPr>
        <w:t xml:space="preserve">c) Review the results framework and finalize the indicators, means of verification and monitoring plan; </w:t>
      </w:r>
    </w:p>
    <w:p w14:paraId="75B7D33E" w14:textId="77777777" w:rsidR="00E45267" w:rsidRPr="005516CD" w:rsidRDefault="00E45267" w:rsidP="00E45267">
      <w:pPr>
        <w:pStyle w:val="Body"/>
        <w:spacing w:after="0"/>
        <w:jc w:val="left"/>
        <w:rPr>
          <w:rFonts w:asciiTheme="majorHAnsi" w:hAnsiTheme="majorHAnsi" w:cstheme="majorHAnsi"/>
          <w:color w:val="auto"/>
        </w:rPr>
      </w:pPr>
      <w:r w:rsidRPr="005516CD">
        <w:rPr>
          <w:rFonts w:asciiTheme="majorHAnsi" w:hAnsiTheme="majorHAnsi" w:cstheme="majorHAnsi"/>
          <w:color w:val="auto"/>
          <w:lang w:val="en-US"/>
        </w:rPr>
        <w:t>d) Discuss reporting, monitoring and evaluation roles and responsibilities and finalize the M&amp;E budget; identify national/regional institutes to be involved in project-level M&amp;E; discuss the role of the GEF O</w:t>
      </w:r>
      <w:r w:rsidR="00362980" w:rsidRPr="005516CD">
        <w:rPr>
          <w:rFonts w:asciiTheme="majorHAnsi" w:hAnsiTheme="majorHAnsi" w:cstheme="majorHAnsi"/>
          <w:color w:val="auto"/>
          <w:lang w:val="en-US"/>
        </w:rPr>
        <w:t>perational Focal Point (O</w:t>
      </w:r>
      <w:r w:rsidRPr="005516CD">
        <w:rPr>
          <w:rFonts w:asciiTheme="majorHAnsi" w:hAnsiTheme="majorHAnsi" w:cstheme="majorHAnsi"/>
          <w:color w:val="auto"/>
          <w:lang w:val="en-US"/>
        </w:rPr>
        <w:t>FP</w:t>
      </w:r>
      <w:r w:rsidR="00362980" w:rsidRPr="005516CD">
        <w:rPr>
          <w:rFonts w:asciiTheme="majorHAnsi" w:hAnsiTheme="majorHAnsi" w:cstheme="majorHAnsi"/>
          <w:color w:val="auto"/>
          <w:lang w:val="en-US"/>
        </w:rPr>
        <w:t>)</w:t>
      </w:r>
      <w:r w:rsidRPr="005516CD">
        <w:rPr>
          <w:rFonts w:asciiTheme="majorHAnsi" w:hAnsiTheme="majorHAnsi" w:cstheme="majorHAnsi"/>
          <w:color w:val="auto"/>
          <w:lang w:val="en-US"/>
        </w:rPr>
        <w:t xml:space="preserve"> in M&amp;E;</w:t>
      </w:r>
    </w:p>
    <w:p w14:paraId="282FFAA5" w14:textId="77777777" w:rsidR="00E45267" w:rsidRPr="005516CD" w:rsidRDefault="00E45267" w:rsidP="00E45267">
      <w:pPr>
        <w:pStyle w:val="Body"/>
        <w:spacing w:after="0"/>
        <w:jc w:val="left"/>
        <w:rPr>
          <w:rFonts w:asciiTheme="majorHAnsi" w:hAnsiTheme="majorHAnsi" w:cstheme="majorHAnsi"/>
          <w:color w:val="auto"/>
        </w:rPr>
      </w:pPr>
      <w:r w:rsidRPr="005516CD">
        <w:rPr>
          <w:rFonts w:asciiTheme="majorHAnsi" w:hAnsiTheme="majorHAnsi" w:cstheme="majorHAnsi"/>
          <w:color w:val="auto"/>
          <w:lang w:val="en-US"/>
        </w:rPr>
        <w:t xml:space="preserve">e) 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14:paraId="53AF4F00" w14:textId="77777777" w:rsidR="00E45267" w:rsidRPr="005516CD" w:rsidRDefault="00E45267" w:rsidP="00E45267">
      <w:pPr>
        <w:pStyle w:val="Body"/>
        <w:spacing w:after="0"/>
        <w:jc w:val="left"/>
        <w:rPr>
          <w:rFonts w:asciiTheme="majorHAnsi" w:hAnsiTheme="majorHAnsi" w:cstheme="majorHAnsi"/>
          <w:color w:val="auto"/>
        </w:rPr>
      </w:pPr>
      <w:r w:rsidRPr="005516CD">
        <w:rPr>
          <w:rFonts w:asciiTheme="majorHAnsi" w:hAnsiTheme="majorHAnsi" w:cstheme="majorHAnsi"/>
          <w:color w:val="auto"/>
          <w:lang w:val="en-US"/>
        </w:rPr>
        <w:t>f) Review financial reporting procedures and mandatory requirements, and agree on the arrangements for the annual audit; and</w:t>
      </w:r>
    </w:p>
    <w:p w14:paraId="0776A2A6" w14:textId="77777777" w:rsidR="00E45267" w:rsidRPr="005516CD" w:rsidRDefault="00E45267" w:rsidP="00E45267">
      <w:pPr>
        <w:pStyle w:val="Body"/>
        <w:spacing w:after="0"/>
        <w:jc w:val="left"/>
        <w:rPr>
          <w:rFonts w:asciiTheme="majorHAnsi" w:hAnsiTheme="majorHAnsi" w:cstheme="majorHAnsi"/>
          <w:color w:val="auto"/>
        </w:rPr>
      </w:pPr>
      <w:r w:rsidRPr="005516CD">
        <w:rPr>
          <w:rFonts w:asciiTheme="majorHAnsi" w:hAnsiTheme="majorHAnsi" w:cstheme="majorHAnsi"/>
          <w:color w:val="auto"/>
          <w:lang w:val="en-US"/>
        </w:rPr>
        <w:t>g) Plan and schedule Project Board meetings and finalize the first year</w:t>
      </w:r>
      <w:r w:rsidR="00C25FA5" w:rsidRPr="005516CD">
        <w:rPr>
          <w:rFonts w:asciiTheme="majorHAnsi" w:hAnsiTheme="majorHAnsi" w:cstheme="majorHAnsi"/>
          <w:color w:val="auto"/>
          <w:lang w:val="en-US"/>
        </w:rPr>
        <w:t>’s</w:t>
      </w:r>
      <w:r w:rsidRPr="005516CD">
        <w:rPr>
          <w:rFonts w:asciiTheme="majorHAnsi" w:hAnsiTheme="majorHAnsi" w:cstheme="majorHAnsi"/>
          <w:color w:val="auto"/>
          <w:lang w:val="en-US"/>
        </w:rPr>
        <w:t xml:space="preserve"> annual work plan.  </w:t>
      </w:r>
    </w:p>
    <w:p w14:paraId="6D4A6024" w14:textId="77777777" w:rsidR="00E45267" w:rsidRPr="005516CD" w:rsidRDefault="00E45267" w:rsidP="00E45267">
      <w:pPr>
        <w:pStyle w:val="Body"/>
        <w:spacing w:after="0"/>
        <w:jc w:val="left"/>
        <w:rPr>
          <w:rFonts w:asciiTheme="majorHAnsi" w:hAnsiTheme="majorHAnsi" w:cstheme="majorHAnsi"/>
          <w:color w:val="auto"/>
        </w:rPr>
      </w:pPr>
    </w:p>
    <w:p w14:paraId="59573ADD" w14:textId="15259F08"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The </w:t>
      </w:r>
      <w:r w:rsidR="00250916" w:rsidRPr="005516CD">
        <w:rPr>
          <w:rFonts w:asciiTheme="majorHAnsi" w:hAnsiTheme="majorHAnsi" w:cstheme="majorHAnsi"/>
          <w:sz w:val="20"/>
          <w:szCs w:val="20"/>
          <w:lang w:val="en-US"/>
        </w:rPr>
        <w:t>P</w:t>
      </w:r>
      <w:r w:rsidR="00201734">
        <w:rPr>
          <w:rFonts w:asciiTheme="majorHAnsi" w:hAnsiTheme="majorHAnsi" w:cstheme="majorHAnsi"/>
          <w:sz w:val="20"/>
          <w:szCs w:val="20"/>
          <w:lang w:val="en-US"/>
        </w:rPr>
        <w:t>O</w:t>
      </w:r>
      <w:r w:rsidR="00250916" w:rsidRPr="005516CD">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 xml:space="preserve">will prepare the inception report no later than one month after the inception workshop. The </w:t>
      </w:r>
      <w:r w:rsidRPr="005516CD">
        <w:rPr>
          <w:rStyle w:val="Hyperlink2"/>
          <w:rFonts w:asciiTheme="majorHAnsi" w:hAnsiTheme="majorHAnsi" w:cstheme="majorHAnsi"/>
          <w:color w:val="auto"/>
          <w:sz w:val="20"/>
          <w:szCs w:val="20"/>
        </w:rPr>
        <w:t>inception</w:t>
      </w:r>
      <w:r w:rsidRPr="005516CD">
        <w:rPr>
          <w:rFonts w:asciiTheme="majorHAnsi" w:hAnsiTheme="majorHAnsi" w:cstheme="majorHAnsi"/>
          <w:sz w:val="20"/>
          <w:szCs w:val="20"/>
          <w:lang w:val="en-US"/>
        </w:rPr>
        <w:t xml:space="preserve"> </w:t>
      </w:r>
      <w:r w:rsidRPr="005516CD">
        <w:rPr>
          <w:rStyle w:val="None"/>
          <w:rFonts w:asciiTheme="majorHAnsi" w:hAnsiTheme="majorHAnsi" w:cstheme="majorHAnsi"/>
          <w:sz w:val="20"/>
          <w:szCs w:val="20"/>
        </w:rPr>
        <w:t>report</w:t>
      </w:r>
      <w:r w:rsidRPr="005516CD">
        <w:rPr>
          <w:rFonts w:asciiTheme="majorHAnsi" w:hAnsiTheme="majorHAnsi" w:cstheme="majorHAnsi"/>
          <w:sz w:val="20"/>
          <w:szCs w:val="20"/>
          <w:lang w:val="en-US"/>
        </w:rPr>
        <w:t xml:space="preserve"> will be cleared by the UNDP Country Office and the UNDP-GEF Regional Technical Adviser and will be approved by the Project Board.   </w:t>
      </w:r>
    </w:p>
    <w:p w14:paraId="027A1ECF" w14:textId="018C428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GEF Project Implementation Report (PIR</w:t>
      </w:r>
      <w:r w:rsidRPr="005516CD">
        <w:rPr>
          <w:rFonts w:asciiTheme="majorHAnsi" w:hAnsiTheme="majorHAnsi" w:cstheme="majorHAnsi"/>
          <w:sz w:val="20"/>
          <w:szCs w:val="20"/>
          <w:lang w:val="en-US"/>
        </w:rPr>
        <w:t xml:space="preserve">):  The </w:t>
      </w:r>
      <w:r w:rsidR="00250916" w:rsidRPr="005516CD">
        <w:rPr>
          <w:rFonts w:asciiTheme="majorHAnsi" w:hAnsiTheme="majorHAnsi" w:cstheme="majorHAnsi"/>
          <w:sz w:val="20"/>
          <w:szCs w:val="20"/>
          <w:lang w:val="en-US"/>
        </w:rPr>
        <w:t>P</w:t>
      </w:r>
      <w:r w:rsidR="00201734">
        <w:rPr>
          <w:rFonts w:asciiTheme="majorHAnsi" w:hAnsiTheme="majorHAnsi" w:cstheme="majorHAnsi"/>
          <w:sz w:val="20"/>
          <w:szCs w:val="20"/>
          <w:lang w:val="en-US"/>
        </w:rPr>
        <w:t>O</w:t>
      </w:r>
      <w:r w:rsidRPr="005516CD">
        <w:rPr>
          <w:rFonts w:asciiTheme="majorHAnsi" w:hAnsiTheme="majorHAnsi" w:cstheme="majorHAnsi"/>
          <w:sz w:val="20"/>
          <w:szCs w:val="20"/>
          <w:lang w:val="en-US"/>
        </w:rPr>
        <w:t xml:space="preserve">, the UNDP Country Office, </w:t>
      </w:r>
      <w:r w:rsidR="0038553C" w:rsidRPr="005516CD">
        <w:rPr>
          <w:rFonts w:asciiTheme="majorHAnsi" w:hAnsiTheme="majorHAnsi" w:cstheme="majorHAnsi"/>
          <w:sz w:val="20"/>
          <w:szCs w:val="20"/>
          <w:lang w:val="en-US"/>
        </w:rPr>
        <w:t xml:space="preserve">the FAO Country Office </w:t>
      </w:r>
      <w:r w:rsidRPr="005516CD">
        <w:rPr>
          <w:rFonts w:asciiTheme="majorHAnsi" w:hAnsiTheme="majorHAnsi" w:cstheme="majorHAnsi"/>
          <w:sz w:val="20"/>
          <w:szCs w:val="20"/>
          <w:lang w:val="en-US"/>
        </w:rPr>
        <w:t xml:space="preserve">and the UNDP-GEF Regional Technical Advisor will provide objective input to the annual GEF PIR covering the reporting period July (previous year) to June (current year) for each year of project implementation. The Project </w:t>
      </w:r>
      <w:r w:rsidR="00201734">
        <w:rPr>
          <w:rFonts w:asciiTheme="majorHAnsi" w:hAnsiTheme="majorHAnsi" w:cstheme="majorHAnsi"/>
          <w:sz w:val="20"/>
          <w:szCs w:val="20"/>
          <w:lang w:val="en-US"/>
        </w:rPr>
        <w:t>Officer</w:t>
      </w:r>
      <w:r w:rsidRPr="005516CD">
        <w:rPr>
          <w:rFonts w:asciiTheme="majorHAnsi" w:hAnsiTheme="majorHAnsi" w:cstheme="majorHAnsi"/>
          <w:sz w:val="20"/>
          <w:szCs w:val="20"/>
          <w:lang w:val="en-US"/>
        </w:rPr>
        <w:t xml:space="preserve"> will ensure that the indicators included in the project results framework are monitored annually in advance of the PIR </w:t>
      </w:r>
      <w:r w:rsidRPr="005516CD">
        <w:rPr>
          <w:rStyle w:val="Hyperlink2"/>
          <w:rFonts w:asciiTheme="majorHAnsi" w:hAnsiTheme="majorHAnsi" w:cstheme="majorHAnsi"/>
          <w:color w:val="auto"/>
          <w:sz w:val="20"/>
          <w:szCs w:val="20"/>
        </w:rPr>
        <w:t>submission</w:t>
      </w:r>
      <w:r w:rsidRPr="005516CD">
        <w:rPr>
          <w:rFonts w:asciiTheme="majorHAnsi" w:hAnsiTheme="majorHAnsi" w:cstheme="majorHAnsi"/>
          <w:sz w:val="20"/>
          <w:szCs w:val="20"/>
          <w:lang w:val="en-US"/>
        </w:rPr>
        <w:t xml:space="preserve"> deadline so that progress can be reported in the PIR. Any environmental and social risks and related management plans will be monitored regularly, and progress will be reported in the PIR. </w:t>
      </w:r>
    </w:p>
    <w:p w14:paraId="21FC9B9B"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The PIR submitted to the GEF will be shared with the Project Board. The UNDP Country Office will coordinate the input of the </w:t>
      </w:r>
      <w:r w:rsidRPr="005516CD">
        <w:rPr>
          <w:rStyle w:val="Hyperlink2"/>
          <w:rFonts w:asciiTheme="majorHAnsi" w:hAnsiTheme="majorHAnsi" w:cstheme="majorHAnsi"/>
          <w:color w:val="auto"/>
          <w:sz w:val="20"/>
          <w:szCs w:val="20"/>
        </w:rPr>
        <w:t>GEF</w:t>
      </w:r>
      <w:r w:rsidRPr="005516CD">
        <w:rPr>
          <w:rFonts w:asciiTheme="majorHAnsi" w:hAnsiTheme="majorHAnsi" w:cstheme="majorHAnsi"/>
          <w:sz w:val="20"/>
          <w:szCs w:val="20"/>
          <w:lang w:val="en-US"/>
        </w:rPr>
        <w:t xml:space="preserve"> Operational Focal Point and other stakeholders to the PIR as appropriate. The quality rating of the </w:t>
      </w:r>
      <w:r w:rsidRPr="005516CD">
        <w:rPr>
          <w:rStyle w:val="None"/>
          <w:rFonts w:asciiTheme="majorHAnsi" w:hAnsiTheme="majorHAnsi" w:cstheme="majorHAnsi"/>
          <w:sz w:val="20"/>
          <w:szCs w:val="20"/>
        </w:rPr>
        <w:t>previous</w:t>
      </w:r>
      <w:r w:rsidRPr="005516CD">
        <w:rPr>
          <w:rFonts w:asciiTheme="majorHAnsi" w:hAnsiTheme="majorHAnsi" w:cstheme="majorHAnsi"/>
          <w:sz w:val="20"/>
          <w:szCs w:val="20"/>
          <w:lang w:val="en-US"/>
        </w:rPr>
        <w:t xml:space="preserve"> year</w:t>
      </w:r>
      <w:r w:rsidRPr="005516CD">
        <w:rPr>
          <w:rFonts w:asciiTheme="majorHAnsi" w:hAnsiTheme="majorHAnsi" w:cstheme="majorHAnsi"/>
          <w:sz w:val="20"/>
          <w:szCs w:val="20"/>
        </w:rPr>
        <w:t>’</w:t>
      </w:r>
      <w:r w:rsidRPr="005516CD">
        <w:rPr>
          <w:rFonts w:asciiTheme="majorHAnsi" w:hAnsiTheme="majorHAnsi" w:cstheme="majorHAnsi"/>
          <w:sz w:val="20"/>
          <w:szCs w:val="20"/>
          <w:lang w:val="en-US"/>
        </w:rPr>
        <w:t xml:space="preserve">s PIR will be used to inform the preparation of the subsequent PIR.  </w:t>
      </w:r>
    </w:p>
    <w:p w14:paraId="72EA49D2"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sz w:val="20"/>
          <w:szCs w:val="20"/>
        </w:rPr>
      </w:pPr>
      <w:r w:rsidRPr="005516CD">
        <w:rPr>
          <w:rStyle w:val="None"/>
          <w:rFonts w:asciiTheme="majorHAnsi" w:hAnsiTheme="majorHAnsi" w:cstheme="majorHAnsi"/>
          <w:sz w:val="20"/>
          <w:szCs w:val="20"/>
          <w:u w:val="single"/>
        </w:rPr>
        <w:t>Lessons learned and knowledge generation</w:t>
      </w:r>
      <w:r w:rsidRPr="005516CD">
        <w:rPr>
          <w:rStyle w:val="Hyperlink8"/>
          <w:rFonts w:asciiTheme="majorHAnsi" w:hAnsiTheme="majorHAnsi" w:cstheme="majorHAnsi"/>
          <w:sz w:val="20"/>
          <w:szCs w:val="20"/>
        </w:rPr>
        <w:t xml:space="preserve">:  Results from the project will be disseminated within and beyond the project </w:t>
      </w:r>
      <w:r w:rsidRPr="005516CD">
        <w:rPr>
          <w:rStyle w:val="None"/>
          <w:rFonts w:asciiTheme="majorHAnsi" w:hAnsiTheme="majorHAnsi" w:cstheme="majorHAnsi"/>
          <w:sz w:val="20"/>
          <w:szCs w:val="20"/>
        </w:rPr>
        <w:t>intervention</w:t>
      </w:r>
      <w:r w:rsidRPr="005516CD">
        <w:rPr>
          <w:rStyle w:val="Hyperlink8"/>
          <w:rFonts w:asciiTheme="majorHAnsi" w:hAnsiTheme="majorHAnsi" w:cstheme="majorHAnsi"/>
          <w:sz w:val="20"/>
          <w:szCs w:val="20"/>
        </w:rPr>
        <w:t xml:space="preserve"> area through existing information </w:t>
      </w:r>
      <w:r w:rsidRPr="005516CD">
        <w:rPr>
          <w:rFonts w:asciiTheme="majorHAnsi" w:hAnsiTheme="majorHAnsi" w:cstheme="majorHAnsi"/>
          <w:sz w:val="20"/>
          <w:szCs w:val="20"/>
          <w:lang w:val="en-US"/>
        </w:rPr>
        <w:t>sharing</w:t>
      </w:r>
      <w:r w:rsidRPr="005516CD">
        <w:rPr>
          <w:rStyle w:val="Hyperlink8"/>
          <w:rFonts w:asciiTheme="majorHAnsi" w:hAnsiTheme="majorHAnsi" w:cstheme="majorHAnsi"/>
          <w:sz w:val="20"/>
          <w:szCs w:val="20"/>
        </w:rPr>
        <w:t xml:space="preserve"> networks and forums. The project will identify and participate, as relevant and appropriate, in scientific, policy-based and/or any other networks, which may be of benefit to the project. The project will identify, </w:t>
      </w:r>
      <w:proofErr w:type="spellStart"/>
      <w:r w:rsidRPr="005516CD">
        <w:rPr>
          <w:rStyle w:val="Hyperlink8"/>
          <w:rFonts w:asciiTheme="majorHAnsi" w:hAnsiTheme="majorHAnsi" w:cstheme="majorHAnsi"/>
          <w:sz w:val="20"/>
          <w:szCs w:val="20"/>
        </w:rPr>
        <w:t>analyse</w:t>
      </w:r>
      <w:proofErr w:type="spellEnd"/>
      <w:r w:rsidRPr="005516CD">
        <w:rPr>
          <w:rStyle w:val="Hyperlink8"/>
          <w:rFonts w:asciiTheme="majorHAnsi" w:hAnsiTheme="majorHAnsi" w:cstheme="majorHAnsi"/>
          <w:sz w:val="20"/>
          <w:szCs w:val="20"/>
        </w:rPr>
        <w:t xml:space="preserv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211EFD32"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Independent Mid-term Review (MTR)</w:t>
      </w:r>
      <w:r w:rsidRPr="005516CD">
        <w:rPr>
          <w:rFonts w:asciiTheme="majorHAnsi" w:hAnsiTheme="majorHAnsi" w:cstheme="majorHAnsi"/>
          <w:sz w:val="20"/>
          <w:szCs w:val="20"/>
          <w:lang w:val="en-US"/>
        </w:rPr>
        <w:t xml:space="preserve">:  An </w:t>
      </w:r>
      <w:r w:rsidRPr="005516CD">
        <w:rPr>
          <w:rStyle w:val="Hyperlink8"/>
          <w:rFonts w:asciiTheme="majorHAnsi" w:hAnsiTheme="majorHAnsi" w:cstheme="majorHAnsi"/>
          <w:sz w:val="20"/>
          <w:szCs w:val="20"/>
        </w:rPr>
        <w:t>independent</w:t>
      </w:r>
      <w:r w:rsidRPr="005516CD">
        <w:rPr>
          <w:rFonts w:asciiTheme="majorHAnsi" w:hAnsiTheme="majorHAnsi" w:cstheme="majorHAnsi"/>
          <w:sz w:val="20"/>
          <w:szCs w:val="20"/>
          <w:lang w:val="en-US"/>
        </w:rPr>
        <w:t xml:space="preserve"> mid-term review process will begin after the second PIR has been submitted to the GEF, and the MTR report will be submitted to the GEF in the same year as the 3</w:t>
      </w:r>
      <w:proofErr w:type="spellStart"/>
      <w:r w:rsidRPr="005516CD">
        <w:rPr>
          <w:rStyle w:val="None"/>
          <w:rFonts w:asciiTheme="majorHAnsi" w:hAnsiTheme="majorHAnsi" w:cstheme="majorHAnsi"/>
          <w:sz w:val="20"/>
          <w:szCs w:val="20"/>
          <w:vertAlign w:val="superscript"/>
        </w:rPr>
        <w:t>rd</w:t>
      </w:r>
      <w:proofErr w:type="spellEnd"/>
      <w:r w:rsidRPr="005516CD">
        <w:rPr>
          <w:rFonts w:asciiTheme="majorHAnsi" w:hAnsiTheme="majorHAnsi" w:cstheme="majorHAnsi"/>
          <w:sz w:val="20"/>
          <w:szCs w:val="20"/>
          <w:lang w:val="en-US"/>
        </w:rPr>
        <w:t xml:space="preserve"> PIR. The MTR findings and responses </w:t>
      </w:r>
      <w:r w:rsidRPr="005516CD">
        <w:rPr>
          <w:rStyle w:val="Hyperlink2"/>
          <w:rFonts w:asciiTheme="majorHAnsi" w:hAnsiTheme="majorHAnsi" w:cstheme="majorHAnsi"/>
          <w:color w:val="auto"/>
          <w:sz w:val="20"/>
          <w:szCs w:val="20"/>
        </w:rPr>
        <w:t>outlined</w:t>
      </w:r>
      <w:r w:rsidRPr="005516CD">
        <w:rPr>
          <w:rFonts w:asciiTheme="majorHAnsi" w:hAnsiTheme="majorHAnsi" w:cstheme="majorHAnsi"/>
          <w:sz w:val="20"/>
          <w:szCs w:val="20"/>
          <w:lang w:val="en-US"/>
        </w:rPr>
        <w:t xml:space="preserve"> in the management response will be incorporated as recommendations for </w:t>
      </w:r>
      <w:r w:rsidRPr="005516CD">
        <w:rPr>
          <w:rStyle w:val="None"/>
          <w:rFonts w:asciiTheme="majorHAnsi" w:hAnsiTheme="majorHAnsi" w:cstheme="majorHAnsi"/>
          <w:sz w:val="20"/>
          <w:szCs w:val="20"/>
        </w:rPr>
        <w:t>enhanced</w:t>
      </w:r>
      <w:r w:rsidRPr="005516CD">
        <w:rPr>
          <w:rFonts w:asciiTheme="majorHAnsi" w:hAnsiTheme="majorHAnsi" w:cstheme="majorHAnsi"/>
          <w:sz w:val="20"/>
          <w:szCs w:val="20"/>
          <w:lang w:val="en-US"/>
        </w:rPr>
        <w:t xml:space="preserve"> implementation during the final half of the project</w:t>
      </w:r>
      <w:r w:rsidRPr="005516CD">
        <w:rPr>
          <w:rFonts w:asciiTheme="majorHAnsi" w:hAnsiTheme="majorHAnsi" w:cstheme="majorHAnsi"/>
          <w:sz w:val="20"/>
          <w:szCs w:val="20"/>
        </w:rPr>
        <w:t>’</w:t>
      </w:r>
      <w:r w:rsidRPr="005516CD">
        <w:rPr>
          <w:rFonts w:asciiTheme="majorHAnsi" w:hAnsiTheme="majorHAnsi" w:cstheme="majorHAnsi"/>
          <w:sz w:val="20"/>
          <w:szCs w:val="20"/>
          <w:lang w:val="en-US"/>
        </w:rPr>
        <w:t xml:space="preserve">s duration. The terms of reference, the review process and the MTR report will follow the standard templates and guidance prepared by the UNDP IEO for GEF-financed projects available on the </w:t>
      </w:r>
      <w:hyperlink r:id="rId67" w:anchor="gef" w:history="1">
        <w:r w:rsidRPr="005516CD">
          <w:rPr>
            <w:rStyle w:val="Link"/>
            <w:rFonts w:asciiTheme="majorHAnsi" w:hAnsiTheme="majorHAnsi" w:cstheme="majorHAnsi"/>
            <w:color w:val="auto"/>
            <w:sz w:val="20"/>
            <w:szCs w:val="20"/>
            <w:lang w:val="en-US"/>
          </w:rPr>
          <w:t>UNDP Evaluation Resource Center</w:t>
        </w:r>
      </w:hyperlink>
      <w:r w:rsidRPr="005516CD">
        <w:rPr>
          <w:rStyle w:val="Link"/>
          <w:rFonts w:asciiTheme="majorHAnsi" w:hAnsiTheme="majorHAnsi" w:cstheme="majorHAnsi"/>
          <w:color w:val="auto"/>
          <w:sz w:val="20"/>
          <w:szCs w:val="20"/>
        </w:rPr>
        <w:t xml:space="preserve"> (ERC).</w:t>
      </w:r>
      <w:r w:rsidRPr="005516CD">
        <w:rPr>
          <w:rFonts w:asciiTheme="majorHAnsi" w:hAnsiTheme="majorHAnsi" w:cstheme="majorHAnsi"/>
          <w:sz w:val="20"/>
          <w:szCs w:val="20"/>
          <w:lang w:val="en-US"/>
        </w:rPr>
        <w:t xml:space="preserve"> As noted in this guidance, the evaluation will be </w:t>
      </w:r>
      <w:r w:rsidRPr="005516CD">
        <w:rPr>
          <w:rFonts w:asciiTheme="majorHAnsi" w:hAnsiTheme="majorHAnsi" w:cstheme="majorHAnsi"/>
          <w:sz w:val="20"/>
          <w:szCs w:val="20"/>
        </w:rPr>
        <w:t>‘</w:t>
      </w:r>
      <w:r w:rsidRPr="005516CD">
        <w:rPr>
          <w:rFonts w:asciiTheme="majorHAnsi" w:hAnsiTheme="majorHAnsi" w:cstheme="majorHAnsi"/>
          <w:sz w:val="20"/>
          <w:szCs w:val="20"/>
          <w:lang w:val="en-US"/>
        </w:rPr>
        <w:t>independent, impartial and rigorous</w:t>
      </w:r>
      <w:r w:rsidRPr="005516CD">
        <w:rPr>
          <w:rFonts w:asciiTheme="majorHAnsi" w:hAnsiTheme="majorHAnsi" w:cstheme="majorHAnsi"/>
          <w:sz w:val="20"/>
          <w:szCs w:val="20"/>
        </w:rPr>
        <w:t>’</w:t>
      </w:r>
      <w:r w:rsidRPr="005516CD">
        <w:rPr>
          <w:rFonts w:asciiTheme="majorHAnsi" w:hAnsiTheme="majorHAnsi" w:cstheme="majorHAnsi"/>
          <w:sz w:val="20"/>
          <w:szCs w:val="20"/>
          <w:lang w:val="en-US"/>
        </w:rPr>
        <w:t xml:space="preserve">.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MTR report will be available in English and will be cleared by the UNDP Country Office and the UNDP-GEF Regional Technical </w:t>
      </w:r>
      <w:proofErr w:type="gramStart"/>
      <w:r w:rsidRPr="005516CD">
        <w:rPr>
          <w:rFonts w:asciiTheme="majorHAnsi" w:hAnsiTheme="majorHAnsi" w:cstheme="majorHAnsi"/>
          <w:sz w:val="20"/>
          <w:szCs w:val="20"/>
          <w:lang w:val="en-US"/>
        </w:rPr>
        <w:t>Adviser, and</w:t>
      </w:r>
      <w:proofErr w:type="gramEnd"/>
      <w:r w:rsidRPr="005516CD">
        <w:rPr>
          <w:rFonts w:asciiTheme="majorHAnsi" w:hAnsiTheme="majorHAnsi" w:cstheme="majorHAnsi"/>
          <w:sz w:val="20"/>
          <w:szCs w:val="20"/>
          <w:lang w:val="en-US"/>
        </w:rPr>
        <w:t xml:space="preserve"> approved by the Project Board.   </w:t>
      </w:r>
    </w:p>
    <w:p w14:paraId="3CE41D0A" w14:textId="7CE0E3A5"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Terminal Evaluation (TE)</w:t>
      </w:r>
      <w:r w:rsidRPr="005516CD">
        <w:rPr>
          <w:rFonts w:asciiTheme="majorHAnsi" w:hAnsiTheme="majorHAnsi" w:cstheme="majorHAnsi"/>
          <w:sz w:val="20"/>
          <w:szCs w:val="20"/>
          <w:lang w:val="en-US"/>
        </w:rPr>
        <w:t xml:space="preserve">:  An </w:t>
      </w:r>
      <w:r w:rsidRPr="005516CD">
        <w:rPr>
          <w:rStyle w:val="None"/>
          <w:rFonts w:asciiTheme="majorHAnsi" w:hAnsiTheme="majorHAnsi" w:cstheme="majorHAnsi"/>
          <w:sz w:val="20"/>
          <w:szCs w:val="20"/>
        </w:rPr>
        <w:t>independent</w:t>
      </w:r>
      <w:r w:rsidRPr="005516CD">
        <w:rPr>
          <w:rFonts w:asciiTheme="majorHAnsi" w:hAnsiTheme="majorHAnsi" w:cstheme="majorHAnsi"/>
          <w:sz w:val="20"/>
          <w:szCs w:val="20"/>
          <w:lang w:val="en-US"/>
        </w:rPr>
        <w:t xml:space="preserve">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w:t>
      </w:r>
      <w:r w:rsidRPr="005516CD">
        <w:rPr>
          <w:rStyle w:val="Hyperlink2"/>
          <w:rFonts w:asciiTheme="majorHAnsi" w:hAnsiTheme="majorHAnsi" w:cstheme="majorHAnsi"/>
          <w:color w:val="auto"/>
          <w:sz w:val="20"/>
          <w:szCs w:val="20"/>
        </w:rPr>
        <w:t>aspects</w:t>
      </w:r>
      <w:r w:rsidRPr="005516CD">
        <w:rPr>
          <w:rFonts w:asciiTheme="majorHAnsi" w:hAnsiTheme="majorHAnsi" w:cstheme="majorHAnsi"/>
          <w:sz w:val="20"/>
          <w:szCs w:val="20"/>
          <w:lang w:val="en-US"/>
        </w:rPr>
        <w:t xml:space="preserve"> such as project sustainability. The </w:t>
      </w:r>
      <w:r w:rsidR="00250916" w:rsidRPr="005516CD">
        <w:rPr>
          <w:rFonts w:asciiTheme="majorHAnsi" w:hAnsiTheme="majorHAnsi" w:cstheme="majorHAnsi"/>
          <w:sz w:val="20"/>
          <w:szCs w:val="20"/>
          <w:lang w:val="en-US"/>
        </w:rPr>
        <w:t>P</w:t>
      </w:r>
      <w:r w:rsidR="00201734">
        <w:rPr>
          <w:rFonts w:asciiTheme="majorHAnsi" w:hAnsiTheme="majorHAnsi" w:cstheme="majorHAnsi"/>
          <w:sz w:val="20"/>
          <w:szCs w:val="20"/>
          <w:lang w:val="en-US"/>
        </w:rPr>
        <w:t>O</w:t>
      </w:r>
      <w:r w:rsidR="00250916" w:rsidRPr="005516CD">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 xml:space="preserve">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68" w:anchor="gef" w:history="1">
        <w:r w:rsidRPr="005516CD">
          <w:rPr>
            <w:rStyle w:val="Link"/>
            <w:rFonts w:asciiTheme="majorHAnsi" w:hAnsiTheme="majorHAnsi" w:cstheme="majorHAnsi"/>
            <w:color w:val="auto"/>
            <w:sz w:val="20"/>
            <w:szCs w:val="20"/>
            <w:lang w:val="en-US"/>
          </w:rPr>
          <w:t>UNDP Evaluation Resource Center</w:t>
        </w:r>
      </w:hyperlink>
      <w:r w:rsidRPr="005516CD">
        <w:rPr>
          <w:rStyle w:val="Link"/>
          <w:rFonts w:asciiTheme="majorHAnsi" w:hAnsiTheme="majorHAnsi" w:cstheme="majorHAnsi"/>
          <w:color w:val="auto"/>
          <w:sz w:val="20"/>
          <w:szCs w:val="20"/>
        </w:rPr>
        <w:t>.</w:t>
      </w:r>
      <w:r w:rsidRPr="005516CD">
        <w:rPr>
          <w:rFonts w:asciiTheme="majorHAnsi" w:hAnsiTheme="majorHAnsi" w:cstheme="majorHAnsi"/>
          <w:sz w:val="20"/>
          <w:szCs w:val="20"/>
          <w:lang w:val="en-US"/>
        </w:rPr>
        <w:t xml:space="preserve"> As noted in this guidance, the evaluation will be </w:t>
      </w:r>
      <w:r w:rsidRPr="005516CD">
        <w:rPr>
          <w:rFonts w:asciiTheme="majorHAnsi" w:hAnsiTheme="majorHAnsi" w:cstheme="majorHAnsi"/>
          <w:sz w:val="20"/>
          <w:szCs w:val="20"/>
        </w:rPr>
        <w:t>‘</w:t>
      </w:r>
      <w:r w:rsidRPr="005516CD">
        <w:rPr>
          <w:rFonts w:asciiTheme="majorHAnsi" w:hAnsiTheme="majorHAnsi" w:cstheme="majorHAnsi"/>
          <w:sz w:val="20"/>
          <w:szCs w:val="20"/>
          <w:lang w:val="en-US"/>
        </w:rPr>
        <w:t>independent, impartial and rigorous</w:t>
      </w:r>
      <w:r w:rsidRPr="005516CD">
        <w:rPr>
          <w:rFonts w:asciiTheme="majorHAnsi" w:hAnsiTheme="majorHAnsi" w:cstheme="majorHAnsi"/>
          <w:sz w:val="20"/>
          <w:szCs w:val="20"/>
        </w:rPr>
        <w:t>’</w:t>
      </w:r>
      <w:r w:rsidRPr="005516CD">
        <w:rPr>
          <w:rFonts w:asciiTheme="majorHAnsi" w:hAnsiTheme="majorHAnsi" w:cstheme="majorHAnsi"/>
          <w:sz w:val="20"/>
          <w:szCs w:val="20"/>
          <w:lang w:val="en-US"/>
        </w:rPr>
        <w:t xml:space="preserve">.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 Country Office and the UNDP-GEF Regional Technical </w:t>
      </w:r>
      <w:proofErr w:type="gramStart"/>
      <w:r w:rsidRPr="005516CD">
        <w:rPr>
          <w:rFonts w:asciiTheme="majorHAnsi" w:hAnsiTheme="majorHAnsi" w:cstheme="majorHAnsi"/>
          <w:sz w:val="20"/>
          <w:szCs w:val="20"/>
          <w:lang w:val="en-US"/>
        </w:rPr>
        <w:t>Adviser, and</w:t>
      </w:r>
      <w:proofErr w:type="gramEnd"/>
      <w:r w:rsidRPr="005516CD">
        <w:rPr>
          <w:rFonts w:asciiTheme="majorHAnsi" w:hAnsiTheme="majorHAnsi" w:cstheme="majorHAnsi"/>
          <w:sz w:val="20"/>
          <w:szCs w:val="20"/>
          <w:lang w:val="en-US"/>
        </w:rPr>
        <w:t xml:space="preserve"> will be approved by the Project Board.  The TE report will be </w:t>
      </w:r>
      <w:proofErr w:type="spellStart"/>
      <w:r w:rsidRPr="005516CD">
        <w:rPr>
          <w:rFonts w:asciiTheme="majorHAnsi" w:hAnsiTheme="majorHAnsi" w:cstheme="majorHAnsi"/>
          <w:sz w:val="20"/>
          <w:szCs w:val="20"/>
          <w:lang w:val="en-US"/>
        </w:rPr>
        <w:t>publically</w:t>
      </w:r>
      <w:proofErr w:type="spellEnd"/>
      <w:r w:rsidRPr="005516CD">
        <w:rPr>
          <w:rFonts w:asciiTheme="majorHAnsi" w:hAnsiTheme="majorHAnsi" w:cstheme="majorHAnsi"/>
          <w:sz w:val="20"/>
          <w:szCs w:val="20"/>
          <w:lang w:val="en-US"/>
        </w:rPr>
        <w:t xml:space="preserve"> available in English on the UNDP ERC.  </w:t>
      </w:r>
    </w:p>
    <w:p w14:paraId="163AD31D" w14:textId="2838833D"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The UNDP Country Office will include the planned project terminal evaluation in the UNDP Country Office evaluation </w:t>
      </w:r>
      <w:proofErr w:type="gramStart"/>
      <w:r w:rsidRPr="005516CD">
        <w:rPr>
          <w:rFonts w:asciiTheme="majorHAnsi" w:hAnsiTheme="majorHAnsi" w:cstheme="majorHAnsi"/>
          <w:sz w:val="20"/>
          <w:szCs w:val="20"/>
          <w:lang w:val="en-US"/>
        </w:rPr>
        <w:t>plan,</w:t>
      </w:r>
      <w:r w:rsidR="00CE36B9">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and</w:t>
      </w:r>
      <w:proofErr w:type="gramEnd"/>
      <w:r w:rsidRPr="005516CD">
        <w:rPr>
          <w:rFonts w:asciiTheme="majorHAnsi" w:hAnsiTheme="majorHAnsi" w:cstheme="majorHAnsi"/>
          <w:sz w:val="20"/>
          <w:szCs w:val="20"/>
          <w:lang w:val="en-US"/>
        </w:rPr>
        <w:t xml:space="preserve"> will upload the final terminal evaluation report in English and the corresponding management </w:t>
      </w:r>
      <w:r w:rsidRPr="005516CD">
        <w:rPr>
          <w:rStyle w:val="Hyperlink2"/>
          <w:rFonts w:asciiTheme="majorHAnsi" w:hAnsiTheme="majorHAnsi" w:cstheme="majorHAnsi"/>
          <w:color w:val="auto"/>
          <w:sz w:val="20"/>
          <w:szCs w:val="20"/>
        </w:rPr>
        <w:t>response</w:t>
      </w:r>
      <w:r w:rsidRPr="005516CD">
        <w:rPr>
          <w:rFonts w:asciiTheme="majorHAnsi" w:hAnsiTheme="majorHAnsi" w:cstheme="majorHAnsi"/>
          <w:sz w:val="20"/>
          <w:szCs w:val="20"/>
          <w:lang w:val="en-US"/>
        </w:rPr>
        <w:t xml:space="preserve"> to the UNDP Evaluation Resource Centre (ERC). Once uploaded to the ERC, the UNDP IEO will undertake a quality assessment and validate the findings and ratings in the TE </w:t>
      </w:r>
      <w:proofErr w:type="gramStart"/>
      <w:r w:rsidRPr="005516CD">
        <w:rPr>
          <w:rFonts w:asciiTheme="majorHAnsi" w:hAnsiTheme="majorHAnsi" w:cstheme="majorHAnsi"/>
          <w:sz w:val="20"/>
          <w:szCs w:val="20"/>
          <w:lang w:val="en-US"/>
        </w:rPr>
        <w:t>report, and</w:t>
      </w:r>
      <w:proofErr w:type="gramEnd"/>
      <w:r w:rsidRPr="005516CD">
        <w:rPr>
          <w:rFonts w:asciiTheme="majorHAnsi" w:hAnsiTheme="majorHAnsi" w:cstheme="majorHAnsi"/>
          <w:sz w:val="20"/>
          <w:szCs w:val="20"/>
          <w:lang w:val="en-US"/>
        </w:rPr>
        <w:t xml:space="preserve"> rate the quality of the TE report.  The UNDP IEO assessment report will be sent to the GEF IEO along with the project terminal evaluation report.</w:t>
      </w:r>
    </w:p>
    <w:p w14:paraId="69C1C823"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Style w:val="None"/>
          <w:rFonts w:asciiTheme="majorHAnsi" w:hAnsiTheme="majorHAnsi" w:cstheme="majorHAnsi"/>
          <w:sz w:val="20"/>
          <w:szCs w:val="20"/>
          <w:u w:val="single"/>
        </w:rPr>
        <w:t>Final Report</w:t>
      </w:r>
      <w:r w:rsidRPr="005516CD">
        <w:rPr>
          <w:rFonts w:asciiTheme="majorHAnsi" w:hAnsiTheme="majorHAnsi" w:cstheme="majorHAnsi"/>
          <w:sz w:val="20"/>
          <w:szCs w:val="20"/>
          <w:lang w:val="en-US"/>
        </w:rPr>
        <w:t xml:space="preserve">: The </w:t>
      </w:r>
      <w:r w:rsidRPr="005516CD">
        <w:rPr>
          <w:rStyle w:val="None"/>
          <w:rFonts w:asciiTheme="majorHAnsi" w:hAnsiTheme="majorHAnsi" w:cstheme="majorHAnsi"/>
          <w:sz w:val="20"/>
          <w:szCs w:val="20"/>
        </w:rPr>
        <w:t>project’s</w:t>
      </w:r>
      <w:r w:rsidRPr="005516CD">
        <w:rPr>
          <w:rFonts w:asciiTheme="majorHAnsi" w:hAnsiTheme="majorHAnsi" w:cstheme="majorHAnsi"/>
          <w:sz w:val="20"/>
          <w:szCs w:val="20"/>
          <w:lang w:val="en-US"/>
        </w:rPr>
        <w:t xml:space="preserve"> terminal PIR (to be prepared by UNDP) along with the UNDP and FAO terminal evaluation (TE) reports and corresponding management response will serve as the final project report package. The final project report package shall be discussed with the </w:t>
      </w:r>
      <w:r w:rsidRPr="005516CD">
        <w:rPr>
          <w:rStyle w:val="Hyperlink2"/>
          <w:rFonts w:asciiTheme="majorHAnsi" w:hAnsiTheme="majorHAnsi" w:cstheme="majorHAnsi"/>
          <w:color w:val="auto"/>
          <w:sz w:val="20"/>
          <w:szCs w:val="20"/>
        </w:rPr>
        <w:t>Project</w:t>
      </w:r>
      <w:r w:rsidRPr="005516CD">
        <w:rPr>
          <w:rFonts w:asciiTheme="majorHAnsi" w:hAnsiTheme="majorHAnsi" w:cstheme="majorHAnsi"/>
          <w:sz w:val="20"/>
          <w:szCs w:val="20"/>
          <w:lang w:val="en-US"/>
        </w:rPr>
        <w:t xml:space="preserve"> Board during an end-of-project review meeting to discuss lesson learned and opportunities for scaling up.    </w:t>
      </w:r>
    </w:p>
    <w:p w14:paraId="4A27E74B" w14:textId="77777777" w:rsidR="00E45267" w:rsidRPr="005516CD" w:rsidRDefault="001E6E8C" w:rsidP="00E45267">
      <w:pPr>
        <w:keepNext/>
        <w:rPr>
          <w:rStyle w:val="None"/>
          <w:rFonts w:asciiTheme="majorHAnsi" w:hAnsiTheme="majorHAnsi" w:cstheme="majorHAnsi"/>
          <w:b/>
          <w:bCs/>
          <w:sz w:val="22"/>
        </w:rPr>
      </w:pPr>
      <w:r w:rsidRPr="005516CD">
        <w:rPr>
          <w:rStyle w:val="None"/>
          <w:rFonts w:asciiTheme="majorHAnsi" w:hAnsiTheme="majorHAnsi" w:cstheme="majorHAnsi"/>
          <w:b/>
          <w:bCs/>
          <w:sz w:val="22"/>
        </w:rPr>
        <w:t xml:space="preserve">Table 16. </w:t>
      </w:r>
      <w:r w:rsidR="00E45267" w:rsidRPr="005516CD">
        <w:rPr>
          <w:rStyle w:val="None"/>
          <w:rFonts w:asciiTheme="majorHAnsi" w:hAnsiTheme="majorHAnsi" w:cstheme="majorHAnsi"/>
          <w:b/>
          <w:bCs/>
          <w:sz w:val="22"/>
        </w:rPr>
        <w:t xml:space="preserve">Mandatory GEF M&amp;E Requirements and M&amp;E Budget: </w:t>
      </w:r>
    </w:p>
    <w:p w14:paraId="77E0F665" w14:textId="77777777" w:rsidR="00E45267" w:rsidRPr="005516CD" w:rsidRDefault="00E45267" w:rsidP="00E45267">
      <w:pPr>
        <w:keepNex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31"/>
        <w:gridCol w:w="1670"/>
        <w:gridCol w:w="1820"/>
        <w:gridCol w:w="1165"/>
        <w:gridCol w:w="2024"/>
      </w:tblGrid>
      <w:tr w:rsidR="00E45267" w:rsidRPr="005516CD" w14:paraId="5C88B309" w14:textId="77777777" w:rsidTr="009137BC">
        <w:trPr>
          <w:tblHeader/>
          <w:jc w:val="center"/>
        </w:trPr>
        <w:tc>
          <w:tcPr>
            <w:tcW w:w="2331" w:type="dxa"/>
            <w:vMerge w:val="restart"/>
            <w:shd w:val="clear" w:color="auto" w:fill="BFBFBF"/>
          </w:tcPr>
          <w:p w14:paraId="0C596BD8" w14:textId="77777777" w:rsidR="00E45267" w:rsidRPr="005516CD" w:rsidRDefault="00E45267" w:rsidP="00E45267">
            <w:pPr>
              <w:jc w:val="center"/>
              <w:rPr>
                <w:rFonts w:asciiTheme="majorHAnsi" w:hAnsiTheme="majorHAnsi" w:cstheme="majorHAnsi"/>
                <w:b/>
                <w:sz w:val="20"/>
                <w:szCs w:val="20"/>
              </w:rPr>
            </w:pPr>
            <w:bookmarkStart w:id="81" w:name="_Hlk536705202"/>
            <w:r w:rsidRPr="005516CD">
              <w:rPr>
                <w:rFonts w:asciiTheme="majorHAnsi" w:hAnsiTheme="majorHAnsi" w:cstheme="majorHAnsi"/>
                <w:b/>
                <w:sz w:val="20"/>
                <w:szCs w:val="20"/>
              </w:rPr>
              <w:t>GEF M&amp;E requirements</w:t>
            </w:r>
          </w:p>
          <w:p w14:paraId="5D8AE75A" w14:textId="77777777" w:rsidR="00E45267" w:rsidRPr="005516CD" w:rsidRDefault="00E45267" w:rsidP="00E45267">
            <w:pPr>
              <w:jc w:val="center"/>
              <w:rPr>
                <w:rFonts w:asciiTheme="majorHAnsi" w:hAnsiTheme="majorHAnsi" w:cstheme="majorHAnsi"/>
                <w:b/>
                <w:sz w:val="20"/>
                <w:szCs w:val="20"/>
              </w:rPr>
            </w:pPr>
          </w:p>
        </w:tc>
        <w:tc>
          <w:tcPr>
            <w:tcW w:w="1670" w:type="dxa"/>
            <w:vMerge w:val="restart"/>
            <w:shd w:val="clear" w:color="auto" w:fill="BFBFBF"/>
          </w:tcPr>
          <w:p w14:paraId="34DA5624" w14:textId="77777777" w:rsidR="00E45267" w:rsidRPr="005516CD" w:rsidRDefault="00E45267" w:rsidP="00E45267">
            <w:pPr>
              <w:jc w:val="center"/>
              <w:rPr>
                <w:rFonts w:asciiTheme="majorHAnsi" w:hAnsiTheme="majorHAnsi" w:cstheme="majorHAnsi"/>
                <w:b/>
                <w:sz w:val="20"/>
                <w:szCs w:val="20"/>
              </w:rPr>
            </w:pPr>
            <w:r w:rsidRPr="005516CD">
              <w:rPr>
                <w:rFonts w:asciiTheme="majorHAnsi" w:hAnsiTheme="majorHAnsi" w:cstheme="majorHAnsi"/>
                <w:b/>
                <w:sz w:val="20"/>
                <w:szCs w:val="20"/>
              </w:rPr>
              <w:t>Primary responsibility</w:t>
            </w:r>
          </w:p>
        </w:tc>
        <w:tc>
          <w:tcPr>
            <w:tcW w:w="2985" w:type="dxa"/>
            <w:gridSpan w:val="2"/>
            <w:shd w:val="clear" w:color="auto" w:fill="BFBFBF"/>
          </w:tcPr>
          <w:p w14:paraId="372772E1" w14:textId="77777777" w:rsidR="00E45267" w:rsidRPr="005516CD" w:rsidRDefault="00E45267" w:rsidP="00E45267">
            <w:pPr>
              <w:jc w:val="center"/>
              <w:rPr>
                <w:rFonts w:asciiTheme="majorHAnsi" w:hAnsiTheme="majorHAnsi" w:cstheme="majorHAnsi"/>
                <w:b/>
                <w:sz w:val="20"/>
                <w:szCs w:val="20"/>
              </w:rPr>
            </w:pPr>
            <w:r w:rsidRPr="005516CD">
              <w:rPr>
                <w:rFonts w:asciiTheme="majorHAnsi" w:hAnsiTheme="majorHAnsi" w:cstheme="majorHAnsi"/>
                <w:b/>
                <w:sz w:val="20"/>
                <w:szCs w:val="20"/>
              </w:rPr>
              <w:t>Indicative costs to be charged to the Project Budget</w:t>
            </w:r>
            <w:r w:rsidRPr="005516CD">
              <w:rPr>
                <w:rStyle w:val="FootnoteReference"/>
                <w:rFonts w:asciiTheme="majorHAnsi" w:hAnsiTheme="majorHAnsi" w:cstheme="majorHAnsi"/>
                <w:b/>
                <w:sz w:val="20"/>
                <w:szCs w:val="20"/>
              </w:rPr>
              <w:footnoteReference w:id="76"/>
            </w:r>
            <w:r w:rsidRPr="005516CD">
              <w:rPr>
                <w:rFonts w:asciiTheme="majorHAnsi" w:hAnsiTheme="majorHAnsi" w:cstheme="majorHAnsi"/>
                <w:b/>
                <w:sz w:val="20"/>
                <w:szCs w:val="20"/>
              </w:rPr>
              <w:t xml:space="preserve">  (US$)</w:t>
            </w:r>
          </w:p>
        </w:tc>
        <w:tc>
          <w:tcPr>
            <w:tcW w:w="2024" w:type="dxa"/>
            <w:vMerge w:val="restart"/>
            <w:shd w:val="clear" w:color="auto" w:fill="BFBFBF"/>
          </w:tcPr>
          <w:p w14:paraId="7F6EE65E" w14:textId="77777777" w:rsidR="00E45267" w:rsidRPr="005516CD" w:rsidRDefault="00E45267" w:rsidP="00E45267">
            <w:pPr>
              <w:jc w:val="center"/>
              <w:rPr>
                <w:rFonts w:asciiTheme="majorHAnsi" w:hAnsiTheme="majorHAnsi" w:cstheme="majorHAnsi"/>
                <w:b/>
                <w:sz w:val="20"/>
                <w:szCs w:val="20"/>
              </w:rPr>
            </w:pPr>
            <w:r w:rsidRPr="005516CD">
              <w:rPr>
                <w:rFonts w:asciiTheme="majorHAnsi" w:hAnsiTheme="majorHAnsi" w:cstheme="majorHAnsi"/>
                <w:b/>
                <w:sz w:val="20"/>
                <w:szCs w:val="20"/>
              </w:rPr>
              <w:t>Time frame</w:t>
            </w:r>
          </w:p>
        </w:tc>
      </w:tr>
      <w:tr w:rsidR="00E45267" w:rsidRPr="005516CD" w14:paraId="183092A7" w14:textId="77777777" w:rsidTr="009137BC">
        <w:trPr>
          <w:tblHeader/>
          <w:jc w:val="center"/>
        </w:trPr>
        <w:tc>
          <w:tcPr>
            <w:tcW w:w="2331" w:type="dxa"/>
            <w:vMerge/>
            <w:shd w:val="clear" w:color="auto" w:fill="BFBFBF"/>
          </w:tcPr>
          <w:p w14:paraId="03494919" w14:textId="77777777" w:rsidR="00E45267" w:rsidRPr="005516CD" w:rsidRDefault="00E45267" w:rsidP="00E45267">
            <w:pPr>
              <w:rPr>
                <w:rFonts w:asciiTheme="majorHAnsi" w:hAnsiTheme="majorHAnsi" w:cstheme="majorHAnsi"/>
                <w:b/>
                <w:sz w:val="20"/>
                <w:szCs w:val="20"/>
              </w:rPr>
            </w:pPr>
          </w:p>
        </w:tc>
        <w:tc>
          <w:tcPr>
            <w:tcW w:w="1670" w:type="dxa"/>
            <w:vMerge/>
            <w:shd w:val="clear" w:color="auto" w:fill="BFBFBF"/>
          </w:tcPr>
          <w:p w14:paraId="2D85FBFB" w14:textId="77777777" w:rsidR="00E45267" w:rsidRPr="005516CD" w:rsidRDefault="00E45267" w:rsidP="00E45267">
            <w:pPr>
              <w:rPr>
                <w:rFonts w:asciiTheme="majorHAnsi" w:hAnsiTheme="majorHAnsi" w:cstheme="majorHAnsi"/>
                <w:b/>
                <w:sz w:val="20"/>
                <w:szCs w:val="20"/>
              </w:rPr>
            </w:pPr>
          </w:p>
        </w:tc>
        <w:tc>
          <w:tcPr>
            <w:tcW w:w="1820" w:type="dxa"/>
            <w:shd w:val="clear" w:color="auto" w:fill="BFBFBF"/>
          </w:tcPr>
          <w:p w14:paraId="082092FF"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GEF grant</w:t>
            </w:r>
          </w:p>
        </w:tc>
        <w:tc>
          <w:tcPr>
            <w:tcW w:w="1165" w:type="dxa"/>
            <w:shd w:val="clear" w:color="auto" w:fill="BFBFBF"/>
          </w:tcPr>
          <w:p w14:paraId="64B3FDB4"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Co-financing</w:t>
            </w:r>
          </w:p>
        </w:tc>
        <w:tc>
          <w:tcPr>
            <w:tcW w:w="2024" w:type="dxa"/>
            <w:vMerge/>
            <w:shd w:val="clear" w:color="auto" w:fill="BFBFBF"/>
          </w:tcPr>
          <w:p w14:paraId="6818BDA7" w14:textId="77777777" w:rsidR="00E45267" w:rsidRPr="005516CD" w:rsidRDefault="00E45267" w:rsidP="00E45267">
            <w:pPr>
              <w:rPr>
                <w:rFonts w:asciiTheme="majorHAnsi" w:hAnsiTheme="majorHAnsi" w:cstheme="majorHAnsi"/>
                <w:b/>
                <w:sz w:val="20"/>
                <w:szCs w:val="20"/>
              </w:rPr>
            </w:pPr>
          </w:p>
        </w:tc>
      </w:tr>
      <w:tr w:rsidR="00E45267" w:rsidRPr="005516CD" w14:paraId="28B7A8C9" w14:textId="77777777" w:rsidTr="009137BC">
        <w:trPr>
          <w:jc w:val="center"/>
        </w:trPr>
        <w:tc>
          <w:tcPr>
            <w:tcW w:w="2331" w:type="dxa"/>
          </w:tcPr>
          <w:p w14:paraId="1A76C220"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 xml:space="preserve">Inception Workshop </w:t>
            </w:r>
          </w:p>
        </w:tc>
        <w:tc>
          <w:tcPr>
            <w:tcW w:w="1670" w:type="dxa"/>
          </w:tcPr>
          <w:p w14:paraId="5901F49B"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UNDP Country Office </w:t>
            </w:r>
          </w:p>
        </w:tc>
        <w:tc>
          <w:tcPr>
            <w:tcW w:w="1820" w:type="dxa"/>
          </w:tcPr>
          <w:p w14:paraId="3B11B3E1"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USD </w:t>
            </w:r>
            <w:r w:rsidR="00937FEA" w:rsidRPr="005516CD">
              <w:rPr>
                <w:rFonts w:asciiTheme="majorHAnsi" w:hAnsiTheme="majorHAnsi" w:cstheme="majorHAnsi"/>
                <w:sz w:val="20"/>
                <w:szCs w:val="20"/>
              </w:rPr>
              <w:t>2</w:t>
            </w:r>
            <w:r w:rsidRPr="005516CD">
              <w:rPr>
                <w:rFonts w:asciiTheme="majorHAnsi" w:hAnsiTheme="majorHAnsi" w:cstheme="majorHAnsi"/>
                <w:sz w:val="20"/>
                <w:szCs w:val="20"/>
              </w:rPr>
              <w:t xml:space="preserve">,000 </w:t>
            </w:r>
          </w:p>
        </w:tc>
        <w:tc>
          <w:tcPr>
            <w:tcW w:w="1165" w:type="dxa"/>
          </w:tcPr>
          <w:p w14:paraId="312E82D9" w14:textId="77777777" w:rsidR="00E45267" w:rsidRPr="005516CD" w:rsidRDefault="00E45267" w:rsidP="00E45267">
            <w:pPr>
              <w:rPr>
                <w:rFonts w:asciiTheme="majorHAnsi" w:hAnsiTheme="majorHAnsi" w:cstheme="majorHAnsi"/>
                <w:i/>
                <w:sz w:val="20"/>
                <w:szCs w:val="20"/>
              </w:rPr>
            </w:pPr>
            <w:r w:rsidRPr="005516CD">
              <w:rPr>
                <w:rFonts w:asciiTheme="majorHAnsi" w:hAnsiTheme="majorHAnsi" w:cstheme="majorHAnsi"/>
                <w:i/>
                <w:sz w:val="20"/>
                <w:szCs w:val="20"/>
              </w:rPr>
              <w:t xml:space="preserve">USD </w:t>
            </w:r>
            <w:r w:rsidR="00937FEA" w:rsidRPr="005516CD">
              <w:rPr>
                <w:rFonts w:asciiTheme="majorHAnsi" w:hAnsiTheme="majorHAnsi" w:cstheme="majorHAnsi"/>
                <w:i/>
                <w:sz w:val="20"/>
                <w:szCs w:val="20"/>
              </w:rPr>
              <w:t>2</w:t>
            </w:r>
            <w:r w:rsidRPr="005516CD">
              <w:rPr>
                <w:rFonts w:asciiTheme="majorHAnsi" w:hAnsiTheme="majorHAnsi" w:cstheme="majorHAnsi"/>
                <w:i/>
                <w:sz w:val="20"/>
                <w:szCs w:val="20"/>
              </w:rPr>
              <w:t>,000</w:t>
            </w:r>
          </w:p>
        </w:tc>
        <w:tc>
          <w:tcPr>
            <w:tcW w:w="2024" w:type="dxa"/>
          </w:tcPr>
          <w:p w14:paraId="605E9CF1"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Within two months of project document signature </w:t>
            </w:r>
          </w:p>
        </w:tc>
      </w:tr>
      <w:tr w:rsidR="00E45267" w:rsidRPr="005516CD" w14:paraId="0B4D4823" w14:textId="77777777" w:rsidTr="009137BC">
        <w:trPr>
          <w:jc w:val="center"/>
        </w:trPr>
        <w:tc>
          <w:tcPr>
            <w:tcW w:w="2331" w:type="dxa"/>
          </w:tcPr>
          <w:p w14:paraId="28D2FBB1"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Inception Report</w:t>
            </w:r>
          </w:p>
        </w:tc>
        <w:tc>
          <w:tcPr>
            <w:tcW w:w="1670" w:type="dxa"/>
          </w:tcPr>
          <w:p w14:paraId="410E7284" w14:textId="5A8A3065"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Project </w:t>
            </w:r>
            <w:r w:rsidR="00201734">
              <w:rPr>
                <w:rFonts w:asciiTheme="majorHAnsi" w:hAnsiTheme="majorHAnsi" w:cstheme="majorHAnsi"/>
                <w:sz w:val="20"/>
                <w:szCs w:val="20"/>
              </w:rPr>
              <w:t xml:space="preserve">Officer </w:t>
            </w:r>
          </w:p>
        </w:tc>
        <w:tc>
          <w:tcPr>
            <w:tcW w:w="1820" w:type="dxa"/>
          </w:tcPr>
          <w:p w14:paraId="624C1B27"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None</w:t>
            </w:r>
          </w:p>
        </w:tc>
        <w:tc>
          <w:tcPr>
            <w:tcW w:w="1165" w:type="dxa"/>
          </w:tcPr>
          <w:p w14:paraId="1CBA81E9"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None</w:t>
            </w:r>
          </w:p>
        </w:tc>
        <w:tc>
          <w:tcPr>
            <w:tcW w:w="2024" w:type="dxa"/>
          </w:tcPr>
          <w:p w14:paraId="3A1679D9"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Within two weeks of inception workshop</w:t>
            </w:r>
          </w:p>
        </w:tc>
      </w:tr>
      <w:tr w:rsidR="00E45267" w:rsidRPr="005516CD" w14:paraId="621E90A7" w14:textId="77777777" w:rsidTr="009137BC">
        <w:trPr>
          <w:jc w:val="center"/>
        </w:trPr>
        <w:tc>
          <w:tcPr>
            <w:tcW w:w="2331" w:type="dxa"/>
          </w:tcPr>
          <w:p w14:paraId="2ED51313"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Standard UNDP monitoring and reporting requirements as outlined in the UNDP POPP</w:t>
            </w:r>
          </w:p>
        </w:tc>
        <w:tc>
          <w:tcPr>
            <w:tcW w:w="1670" w:type="dxa"/>
          </w:tcPr>
          <w:p w14:paraId="3F4987C2"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UNDP Country Office</w:t>
            </w:r>
          </w:p>
          <w:p w14:paraId="02E9FEBD" w14:textId="77777777" w:rsidR="00E45267" w:rsidRPr="005516CD" w:rsidRDefault="00E45267" w:rsidP="00E45267">
            <w:pPr>
              <w:rPr>
                <w:rFonts w:asciiTheme="majorHAnsi" w:hAnsiTheme="majorHAnsi" w:cstheme="majorHAnsi"/>
                <w:b/>
                <w:sz w:val="20"/>
                <w:szCs w:val="20"/>
              </w:rPr>
            </w:pPr>
          </w:p>
        </w:tc>
        <w:tc>
          <w:tcPr>
            <w:tcW w:w="1820" w:type="dxa"/>
          </w:tcPr>
          <w:p w14:paraId="65DE434B"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None</w:t>
            </w:r>
          </w:p>
        </w:tc>
        <w:tc>
          <w:tcPr>
            <w:tcW w:w="1165" w:type="dxa"/>
          </w:tcPr>
          <w:p w14:paraId="1AC87BA7"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None</w:t>
            </w:r>
          </w:p>
        </w:tc>
        <w:tc>
          <w:tcPr>
            <w:tcW w:w="2024" w:type="dxa"/>
          </w:tcPr>
          <w:p w14:paraId="183C7343"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Quarterly, annually</w:t>
            </w:r>
          </w:p>
        </w:tc>
      </w:tr>
      <w:tr w:rsidR="00E45267" w:rsidRPr="005516CD" w14:paraId="684B77EC" w14:textId="77777777" w:rsidTr="009137BC">
        <w:trPr>
          <w:jc w:val="center"/>
        </w:trPr>
        <w:tc>
          <w:tcPr>
            <w:tcW w:w="2331" w:type="dxa"/>
          </w:tcPr>
          <w:p w14:paraId="49A0432A"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 xml:space="preserve">Monitoring of indicators in project results framework </w:t>
            </w:r>
          </w:p>
        </w:tc>
        <w:tc>
          <w:tcPr>
            <w:tcW w:w="1670" w:type="dxa"/>
          </w:tcPr>
          <w:p w14:paraId="243D7CB3" w14:textId="026F7706" w:rsidR="00E45267" w:rsidRPr="00B609DE" w:rsidRDefault="00E45267" w:rsidP="00E45267">
            <w:pPr>
              <w:rPr>
                <w:rFonts w:asciiTheme="majorHAnsi" w:hAnsiTheme="majorHAnsi" w:cstheme="majorHAnsi"/>
                <w:sz w:val="20"/>
                <w:szCs w:val="20"/>
                <w:highlight w:val="yellow"/>
              </w:rPr>
            </w:pPr>
            <w:r w:rsidRPr="00B609DE">
              <w:rPr>
                <w:rFonts w:asciiTheme="majorHAnsi" w:hAnsiTheme="majorHAnsi" w:cstheme="majorHAnsi"/>
                <w:sz w:val="20"/>
                <w:szCs w:val="20"/>
                <w:highlight w:val="yellow"/>
              </w:rPr>
              <w:t xml:space="preserve">Project </w:t>
            </w:r>
            <w:r w:rsidR="00201734">
              <w:rPr>
                <w:rFonts w:asciiTheme="majorHAnsi" w:hAnsiTheme="majorHAnsi" w:cstheme="majorHAnsi"/>
                <w:sz w:val="20"/>
                <w:szCs w:val="20"/>
                <w:highlight w:val="yellow"/>
              </w:rPr>
              <w:t>Officer</w:t>
            </w:r>
          </w:p>
          <w:p w14:paraId="65E59BB8" w14:textId="77777777" w:rsidR="00E45267" w:rsidRPr="00B609DE" w:rsidRDefault="00E45267" w:rsidP="00E45267">
            <w:pPr>
              <w:rPr>
                <w:rFonts w:asciiTheme="majorHAnsi" w:hAnsiTheme="majorHAnsi" w:cstheme="majorHAnsi"/>
                <w:sz w:val="20"/>
                <w:szCs w:val="20"/>
                <w:highlight w:val="yellow"/>
              </w:rPr>
            </w:pPr>
          </w:p>
        </w:tc>
        <w:tc>
          <w:tcPr>
            <w:tcW w:w="1820" w:type="dxa"/>
          </w:tcPr>
          <w:p w14:paraId="3493C0A1" w14:textId="690C425C" w:rsidR="00E45267" w:rsidRPr="00B609DE" w:rsidRDefault="00E45267" w:rsidP="009137BC">
            <w:pPr>
              <w:pStyle w:val="BodyText23"/>
              <w:widowControl/>
              <w:tabs>
                <w:tab w:val="clear" w:pos="547"/>
              </w:tabs>
              <w:rPr>
                <w:rFonts w:asciiTheme="majorHAnsi" w:hAnsiTheme="majorHAnsi" w:cstheme="majorHAnsi"/>
                <w:color w:val="auto"/>
                <w:highlight w:val="yellow"/>
                <w:lang w:val="en-GB"/>
              </w:rPr>
            </w:pPr>
            <w:r w:rsidRPr="00B609DE">
              <w:rPr>
                <w:rFonts w:asciiTheme="majorHAnsi" w:hAnsiTheme="majorHAnsi" w:cstheme="majorHAnsi"/>
                <w:color w:val="auto"/>
                <w:highlight w:val="yellow"/>
                <w:lang w:val="en-GB"/>
              </w:rPr>
              <w:t xml:space="preserve">USD </w:t>
            </w:r>
            <w:r w:rsidR="00937FEA" w:rsidRPr="00B609DE">
              <w:rPr>
                <w:rFonts w:asciiTheme="majorHAnsi" w:hAnsiTheme="majorHAnsi" w:cstheme="majorHAnsi"/>
                <w:color w:val="auto"/>
                <w:highlight w:val="yellow"/>
                <w:lang w:val="en-GB"/>
              </w:rPr>
              <w:t>18</w:t>
            </w:r>
            <w:r w:rsidRPr="00B609DE">
              <w:rPr>
                <w:rFonts w:asciiTheme="majorHAnsi" w:hAnsiTheme="majorHAnsi" w:cstheme="majorHAnsi"/>
                <w:color w:val="auto"/>
                <w:highlight w:val="yellow"/>
                <w:lang w:val="en-GB"/>
              </w:rPr>
              <w:t>,000</w:t>
            </w:r>
            <w:r w:rsidR="009137BC" w:rsidRPr="00B609DE">
              <w:rPr>
                <w:rFonts w:asciiTheme="majorHAnsi" w:hAnsiTheme="majorHAnsi" w:cstheme="majorHAnsi"/>
                <w:color w:val="auto"/>
                <w:highlight w:val="yellow"/>
                <w:lang w:val="en-GB"/>
              </w:rPr>
              <w:t xml:space="preserve">  </w:t>
            </w:r>
          </w:p>
        </w:tc>
        <w:tc>
          <w:tcPr>
            <w:tcW w:w="1165" w:type="dxa"/>
          </w:tcPr>
          <w:p w14:paraId="2351B1B6" w14:textId="77777777" w:rsidR="00E45267" w:rsidRPr="00B609DE" w:rsidRDefault="00E45267" w:rsidP="00E45267">
            <w:pPr>
              <w:pStyle w:val="BodyText23"/>
              <w:widowControl/>
              <w:tabs>
                <w:tab w:val="clear" w:pos="547"/>
              </w:tabs>
              <w:rPr>
                <w:rFonts w:asciiTheme="majorHAnsi" w:hAnsiTheme="majorHAnsi" w:cstheme="majorHAnsi"/>
                <w:color w:val="auto"/>
                <w:highlight w:val="yellow"/>
                <w:lang w:val="en-GB"/>
              </w:rPr>
            </w:pPr>
            <w:r w:rsidRPr="00B609DE">
              <w:rPr>
                <w:rFonts w:asciiTheme="majorHAnsi" w:hAnsiTheme="majorHAnsi" w:cstheme="majorHAnsi"/>
                <w:color w:val="auto"/>
                <w:highlight w:val="yellow"/>
                <w:lang w:val="en-GB"/>
              </w:rPr>
              <w:t xml:space="preserve">USD </w:t>
            </w:r>
            <w:r w:rsidR="00937FEA" w:rsidRPr="00B609DE">
              <w:rPr>
                <w:rFonts w:asciiTheme="majorHAnsi" w:hAnsiTheme="majorHAnsi" w:cstheme="majorHAnsi"/>
                <w:color w:val="auto"/>
                <w:highlight w:val="yellow"/>
                <w:lang w:val="en-GB"/>
              </w:rPr>
              <w:t>18</w:t>
            </w:r>
            <w:r w:rsidRPr="00B609DE">
              <w:rPr>
                <w:rFonts w:asciiTheme="majorHAnsi" w:hAnsiTheme="majorHAnsi" w:cstheme="majorHAnsi"/>
                <w:color w:val="auto"/>
                <w:highlight w:val="yellow"/>
                <w:lang w:val="en-GB"/>
              </w:rPr>
              <w:t>,000</w:t>
            </w:r>
          </w:p>
          <w:p w14:paraId="101B6910" w14:textId="77777777" w:rsidR="00E45267" w:rsidRPr="00B609DE" w:rsidRDefault="00E45267" w:rsidP="00E45267">
            <w:pPr>
              <w:pStyle w:val="BodyText23"/>
              <w:widowControl/>
              <w:tabs>
                <w:tab w:val="clear" w:pos="547"/>
              </w:tabs>
              <w:rPr>
                <w:rFonts w:asciiTheme="majorHAnsi" w:hAnsiTheme="majorHAnsi" w:cstheme="majorHAnsi"/>
                <w:color w:val="auto"/>
                <w:highlight w:val="yellow"/>
                <w:lang w:val="en-GB"/>
              </w:rPr>
            </w:pPr>
          </w:p>
        </w:tc>
        <w:tc>
          <w:tcPr>
            <w:tcW w:w="2024" w:type="dxa"/>
          </w:tcPr>
          <w:p w14:paraId="069A4B68" w14:textId="77777777" w:rsidR="00E45267" w:rsidRPr="00B609DE" w:rsidRDefault="00E45267" w:rsidP="00E45267">
            <w:pPr>
              <w:rPr>
                <w:rFonts w:asciiTheme="majorHAnsi" w:hAnsiTheme="majorHAnsi" w:cstheme="majorHAnsi"/>
                <w:sz w:val="20"/>
                <w:szCs w:val="20"/>
                <w:highlight w:val="yellow"/>
              </w:rPr>
            </w:pPr>
            <w:r w:rsidRPr="00B609DE">
              <w:rPr>
                <w:rFonts w:asciiTheme="majorHAnsi" w:hAnsiTheme="majorHAnsi" w:cstheme="majorHAnsi"/>
                <w:sz w:val="20"/>
                <w:szCs w:val="20"/>
                <w:highlight w:val="yellow"/>
              </w:rPr>
              <w:t xml:space="preserve">Annually </w:t>
            </w:r>
          </w:p>
        </w:tc>
      </w:tr>
      <w:tr w:rsidR="00E45267" w:rsidRPr="005516CD" w14:paraId="4C8A34E4" w14:textId="77777777" w:rsidTr="009137BC">
        <w:trPr>
          <w:jc w:val="center"/>
        </w:trPr>
        <w:tc>
          <w:tcPr>
            <w:tcW w:w="2331" w:type="dxa"/>
          </w:tcPr>
          <w:p w14:paraId="324479D8"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 xml:space="preserve">GEF Project Implementation Report (PIR) </w:t>
            </w:r>
          </w:p>
        </w:tc>
        <w:tc>
          <w:tcPr>
            <w:tcW w:w="1670" w:type="dxa"/>
          </w:tcPr>
          <w:p w14:paraId="08031689" w14:textId="0935DCFA"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Project </w:t>
            </w:r>
            <w:r w:rsidR="00201734">
              <w:rPr>
                <w:rFonts w:asciiTheme="majorHAnsi" w:hAnsiTheme="majorHAnsi" w:cstheme="majorHAnsi"/>
                <w:sz w:val="20"/>
                <w:szCs w:val="20"/>
              </w:rPr>
              <w:t xml:space="preserve">Officer </w:t>
            </w:r>
            <w:r w:rsidRPr="005516CD">
              <w:rPr>
                <w:rFonts w:asciiTheme="majorHAnsi" w:hAnsiTheme="majorHAnsi" w:cstheme="majorHAnsi"/>
                <w:sz w:val="20"/>
                <w:szCs w:val="20"/>
              </w:rPr>
              <w:t xml:space="preserve"> and UNDP Country Office and UNDP-GEF team</w:t>
            </w:r>
          </w:p>
        </w:tc>
        <w:tc>
          <w:tcPr>
            <w:tcW w:w="1820" w:type="dxa"/>
          </w:tcPr>
          <w:p w14:paraId="798428AF" w14:textId="77777777" w:rsidR="00E45267" w:rsidRPr="005516CD" w:rsidRDefault="00E45267" w:rsidP="00E45267">
            <w:pPr>
              <w:pStyle w:val="BodyText23"/>
              <w:widowControl/>
              <w:tabs>
                <w:tab w:val="clear" w:pos="547"/>
              </w:tabs>
              <w:rPr>
                <w:rFonts w:asciiTheme="majorHAnsi" w:hAnsiTheme="majorHAnsi" w:cstheme="majorHAnsi"/>
                <w:color w:val="auto"/>
                <w:lang w:val="en-GB"/>
              </w:rPr>
            </w:pPr>
            <w:r w:rsidRPr="005516CD">
              <w:rPr>
                <w:rFonts w:asciiTheme="majorHAnsi" w:hAnsiTheme="majorHAnsi" w:cstheme="majorHAnsi"/>
                <w:color w:val="auto"/>
                <w:lang w:val="en-GB"/>
              </w:rPr>
              <w:t>None</w:t>
            </w:r>
          </w:p>
        </w:tc>
        <w:tc>
          <w:tcPr>
            <w:tcW w:w="1165" w:type="dxa"/>
          </w:tcPr>
          <w:p w14:paraId="5E19B423" w14:textId="77777777" w:rsidR="00E45267" w:rsidRPr="005516CD" w:rsidRDefault="00E45267" w:rsidP="00E45267">
            <w:pPr>
              <w:pStyle w:val="BodyText23"/>
              <w:widowControl/>
              <w:tabs>
                <w:tab w:val="clear" w:pos="547"/>
              </w:tabs>
              <w:rPr>
                <w:rFonts w:asciiTheme="majorHAnsi" w:hAnsiTheme="majorHAnsi" w:cstheme="majorHAnsi"/>
                <w:color w:val="auto"/>
                <w:lang w:val="en-GB"/>
              </w:rPr>
            </w:pPr>
            <w:r w:rsidRPr="005516CD">
              <w:rPr>
                <w:rFonts w:asciiTheme="majorHAnsi" w:hAnsiTheme="majorHAnsi" w:cstheme="majorHAnsi"/>
                <w:color w:val="auto"/>
                <w:lang w:val="en-GB"/>
              </w:rPr>
              <w:t>None</w:t>
            </w:r>
          </w:p>
        </w:tc>
        <w:tc>
          <w:tcPr>
            <w:tcW w:w="2024" w:type="dxa"/>
          </w:tcPr>
          <w:p w14:paraId="1B209894"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Annually </w:t>
            </w:r>
          </w:p>
        </w:tc>
      </w:tr>
      <w:tr w:rsidR="00E45267" w:rsidRPr="005516CD" w14:paraId="4E8978B3" w14:textId="77777777" w:rsidTr="009137BC">
        <w:trPr>
          <w:jc w:val="center"/>
        </w:trPr>
        <w:tc>
          <w:tcPr>
            <w:tcW w:w="2331" w:type="dxa"/>
          </w:tcPr>
          <w:p w14:paraId="6D1BE179"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NIM Audit as per UNDP audit policies</w:t>
            </w:r>
          </w:p>
        </w:tc>
        <w:tc>
          <w:tcPr>
            <w:tcW w:w="1670" w:type="dxa"/>
          </w:tcPr>
          <w:p w14:paraId="61A5C635"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UNDP Country Office</w:t>
            </w:r>
          </w:p>
        </w:tc>
        <w:tc>
          <w:tcPr>
            <w:tcW w:w="1820" w:type="dxa"/>
          </w:tcPr>
          <w:p w14:paraId="2FB1C4C8" w14:textId="031B8B4D" w:rsidR="00E45267" w:rsidRPr="005516CD" w:rsidRDefault="00E45267" w:rsidP="00E45267">
            <w:pPr>
              <w:rPr>
                <w:rFonts w:asciiTheme="majorHAnsi" w:hAnsiTheme="majorHAnsi" w:cstheme="majorHAnsi"/>
                <w:sz w:val="20"/>
                <w:szCs w:val="20"/>
              </w:rPr>
            </w:pPr>
            <w:r w:rsidRPr="000B294C">
              <w:rPr>
                <w:rFonts w:asciiTheme="majorHAnsi" w:hAnsiTheme="majorHAnsi" w:cstheme="majorHAnsi"/>
                <w:sz w:val="20"/>
                <w:szCs w:val="20"/>
                <w:highlight w:val="cyan"/>
              </w:rPr>
              <w:t xml:space="preserve">USD </w:t>
            </w:r>
            <w:r w:rsidR="006144DC" w:rsidRPr="000B294C">
              <w:rPr>
                <w:rFonts w:asciiTheme="majorHAnsi" w:hAnsiTheme="majorHAnsi" w:cstheme="majorHAnsi"/>
                <w:sz w:val="20"/>
                <w:szCs w:val="20"/>
                <w:highlight w:val="cyan"/>
              </w:rPr>
              <w:t>25</w:t>
            </w:r>
            <w:r w:rsidRPr="000B294C">
              <w:rPr>
                <w:rFonts w:asciiTheme="majorHAnsi" w:hAnsiTheme="majorHAnsi" w:cstheme="majorHAnsi"/>
                <w:sz w:val="20"/>
                <w:szCs w:val="20"/>
                <w:highlight w:val="cyan"/>
              </w:rPr>
              <w:t>,000</w:t>
            </w:r>
            <w:r w:rsidRPr="005516CD">
              <w:rPr>
                <w:rFonts w:asciiTheme="majorHAnsi" w:hAnsiTheme="majorHAnsi" w:cstheme="majorHAnsi"/>
                <w:sz w:val="20"/>
                <w:szCs w:val="20"/>
              </w:rPr>
              <w:t xml:space="preserve"> </w:t>
            </w:r>
          </w:p>
        </w:tc>
        <w:tc>
          <w:tcPr>
            <w:tcW w:w="1165" w:type="dxa"/>
          </w:tcPr>
          <w:p w14:paraId="51D70B37" w14:textId="77777777" w:rsidR="00E45267" w:rsidRPr="005516CD" w:rsidRDefault="00E45267" w:rsidP="00E45267">
            <w:pPr>
              <w:rPr>
                <w:rFonts w:asciiTheme="majorHAnsi" w:hAnsiTheme="majorHAnsi" w:cstheme="majorHAnsi"/>
                <w:i/>
                <w:sz w:val="20"/>
                <w:szCs w:val="20"/>
              </w:rPr>
            </w:pPr>
          </w:p>
        </w:tc>
        <w:tc>
          <w:tcPr>
            <w:tcW w:w="2024" w:type="dxa"/>
          </w:tcPr>
          <w:p w14:paraId="41D61FA9"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Annually or other frequency as per UNDP Audit policies</w:t>
            </w:r>
          </w:p>
        </w:tc>
      </w:tr>
      <w:tr w:rsidR="00E45267" w:rsidRPr="005516CD" w14:paraId="10C43ACB" w14:textId="77777777" w:rsidTr="009137BC">
        <w:trPr>
          <w:jc w:val="center"/>
        </w:trPr>
        <w:tc>
          <w:tcPr>
            <w:tcW w:w="2331" w:type="dxa"/>
          </w:tcPr>
          <w:p w14:paraId="0AE850DC"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Monitoring of environmental and social risks, and corresponding management plans as relevant</w:t>
            </w:r>
          </w:p>
        </w:tc>
        <w:tc>
          <w:tcPr>
            <w:tcW w:w="1670" w:type="dxa"/>
          </w:tcPr>
          <w:p w14:paraId="0D72B5A2" w14:textId="726B1459"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Project </w:t>
            </w:r>
            <w:r w:rsidR="00201734">
              <w:rPr>
                <w:rFonts w:asciiTheme="majorHAnsi" w:hAnsiTheme="majorHAnsi" w:cstheme="majorHAnsi"/>
                <w:sz w:val="20"/>
                <w:szCs w:val="20"/>
              </w:rPr>
              <w:t xml:space="preserve">Officer </w:t>
            </w:r>
          </w:p>
          <w:p w14:paraId="04AEB3B0"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UNDP CO</w:t>
            </w:r>
          </w:p>
        </w:tc>
        <w:tc>
          <w:tcPr>
            <w:tcW w:w="1820" w:type="dxa"/>
          </w:tcPr>
          <w:p w14:paraId="3D302461" w14:textId="10F88DA4" w:rsidR="00E45267" w:rsidRPr="005516CD" w:rsidRDefault="009D3914" w:rsidP="00E45267">
            <w:pPr>
              <w:rPr>
                <w:rFonts w:asciiTheme="majorHAnsi" w:hAnsiTheme="majorHAnsi" w:cstheme="majorHAnsi"/>
                <w:sz w:val="20"/>
                <w:szCs w:val="20"/>
              </w:rPr>
            </w:pPr>
            <w:r w:rsidRPr="008244FA">
              <w:rPr>
                <w:rFonts w:asciiTheme="majorHAnsi" w:hAnsiTheme="majorHAnsi" w:cstheme="majorHAnsi"/>
                <w:sz w:val="20"/>
                <w:szCs w:val="20"/>
                <w:highlight w:val="cyan"/>
              </w:rPr>
              <w:t>USD 25,000</w:t>
            </w:r>
            <w:r w:rsidR="000B294C" w:rsidRPr="000B294C">
              <w:rPr>
                <w:rFonts w:asciiTheme="majorHAnsi" w:hAnsiTheme="majorHAnsi" w:cstheme="majorHAnsi"/>
                <w:sz w:val="20"/>
                <w:szCs w:val="20"/>
                <w:highlight w:val="cyan"/>
              </w:rPr>
              <w:t xml:space="preserve"> part of </w:t>
            </w:r>
            <w:r w:rsidR="000B294C" w:rsidRPr="008244FA">
              <w:rPr>
                <w:rFonts w:asciiTheme="majorHAnsi" w:hAnsiTheme="majorHAnsi" w:cstheme="majorHAnsi"/>
                <w:sz w:val="20"/>
                <w:szCs w:val="20"/>
                <w:highlight w:val="cyan"/>
              </w:rPr>
              <w:t xml:space="preserve">ESMF </w:t>
            </w:r>
            <w:r w:rsidR="000B294C" w:rsidRPr="000B294C">
              <w:rPr>
                <w:rFonts w:asciiTheme="majorHAnsi" w:hAnsiTheme="majorHAnsi" w:cstheme="majorHAnsi"/>
                <w:sz w:val="20"/>
                <w:szCs w:val="20"/>
                <w:highlight w:val="cyan"/>
              </w:rPr>
              <w:t>N</w:t>
            </w:r>
            <w:r w:rsidR="000B294C" w:rsidRPr="008244FA">
              <w:rPr>
                <w:rFonts w:asciiTheme="majorHAnsi" w:hAnsiTheme="majorHAnsi" w:cstheme="majorHAnsi"/>
                <w:sz w:val="20"/>
                <w:szCs w:val="20"/>
                <w:highlight w:val="cyan"/>
              </w:rPr>
              <w:t xml:space="preserve">ational consultant </w:t>
            </w:r>
            <w:r w:rsidR="000B294C" w:rsidRPr="000B294C">
              <w:rPr>
                <w:rFonts w:asciiTheme="majorHAnsi" w:hAnsiTheme="majorHAnsi" w:cstheme="majorHAnsi"/>
                <w:sz w:val="20"/>
                <w:szCs w:val="20"/>
                <w:highlight w:val="cyan"/>
              </w:rPr>
              <w:t>fees</w:t>
            </w:r>
          </w:p>
        </w:tc>
        <w:tc>
          <w:tcPr>
            <w:tcW w:w="1165" w:type="dxa"/>
          </w:tcPr>
          <w:p w14:paraId="7AF074FA" w14:textId="77777777" w:rsidR="00E45267" w:rsidRPr="005516CD" w:rsidRDefault="00E45267" w:rsidP="00E45267">
            <w:pPr>
              <w:rPr>
                <w:rFonts w:asciiTheme="majorHAnsi" w:hAnsiTheme="majorHAnsi" w:cstheme="majorHAnsi"/>
                <w:i/>
                <w:sz w:val="20"/>
                <w:szCs w:val="20"/>
              </w:rPr>
            </w:pPr>
          </w:p>
        </w:tc>
        <w:tc>
          <w:tcPr>
            <w:tcW w:w="2024" w:type="dxa"/>
          </w:tcPr>
          <w:p w14:paraId="75C48F8E" w14:textId="2A5E85C0" w:rsidR="00E45267" w:rsidRPr="005516CD" w:rsidRDefault="00E45267" w:rsidP="00E45267">
            <w:pPr>
              <w:rPr>
                <w:rFonts w:asciiTheme="majorHAnsi" w:hAnsiTheme="majorHAnsi" w:cstheme="majorHAnsi"/>
                <w:sz w:val="20"/>
                <w:szCs w:val="20"/>
              </w:rPr>
            </w:pPr>
          </w:p>
        </w:tc>
      </w:tr>
      <w:tr w:rsidR="00E45267" w:rsidRPr="005516CD" w14:paraId="0A1928F5" w14:textId="77777777" w:rsidTr="009137BC">
        <w:trPr>
          <w:jc w:val="center"/>
        </w:trPr>
        <w:tc>
          <w:tcPr>
            <w:tcW w:w="2331" w:type="dxa"/>
          </w:tcPr>
          <w:p w14:paraId="53102921"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Addressing environmental and social grievances</w:t>
            </w:r>
          </w:p>
        </w:tc>
        <w:tc>
          <w:tcPr>
            <w:tcW w:w="1670" w:type="dxa"/>
          </w:tcPr>
          <w:p w14:paraId="2E06B759" w14:textId="073DE0EF"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Project </w:t>
            </w:r>
            <w:r w:rsidR="00201734">
              <w:rPr>
                <w:rFonts w:asciiTheme="majorHAnsi" w:hAnsiTheme="majorHAnsi" w:cstheme="majorHAnsi"/>
                <w:sz w:val="20"/>
                <w:szCs w:val="20"/>
              </w:rPr>
              <w:t xml:space="preserve">Officer </w:t>
            </w:r>
            <w:r w:rsidRPr="005516CD">
              <w:rPr>
                <w:rFonts w:asciiTheme="majorHAnsi" w:hAnsiTheme="majorHAnsi" w:cstheme="majorHAnsi"/>
                <w:sz w:val="20"/>
                <w:szCs w:val="20"/>
              </w:rPr>
              <w:t>, UNDP Country Office, BPPS as needed</w:t>
            </w:r>
          </w:p>
        </w:tc>
        <w:tc>
          <w:tcPr>
            <w:tcW w:w="1820" w:type="dxa"/>
          </w:tcPr>
          <w:p w14:paraId="52B49B6F" w14:textId="6BEADD8E"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None for time of project </w:t>
            </w:r>
            <w:r w:rsidR="00201734">
              <w:rPr>
                <w:rFonts w:asciiTheme="majorHAnsi" w:hAnsiTheme="majorHAnsi" w:cstheme="majorHAnsi"/>
                <w:sz w:val="20"/>
                <w:szCs w:val="20"/>
              </w:rPr>
              <w:t xml:space="preserve">Officer </w:t>
            </w:r>
            <w:r w:rsidRPr="005516CD">
              <w:rPr>
                <w:rFonts w:asciiTheme="majorHAnsi" w:hAnsiTheme="majorHAnsi" w:cstheme="majorHAnsi"/>
                <w:sz w:val="20"/>
                <w:szCs w:val="20"/>
              </w:rPr>
              <w:t>, and UNDP CO</w:t>
            </w:r>
          </w:p>
        </w:tc>
        <w:tc>
          <w:tcPr>
            <w:tcW w:w="1165" w:type="dxa"/>
          </w:tcPr>
          <w:p w14:paraId="75BBE3D0" w14:textId="77777777" w:rsidR="00E45267" w:rsidRPr="005516CD" w:rsidRDefault="00E45267" w:rsidP="00E45267">
            <w:pPr>
              <w:rPr>
                <w:rFonts w:asciiTheme="majorHAnsi" w:hAnsiTheme="majorHAnsi" w:cstheme="majorHAnsi"/>
                <w:i/>
                <w:sz w:val="20"/>
                <w:szCs w:val="20"/>
              </w:rPr>
            </w:pPr>
          </w:p>
        </w:tc>
        <w:tc>
          <w:tcPr>
            <w:tcW w:w="2024" w:type="dxa"/>
          </w:tcPr>
          <w:p w14:paraId="441F9162"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i/>
                <w:sz w:val="20"/>
                <w:szCs w:val="20"/>
              </w:rPr>
              <w:t>Costs associated with missions, workshops, BPPS expertise etc. can be charged to the project budget.</w:t>
            </w:r>
          </w:p>
        </w:tc>
      </w:tr>
      <w:tr w:rsidR="00E45267" w:rsidRPr="005516CD" w14:paraId="2D1409FD" w14:textId="77777777" w:rsidTr="009137BC">
        <w:trPr>
          <w:jc w:val="center"/>
        </w:trPr>
        <w:tc>
          <w:tcPr>
            <w:tcW w:w="2331" w:type="dxa"/>
          </w:tcPr>
          <w:p w14:paraId="0244F601"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Project Board meetings</w:t>
            </w:r>
          </w:p>
        </w:tc>
        <w:tc>
          <w:tcPr>
            <w:tcW w:w="1670" w:type="dxa"/>
          </w:tcPr>
          <w:p w14:paraId="2A9E4447" w14:textId="2C427B49"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Project Board, UNDP Country Office, Project </w:t>
            </w:r>
            <w:r w:rsidR="00201734">
              <w:rPr>
                <w:rFonts w:asciiTheme="majorHAnsi" w:hAnsiTheme="majorHAnsi" w:cstheme="majorHAnsi"/>
                <w:sz w:val="20"/>
                <w:szCs w:val="20"/>
              </w:rPr>
              <w:t xml:space="preserve">Officer </w:t>
            </w:r>
          </w:p>
        </w:tc>
        <w:tc>
          <w:tcPr>
            <w:tcW w:w="1820" w:type="dxa"/>
          </w:tcPr>
          <w:p w14:paraId="14AE2F51" w14:textId="77777777" w:rsidR="00E45267" w:rsidRPr="005516CD" w:rsidRDefault="00E45267" w:rsidP="00E45267">
            <w:pPr>
              <w:rPr>
                <w:rFonts w:asciiTheme="majorHAnsi" w:hAnsiTheme="majorHAnsi" w:cstheme="majorHAnsi"/>
                <w:i/>
                <w:sz w:val="20"/>
                <w:szCs w:val="20"/>
              </w:rPr>
            </w:pPr>
            <w:r w:rsidRPr="005516CD">
              <w:rPr>
                <w:rFonts w:asciiTheme="majorHAnsi" w:hAnsiTheme="majorHAnsi" w:cstheme="majorHAnsi"/>
                <w:i/>
                <w:sz w:val="20"/>
                <w:szCs w:val="20"/>
              </w:rPr>
              <w:t xml:space="preserve">USD </w:t>
            </w:r>
            <w:r w:rsidR="009137BC" w:rsidRPr="005516CD">
              <w:rPr>
                <w:rFonts w:asciiTheme="majorHAnsi" w:hAnsiTheme="majorHAnsi" w:cstheme="majorHAnsi"/>
                <w:i/>
                <w:sz w:val="20"/>
                <w:szCs w:val="20"/>
              </w:rPr>
              <w:t>7,500</w:t>
            </w:r>
            <w:r w:rsidRPr="005516CD">
              <w:rPr>
                <w:rFonts w:asciiTheme="majorHAnsi" w:hAnsiTheme="majorHAnsi" w:cstheme="majorHAnsi"/>
                <w:i/>
                <w:sz w:val="20"/>
                <w:szCs w:val="20"/>
              </w:rPr>
              <w:t xml:space="preserve"> travel costs (USD1,500/year)</w:t>
            </w:r>
          </w:p>
        </w:tc>
        <w:tc>
          <w:tcPr>
            <w:tcW w:w="1165" w:type="dxa"/>
          </w:tcPr>
          <w:p w14:paraId="7959E088" w14:textId="77777777" w:rsidR="00E45267" w:rsidRPr="005516CD" w:rsidRDefault="00E45267" w:rsidP="00E45267">
            <w:pPr>
              <w:rPr>
                <w:rFonts w:asciiTheme="majorHAnsi" w:hAnsiTheme="majorHAnsi" w:cstheme="majorHAnsi"/>
                <w:i/>
                <w:sz w:val="20"/>
                <w:szCs w:val="20"/>
              </w:rPr>
            </w:pPr>
          </w:p>
        </w:tc>
        <w:tc>
          <w:tcPr>
            <w:tcW w:w="2024" w:type="dxa"/>
          </w:tcPr>
          <w:p w14:paraId="0807C4C2"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At minimum annually</w:t>
            </w:r>
          </w:p>
        </w:tc>
      </w:tr>
      <w:tr w:rsidR="00E45267" w:rsidRPr="005516CD" w14:paraId="0A715F57" w14:textId="77777777" w:rsidTr="009137BC">
        <w:trPr>
          <w:jc w:val="center"/>
        </w:trPr>
        <w:tc>
          <w:tcPr>
            <w:tcW w:w="2331" w:type="dxa"/>
          </w:tcPr>
          <w:p w14:paraId="74CFFBA2"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Supervision missions</w:t>
            </w:r>
          </w:p>
        </w:tc>
        <w:tc>
          <w:tcPr>
            <w:tcW w:w="1670" w:type="dxa"/>
          </w:tcPr>
          <w:p w14:paraId="69F5760D"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sz w:val="20"/>
                <w:szCs w:val="20"/>
              </w:rPr>
              <w:t>UNDP Country Office</w:t>
            </w:r>
          </w:p>
        </w:tc>
        <w:tc>
          <w:tcPr>
            <w:tcW w:w="1820" w:type="dxa"/>
          </w:tcPr>
          <w:p w14:paraId="08BEC8D6" w14:textId="77777777" w:rsidR="00E45267" w:rsidRPr="005516CD" w:rsidRDefault="00E45267" w:rsidP="00E45267">
            <w:pPr>
              <w:pStyle w:val="BodyText23"/>
              <w:widowControl/>
              <w:tabs>
                <w:tab w:val="clear" w:pos="547"/>
              </w:tabs>
              <w:rPr>
                <w:rFonts w:asciiTheme="majorHAnsi" w:hAnsiTheme="majorHAnsi" w:cstheme="majorHAnsi"/>
                <w:color w:val="auto"/>
                <w:lang w:val="en-GB"/>
              </w:rPr>
            </w:pPr>
            <w:r w:rsidRPr="005516CD">
              <w:rPr>
                <w:rFonts w:asciiTheme="majorHAnsi" w:hAnsiTheme="majorHAnsi" w:cstheme="majorHAnsi"/>
                <w:color w:val="auto"/>
                <w:lang w:val="en-GB"/>
              </w:rPr>
              <w:t>None</w:t>
            </w:r>
            <w:bookmarkStart w:id="82" w:name="_Ref434335281"/>
            <w:r w:rsidRPr="005516CD">
              <w:rPr>
                <w:rStyle w:val="FootnoteReference"/>
                <w:rFonts w:asciiTheme="majorHAnsi" w:hAnsiTheme="majorHAnsi" w:cstheme="majorHAnsi"/>
                <w:b/>
                <w:color w:val="auto"/>
              </w:rPr>
              <w:footnoteReference w:id="77"/>
            </w:r>
            <w:bookmarkEnd w:id="82"/>
          </w:p>
        </w:tc>
        <w:tc>
          <w:tcPr>
            <w:tcW w:w="1165" w:type="dxa"/>
          </w:tcPr>
          <w:p w14:paraId="1A2B73BD" w14:textId="77777777" w:rsidR="00E45267" w:rsidRPr="005516CD" w:rsidRDefault="00E45267" w:rsidP="00E45267">
            <w:pPr>
              <w:pStyle w:val="BodyText23"/>
              <w:widowControl/>
              <w:tabs>
                <w:tab w:val="clear" w:pos="547"/>
              </w:tabs>
              <w:rPr>
                <w:rFonts w:asciiTheme="majorHAnsi" w:hAnsiTheme="majorHAnsi" w:cstheme="majorHAnsi"/>
                <w:color w:val="auto"/>
                <w:lang w:val="en-GB"/>
              </w:rPr>
            </w:pPr>
            <w:r w:rsidRPr="005516CD">
              <w:rPr>
                <w:rFonts w:asciiTheme="majorHAnsi" w:hAnsiTheme="majorHAnsi" w:cstheme="majorHAnsi"/>
                <w:color w:val="auto"/>
                <w:lang w:val="en-GB"/>
              </w:rPr>
              <w:t xml:space="preserve">USD </w:t>
            </w:r>
            <w:r w:rsidR="009137BC" w:rsidRPr="005516CD">
              <w:rPr>
                <w:rFonts w:asciiTheme="majorHAnsi" w:hAnsiTheme="majorHAnsi" w:cstheme="majorHAnsi"/>
                <w:color w:val="auto"/>
                <w:lang w:val="en-GB"/>
              </w:rPr>
              <w:t>7,500</w:t>
            </w:r>
          </w:p>
          <w:p w14:paraId="1003E3C4" w14:textId="77777777" w:rsidR="00E45267" w:rsidRPr="005516CD" w:rsidRDefault="00E45267" w:rsidP="00E45267">
            <w:pPr>
              <w:pStyle w:val="BodyText23"/>
              <w:widowControl/>
              <w:tabs>
                <w:tab w:val="clear" w:pos="547"/>
              </w:tabs>
              <w:rPr>
                <w:rFonts w:asciiTheme="majorHAnsi" w:hAnsiTheme="majorHAnsi" w:cstheme="majorHAnsi"/>
                <w:color w:val="auto"/>
                <w:lang w:val="en-GB"/>
              </w:rPr>
            </w:pPr>
            <w:r w:rsidRPr="005516CD">
              <w:rPr>
                <w:rFonts w:asciiTheme="majorHAnsi" w:hAnsiTheme="majorHAnsi" w:cstheme="majorHAnsi"/>
                <w:color w:val="auto"/>
                <w:lang w:val="en-GB"/>
              </w:rPr>
              <w:t>(USD 1,500/year)</w:t>
            </w:r>
          </w:p>
        </w:tc>
        <w:tc>
          <w:tcPr>
            <w:tcW w:w="2024" w:type="dxa"/>
          </w:tcPr>
          <w:p w14:paraId="0045A256"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Annually</w:t>
            </w:r>
          </w:p>
        </w:tc>
      </w:tr>
      <w:tr w:rsidR="00E45267" w:rsidRPr="005516CD" w14:paraId="05FB9341" w14:textId="77777777" w:rsidTr="009137BC">
        <w:trPr>
          <w:jc w:val="center"/>
        </w:trPr>
        <w:tc>
          <w:tcPr>
            <w:tcW w:w="2331" w:type="dxa"/>
          </w:tcPr>
          <w:p w14:paraId="3A633285"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Oversight missions</w:t>
            </w:r>
          </w:p>
        </w:tc>
        <w:tc>
          <w:tcPr>
            <w:tcW w:w="1670" w:type="dxa"/>
          </w:tcPr>
          <w:p w14:paraId="0A95FD17"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sz w:val="20"/>
                <w:szCs w:val="20"/>
              </w:rPr>
              <w:t>UNDP-GEF team</w:t>
            </w:r>
          </w:p>
        </w:tc>
        <w:tc>
          <w:tcPr>
            <w:tcW w:w="1820" w:type="dxa"/>
          </w:tcPr>
          <w:p w14:paraId="371B0B4F" w14:textId="1E12CA5C" w:rsidR="00E45267" w:rsidRPr="005516CD" w:rsidRDefault="00E45267" w:rsidP="00E45267">
            <w:pPr>
              <w:pStyle w:val="BodyText23"/>
              <w:widowControl/>
              <w:tabs>
                <w:tab w:val="clear" w:pos="547"/>
              </w:tabs>
              <w:rPr>
                <w:rFonts w:asciiTheme="majorHAnsi" w:hAnsiTheme="majorHAnsi" w:cstheme="majorHAnsi"/>
                <w:color w:val="auto"/>
                <w:lang w:val="en-GB"/>
              </w:rPr>
            </w:pPr>
            <w:r w:rsidRPr="005516CD">
              <w:rPr>
                <w:rFonts w:asciiTheme="majorHAnsi" w:hAnsiTheme="majorHAnsi" w:cstheme="majorHAnsi"/>
                <w:color w:val="auto"/>
                <w:lang w:val="en-GB"/>
              </w:rPr>
              <w:t>None</w:t>
            </w:r>
            <w:r w:rsidRPr="005516CD">
              <w:rPr>
                <w:rFonts w:asciiTheme="majorHAnsi" w:hAnsiTheme="majorHAnsi" w:cstheme="majorHAnsi"/>
                <w:color w:val="auto"/>
                <w:lang w:val="en-GB"/>
              </w:rPr>
              <w:fldChar w:fldCharType="begin"/>
            </w:r>
            <w:r w:rsidRPr="005516CD">
              <w:rPr>
                <w:rFonts w:asciiTheme="majorHAnsi" w:hAnsiTheme="majorHAnsi" w:cstheme="majorHAnsi"/>
                <w:color w:val="auto"/>
                <w:lang w:val="en-GB"/>
              </w:rPr>
              <w:instrText xml:space="preserve"> NOTEREF _Ref434335281 \f \h  \* MERGEFORMAT </w:instrText>
            </w:r>
            <w:r w:rsidRPr="005516CD">
              <w:rPr>
                <w:rFonts w:asciiTheme="majorHAnsi" w:hAnsiTheme="majorHAnsi" w:cstheme="majorHAnsi"/>
                <w:color w:val="auto"/>
                <w:lang w:val="en-GB"/>
              </w:rPr>
            </w:r>
            <w:r w:rsidRPr="005516CD">
              <w:rPr>
                <w:rFonts w:asciiTheme="majorHAnsi" w:hAnsiTheme="majorHAnsi" w:cstheme="majorHAnsi"/>
                <w:color w:val="auto"/>
                <w:lang w:val="en-GB"/>
              </w:rPr>
              <w:fldChar w:fldCharType="separate"/>
            </w:r>
            <w:r w:rsidR="00DD5948" w:rsidRPr="00DD5948">
              <w:rPr>
                <w:rStyle w:val="FootnoteReference"/>
              </w:rPr>
              <w:t>76</w:t>
            </w:r>
            <w:r w:rsidRPr="005516CD">
              <w:rPr>
                <w:rFonts w:asciiTheme="majorHAnsi" w:hAnsiTheme="majorHAnsi" w:cstheme="majorHAnsi"/>
                <w:color w:val="auto"/>
                <w:lang w:val="en-GB"/>
              </w:rPr>
              <w:fldChar w:fldCharType="end"/>
            </w:r>
          </w:p>
        </w:tc>
        <w:tc>
          <w:tcPr>
            <w:tcW w:w="1165" w:type="dxa"/>
          </w:tcPr>
          <w:p w14:paraId="238DB922" w14:textId="77777777" w:rsidR="00E45267" w:rsidRPr="005516CD" w:rsidRDefault="00E45267" w:rsidP="00E45267">
            <w:pPr>
              <w:pStyle w:val="BodyText23"/>
              <w:widowControl/>
              <w:tabs>
                <w:tab w:val="clear" w:pos="547"/>
              </w:tabs>
              <w:rPr>
                <w:rFonts w:asciiTheme="majorHAnsi" w:hAnsiTheme="majorHAnsi" w:cstheme="majorHAnsi"/>
                <w:color w:val="auto"/>
                <w:lang w:val="en-GB"/>
              </w:rPr>
            </w:pPr>
            <w:r w:rsidRPr="005516CD">
              <w:rPr>
                <w:rFonts w:asciiTheme="majorHAnsi" w:hAnsiTheme="majorHAnsi" w:cstheme="majorHAnsi"/>
                <w:color w:val="auto"/>
                <w:lang w:val="en-GB"/>
              </w:rPr>
              <w:t xml:space="preserve">USD </w:t>
            </w:r>
            <w:r w:rsidR="009137BC" w:rsidRPr="005516CD">
              <w:rPr>
                <w:rFonts w:asciiTheme="majorHAnsi" w:hAnsiTheme="majorHAnsi" w:cstheme="majorHAnsi"/>
                <w:color w:val="auto"/>
                <w:lang w:val="en-GB"/>
              </w:rPr>
              <w:t>7,500</w:t>
            </w:r>
          </w:p>
          <w:p w14:paraId="0F040241" w14:textId="77777777" w:rsidR="00E45267" w:rsidRPr="005516CD" w:rsidRDefault="00E45267" w:rsidP="00E45267">
            <w:pPr>
              <w:pStyle w:val="BodyText23"/>
              <w:widowControl/>
              <w:tabs>
                <w:tab w:val="clear" w:pos="547"/>
              </w:tabs>
              <w:rPr>
                <w:rFonts w:asciiTheme="majorHAnsi" w:hAnsiTheme="majorHAnsi" w:cstheme="majorHAnsi"/>
                <w:color w:val="auto"/>
                <w:lang w:val="en-GB"/>
              </w:rPr>
            </w:pPr>
            <w:r w:rsidRPr="005516CD">
              <w:rPr>
                <w:rFonts w:asciiTheme="majorHAnsi" w:hAnsiTheme="majorHAnsi" w:cstheme="majorHAnsi"/>
                <w:color w:val="auto"/>
                <w:lang w:val="en-GB"/>
              </w:rPr>
              <w:t>(USD 1,500/year)</w:t>
            </w:r>
          </w:p>
        </w:tc>
        <w:tc>
          <w:tcPr>
            <w:tcW w:w="2024" w:type="dxa"/>
          </w:tcPr>
          <w:p w14:paraId="27D7343B"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Troubleshooting as needed</w:t>
            </w:r>
          </w:p>
        </w:tc>
      </w:tr>
      <w:tr w:rsidR="00E45267" w:rsidRPr="005516CD" w14:paraId="04DB37EA" w14:textId="77777777" w:rsidTr="009137BC">
        <w:trPr>
          <w:jc w:val="center"/>
        </w:trPr>
        <w:tc>
          <w:tcPr>
            <w:tcW w:w="2331" w:type="dxa"/>
          </w:tcPr>
          <w:p w14:paraId="1F4CD398"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 xml:space="preserve">Knowledge management </w:t>
            </w:r>
          </w:p>
        </w:tc>
        <w:tc>
          <w:tcPr>
            <w:tcW w:w="1670" w:type="dxa"/>
          </w:tcPr>
          <w:p w14:paraId="615E43C9" w14:textId="0D806C2D"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Project </w:t>
            </w:r>
            <w:r w:rsidR="00201734">
              <w:rPr>
                <w:rFonts w:asciiTheme="majorHAnsi" w:hAnsiTheme="majorHAnsi" w:cstheme="majorHAnsi"/>
                <w:sz w:val="20"/>
                <w:szCs w:val="20"/>
              </w:rPr>
              <w:t xml:space="preserve">Officer </w:t>
            </w:r>
          </w:p>
        </w:tc>
        <w:tc>
          <w:tcPr>
            <w:tcW w:w="1820" w:type="dxa"/>
          </w:tcPr>
          <w:p w14:paraId="785B607D"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USD</w:t>
            </w:r>
            <w:r w:rsidR="00313721" w:rsidRPr="005516CD">
              <w:rPr>
                <w:rFonts w:asciiTheme="majorHAnsi" w:hAnsiTheme="majorHAnsi" w:cstheme="majorHAnsi"/>
                <w:sz w:val="20"/>
                <w:szCs w:val="20"/>
              </w:rPr>
              <w:t>35,000</w:t>
            </w:r>
            <w:r w:rsidRPr="005516CD">
              <w:rPr>
                <w:rFonts w:asciiTheme="majorHAnsi" w:hAnsiTheme="majorHAnsi" w:cstheme="majorHAnsi"/>
                <w:sz w:val="20"/>
                <w:szCs w:val="20"/>
              </w:rPr>
              <w:t xml:space="preserve"> (1% of GEF grant)</w:t>
            </w:r>
          </w:p>
        </w:tc>
        <w:tc>
          <w:tcPr>
            <w:tcW w:w="1165" w:type="dxa"/>
          </w:tcPr>
          <w:p w14:paraId="64919FE2" w14:textId="77777777" w:rsidR="00E45267" w:rsidRPr="005516CD" w:rsidRDefault="00E45267" w:rsidP="00E45267">
            <w:pPr>
              <w:rPr>
                <w:rFonts w:asciiTheme="majorHAnsi" w:hAnsiTheme="majorHAnsi" w:cstheme="majorHAnsi"/>
                <w:sz w:val="20"/>
                <w:szCs w:val="20"/>
              </w:rPr>
            </w:pPr>
          </w:p>
        </w:tc>
        <w:tc>
          <w:tcPr>
            <w:tcW w:w="2024" w:type="dxa"/>
          </w:tcPr>
          <w:p w14:paraId="41AF8056"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On-going</w:t>
            </w:r>
          </w:p>
        </w:tc>
      </w:tr>
      <w:tr w:rsidR="00E45267" w:rsidRPr="005516CD" w14:paraId="122E44A4" w14:textId="77777777" w:rsidTr="009137BC">
        <w:trPr>
          <w:jc w:val="center"/>
        </w:trPr>
        <w:tc>
          <w:tcPr>
            <w:tcW w:w="2331" w:type="dxa"/>
          </w:tcPr>
          <w:p w14:paraId="68FCC939"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 xml:space="preserve">GEF Secretariat learning missions/site visits </w:t>
            </w:r>
          </w:p>
        </w:tc>
        <w:tc>
          <w:tcPr>
            <w:tcW w:w="1670" w:type="dxa"/>
          </w:tcPr>
          <w:p w14:paraId="44C078E8" w14:textId="12C2A6DC"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UNDP Country Office and Project </w:t>
            </w:r>
            <w:r w:rsidR="00201734">
              <w:rPr>
                <w:rFonts w:asciiTheme="majorHAnsi" w:hAnsiTheme="majorHAnsi" w:cstheme="majorHAnsi"/>
                <w:sz w:val="20"/>
                <w:szCs w:val="20"/>
              </w:rPr>
              <w:t xml:space="preserve">Officer </w:t>
            </w:r>
            <w:r w:rsidRPr="005516CD">
              <w:rPr>
                <w:rFonts w:asciiTheme="majorHAnsi" w:hAnsiTheme="majorHAnsi" w:cstheme="majorHAnsi"/>
                <w:sz w:val="20"/>
                <w:szCs w:val="20"/>
              </w:rPr>
              <w:t xml:space="preserve"> and UNDP-GEF team</w:t>
            </w:r>
          </w:p>
        </w:tc>
        <w:tc>
          <w:tcPr>
            <w:tcW w:w="1820" w:type="dxa"/>
          </w:tcPr>
          <w:p w14:paraId="26EB3705" w14:textId="77777777" w:rsidR="00E45267" w:rsidRPr="005516CD" w:rsidRDefault="00E45267" w:rsidP="00E45267">
            <w:pPr>
              <w:pStyle w:val="BodyText23"/>
              <w:widowControl/>
              <w:tabs>
                <w:tab w:val="clear" w:pos="547"/>
              </w:tabs>
              <w:rPr>
                <w:rFonts w:asciiTheme="majorHAnsi" w:hAnsiTheme="majorHAnsi" w:cstheme="majorHAnsi"/>
                <w:color w:val="auto"/>
                <w:lang w:val="en-GB"/>
              </w:rPr>
            </w:pPr>
            <w:r w:rsidRPr="005516CD">
              <w:rPr>
                <w:rFonts w:asciiTheme="majorHAnsi" w:hAnsiTheme="majorHAnsi" w:cstheme="majorHAnsi"/>
                <w:color w:val="auto"/>
                <w:lang w:val="en-GB"/>
              </w:rPr>
              <w:t>None</w:t>
            </w:r>
          </w:p>
        </w:tc>
        <w:tc>
          <w:tcPr>
            <w:tcW w:w="1165" w:type="dxa"/>
          </w:tcPr>
          <w:p w14:paraId="28AA9362" w14:textId="77777777" w:rsidR="00E45267" w:rsidRPr="005516CD" w:rsidRDefault="00E45267" w:rsidP="00E45267">
            <w:pPr>
              <w:pStyle w:val="BodyText23"/>
              <w:widowControl/>
              <w:tabs>
                <w:tab w:val="clear" w:pos="547"/>
              </w:tabs>
              <w:rPr>
                <w:rFonts w:asciiTheme="majorHAnsi" w:hAnsiTheme="majorHAnsi" w:cstheme="majorHAnsi"/>
                <w:color w:val="auto"/>
                <w:lang w:val="en-GB"/>
              </w:rPr>
            </w:pPr>
            <w:r w:rsidRPr="005516CD">
              <w:rPr>
                <w:rFonts w:asciiTheme="majorHAnsi" w:hAnsiTheme="majorHAnsi" w:cstheme="majorHAnsi"/>
                <w:color w:val="auto"/>
              </w:rPr>
              <w:t xml:space="preserve">USD </w:t>
            </w:r>
            <w:r w:rsidR="00937FEA" w:rsidRPr="005516CD">
              <w:rPr>
                <w:rFonts w:asciiTheme="majorHAnsi" w:hAnsiTheme="majorHAnsi" w:cstheme="majorHAnsi"/>
                <w:color w:val="auto"/>
              </w:rPr>
              <w:t>2</w:t>
            </w:r>
            <w:r w:rsidRPr="005516CD">
              <w:rPr>
                <w:rFonts w:asciiTheme="majorHAnsi" w:hAnsiTheme="majorHAnsi" w:cstheme="majorHAnsi"/>
                <w:color w:val="auto"/>
              </w:rPr>
              <w:t>,</w:t>
            </w:r>
            <w:r w:rsidR="00937FEA" w:rsidRPr="005516CD">
              <w:rPr>
                <w:rFonts w:asciiTheme="majorHAnsi" w:hAnsiTheme="majorHAnsi" w:cstheme="majorHAnsi"/>
                <w:color w:val="auto"/>
              </w:rPr>
              <w:t>5</w:t>
            </w:r>
            <w:r w:rsidRPr="005516CD">
              <w:rPr>
                <w:rFonts w:asciiTheme="majorHAnsi" w:hAnsiTheme="majorHAnsi" w:cstheme="majorHAnsi"/>
                <w:color w:val="auto"/>
              </w:rPr>
              <w:t>00</w:t>
            </w:r>
          </w:p>
        </w:tc>
        <w:tc>
          <w:tcPr>
            <w:tcW w:w="2024" w:type="dxa"/>
          </w:tcPr>
          <w:p w14:paraId="32E4E4E7"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To be determined.</w:t>
            </w:r>
          </w:p>
        </w:tc>
      </w:tr>
      <w:tr w:rsidR="00E45267" w:rsidRPr="005516CD" w14:paraId="56FCBF84" w14:textId="77777777" w:rsidTr="009137BC">
        <w:trPr>
          <w:jc w:val="center"/>
        </w:trPr>
        <w:tc>
          <w:tcPr>
            <w:tcW w:w="2331" w:type="dxa"/>
          </w:tcPr>
          <w:p w14:paraId="140C0F70" w14:textId="77777777" w:rsidR="00E45267" w:rsidRPr="005516CD" w:rsidRDefault="00E45267" w:rsidP="00E45267">
            <w:pPr>
              <w:rPr>
                <w:rFonts w:asciiTheme="majorHAnsi" w:hAnsiTheme="majorHAnsi" w:cstheme="majorHAnsi"/>
                <w:b/>
                <w:i/>
                <w:sz w:val="20"/>
                <w:szCs w:val="20"/>
              </w:rPr>
            </w:pPr>
            <w:r w:rsidRPr="005516CD">
              <w:rPr>
                <w:rFonts w:asciiTheme="majorHAnsi" w:hAnsiTheme="majorHAnsi" w:cstheme="majorHAnsi"/>
                <w:b/>
                <w:i/>
                <w:sz w:val="20"/>
                <w:szCs w:val="20"/>
              </w:rPr>
              <w:t xml:space="preserve">Independent Mid-term Review (MTR) and management response </w:t>
            </w:r>
          </w:p>
        </w:tc>
        <w:tc>
          <w:tcPr>
            <w:tcW w:w="1670" w:type="dxa"/>
          </w:tcPr>
          <w:p w14:paraId="2DB8F695" w14:textId="77777777" w:rsidR="00E45267" w:rsidRPr="005516CD" w:rsidRDefault="00E45267" w:rsidP="00E45267">
            <w:pPr>
              <w:rPr>
                <w:rFonts w:asciiTheme="majorHAnsi" w:hAnsiTheme="majorHAnsi" w:cstheme="majorHAnsi"/>
                <w:i/>
                <w:sz w:val="20"/>
                <w:szCs w:val="20"/>
              </w:rPr>
            </w:pPr>
            <w:r w:rsidRPr="005516CD">
              <w:rPr>
                <w:rFonts w:asciiTheme="majorHAnsi" w:hAnsiTheme="majorHAnsi" w:cstheme="majorHAnsi"/>
                <w:i/>
                <w:sz w:val="20"/>
                <w:szCs w:val="20"/>
              </w:rPr>
              <w:t>UNDP Country Office and Project team and UNDP-GEF team</w:t>
            </w:r>
          </w:p>
        </w:tc>
        <w:tc>
          <w:tcPr>
            <w:tcW w:w="1820" w:type="dxa"/>
          </w:tcPr>
          <w:p w14:paraId="2BD88321" w14:textId="5087F55A" w:rsidR="00E45267" w:rsidRPr="005516CD" w:rsidRDefault="00E45267" w:rsidP="00916589">
            <w:pPr>
              <w:rPr>
                <w:rFonts w:asciiTheme="majorHAnsi" w:hAnsiTheme="majorHAnsi" w:cstheme="majorHAnsi"/>
                <w:i/>
                <w:sz w:val="20"/>
                <w:szCs w:val="20"/>
              </w:rPr>
            </w:pPr>
            <w:r w:rsidRPr="008244FA">
              <w:rPr>
                <w:rFonts w:asciiTheme="majorHAnsi" w:hAnsiTheme="majorHAnsi" w:cstheme="majorHAnsi"/>
                <w:i/>
                <w:sz w:val="20"/>
                <w:szCs w:val="20"/>
                <w:highlight w:val="cyan"/>
              </w:rPr>
              <w:t>USD</w:t>
            </w:r>
            <w:r w:rsidR="009241AB" w:rsidRPr="008244FA">
              <w:rPr>
                <w:rFonts w:asciiTheme="majorHAnsi" w:hAnsiTheme="majorHAnsi" w:cstheme="majorHAnsi"/>
                <w:i/>
                <w:sz w:val="20"/>
                <w:szCs w:val="20"/>
                <w:highlight w:val="cyan"/>
              </w:rPr>
              <w:t>42</w:t>
            </w:r>
            <w:r w:rsidR="009137BC" w:rsidRPr="008244FA">
              <w:rPr>
                <w:rFonts w:asciiTheme="majorHAnsi" w:hAnsiTheme="majorHAnsi" w:cstheme="majorHAnsi"/>
                <w:i/>
                <w:sz w:val="20"/>
                <w:szCs w:val="20"/>
                <w:highlight w:val="cyan"/>
              </w:rPr>
              <w:t>,000</w:t>
            </w:r>
            <w:r w:rsidR="00937FEA" w:rsidRPr="005516CD">
              <w:rPr>
                <w:rFonts w:asciiTheme="majorHAnsi" w:hAnsiTheme="majorHAnsi" w:cstheme="majorHAnsi"/>
                <w:i/>
                <w:sz w:val="20"/>
                <w:szCs w:val="20"/>
              </w:rPr>
              <w:t xml:space="preserve"> (includes international and national support consultant)</w:t>
            </w:r>
          </w:p>
        </w:tc>
        <w:tc>
          <w:tcPr>
            <w:tcW w:w="1165" w:type="dxa"/>
          </w:tcPr>
          <w:p w14:paraId="2C2B4A07" w14:textId="0ADC56B7" w:rsidR="00E45267" w:rsidRPr="005516CD" w:rsidRDefault="00E45267" w:rsidP="00E45267">
            <w:pPr>
              <w:rPr>
                <w:rFonts w:asciiTheme="majorHAnsi" w:hAnsiTheme="majorHAnsi" w:cstheme="majorHAnsi"/>
                <w:iCs/>
                <w:sz w:val="20"/>
                <w:szCs w:val="20"/>
              </w:rPr>
            </w:pPr>
            <w:r w:rsidRPr="008244FA">
              <w:rPr>
                <w:rFonts w:asciiTheme="majorHAnsi" w:hAnsiTheme="majorHAnsi" w:cstheme="majorHAnsi"/>
                <w:iCs/>
                <w:sz w:val="20"/>
                <w:szCs w:val="20"/>
                <w:highlight w:val="cyan"/>
              </w:rPr>
              <w:t xml:space="preserve">USD </w:t>
            </w:r>
            <w:r w:rsidR="008A7C73" w:rsidRPr="008244FA">
              <w:rPr>
                <w:rFonts w:asciiTheme="majorHAnsi" w:hAnsiTheme="majorHAnsi" w:cstheme="majorHAnsi"/>
                <w:iCs/>
                <w:sz w:val="20"/>
                <w:szCs w:val="20"/>
                <w:highlight w:val="cyan"/>
              </w:rPr>
              <w:t>20</w:t>
            </w:r>
            <w:r w:rsidRPr="008244FA">
              <w:rPr>
                <w:rFonts w:asciiTheme="majorHAnsi" w:hAnsiTheme="majorHAnsi" w:cstheme="majorHAnsi"/>
                <w:iCs/>
                <w:sz w:val="20"/>
                <w:szCs w:val="20"/>
                <w:highlight w:val="cyan"/>
              </w:rPr>
              <w:t>,000</w:t>
            </w:r>
          </w:p>
        </w:tc>
        <w:tc>
          <w:tcPr>
            <w:tcW w:w="2024" w:type="dxa"/>
          </w:tcPr>
          <w:p w14:paraId="13C3BB7F"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Between 2</w:t>
            </w:r>
            <w:r w:rsidRPr="005516CD">
              <w:rPr>
                <w:rFonts w:asciiTheme="majorHAnsi" w:hAnsiTheme="majorHAnsi" w:cstheme="majorHAnsi"/>
                <w:sz w:val="20"/>
                <w:szCs w:val="20"/>
                <w:vertAlign w:val="superscript"/>
              </w:rPr>
              <w:t>nd</w:t>
            </w:r>
            <w:r w:rsidRPr="005516CD">
              <w:rPr>
                <w:rFonts w:asciiTheme="majorHAnsi" w:hAnsiTheme="majorHAnsi" w:cstheme="majorHAnsi"/>
                <w:sz w:val="20"/>
                <w:szCs w:val="20"/>
              </w:rPr>
              <w:t xml:space="preserve"> and 3</w:t>
            </w:r>
            <w:r w:rsidRPr="005516CD">
              <w:rPr>
                <w:rFonts w:asciiTheme="majorHAnsi" w:hAnsiTheme="majorHAnsi" w:cstheme="majorHAnsi"/>
                <w:sz w:val="20"/>
                <w:szCs w:val="20"/>
                <w:vertAlign w:val="superscript"/>
              </w:rPr>
              <w:t>rd</w:t>
            </w:r>
            <w:r w:rsidRPr="005516CD">
              <w:rPr>
                <w:rFonts w:asciiTheme="majorHAnsi" w:hAnsiTheme="majorHAnsi" w:cstheme="majorHAnsi"/>
                <w:sz w:val="20"/>
                <w:szCs w:val="20"/>
              </w:rPr>
              <w:t xml:space="preserve"> PIR.  </w:t>
            </w:r>
          </w:p>
        </w:tc>
      </w:tr>
      <w:tr w:rsidR="00E45267" w:rsidRPr="005516CD" w14:paraId="3A588D21" w14:textId="77777777" w:rsidTr="009137BC">
        <w:trPr>
          <w:jc w:val="center"/>
        </w:trPr>
        <w:tc>
          <w:tcPr>
            <w:tcW w:w="2331" w:type="dxa"/>
          </w:tcPr>
          <w:p w14:paraId="394C16A0"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Independent Terminal Evaluation (TE) included in UNDP evaluation plan, and management response</w:t>
            </w:r>
          </w:p>
        </w:tc>
        <w:tc>
          <w:tcPr>
            <w:tcW w:w="1670" w:type="dxa"/>
          </w:tcPr>
          <w:p w14:paraId="370CD2A4"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UNDP Country Office and Project team and UNDP-GEF team</w:t>
            </w:r>
          </w:p>
        </w:tc>
        <w:tc>
          <w:tcPr>
            <w:tcW w:w="1820" w:type="dxa"/>
          </w:tcPr>
          <w:p w14:paraId="01F9A13E" w14:textId="48A5DFA5" w:rsidR="009137BC" w:rsidRPr="009241AB" w:rsidRDefault="009241AB" w:rsidP="009137BC">
            <w:pPr>
              <w:rPr>
                <w:rFonts w:asciiTheme="majorHAnsi" w:hAnsiTheme="majorHAnsi" w:cstheme="majorHAnsi"/>
                <w:sz w:val="20"/>
                <w:szCs w:val="20"/>
              </w:rPr>
            </w:pPr>
            <w:r w:rsidRPr="008244FA">
              <w:rPr>
                <w:rFonts w:asciiTheme="majorHAnsi" w:hAnsiTheme="majorHAnsi" w:cstheme="majorHAnsi"/>
                <w:i/>
                <w:sz w:val="20"/>
                <w:szCs w:val="20"/>
                <w:highlight w:val="cyan"/>
              </w:rPr>
              <w:t>USD42</w:t>
            </w:r>
            <w:r w:rsidR="009137BC" w:rsidRPr="008244FA">
              <w:rPr>
                <w:rFonts w:asciiTheme="majorHAnsi" w:hAnsiTheme="majorHAnsi" w:cstheme="majorHAnsi"/>
                <w:i/>
                <w:sz w:val="20"/>
                <w:szCs w:val="20"/>
                <w:highlight w:val="cyan"/>
              </w:rPr>
              <w:t>,000</w:t>
            </w:r>
          </w:p>
          <w:p w14:paraId="60AB7BD2" w14:textId="77777777" w:rsidR="00E45267" w:rsidRPr="005516CD" w:rsidRDefault="00937FEA" w:rsidP="00E45267">
            <w:pPr>
              <w:rPr>
                <w:rFonts w:asciiTheme="majorHAnsi" w:hAnsiTheme="majorHAnsi" w:cstheme="majorHAnsi"/>
                <w:sz w:val="20"/>
                <w:szCs w:val="20"/>
              </w:rPr>
            </w:pPr>
            <w:r w:rsidRPr="005516CD">
              <w:rPr>
                <w:rFonts w:asciiTheme="majorHAnsi" w:hAnsiTheme="majorHAnsi" w:cstheme="majorHAnsi"/>
                <w:i/>
                <w:sz w:val="20"/>
                <w:szCs w:val="20"/>
              </w:rPr>
              <w:t>(includes international and national support consultant)</w:t>
            </w:r>
          </w:p>
        </w:tc>
        <w:tc>
          <w:tcPr>
            <w:tcW w:w="1165" w:type="dxa"/>
          </w:tcPr>
          <w:p w14:paraId="2DBA1F41" w14:textId="1E81870C" w:rsidR="00E45267" w:rsidRPr="005516CD" w:rsidRDefault="00E45267" w:rsidP="00E45267">
            <w:pPr>
              <w:tabs>
                <w:tab w:val="center" w:pos="1216"/>
              </w:tabs>
              <w:rPr>
                <w:rFonts w:asciiTheme="majorHAnsi" w:hAnsiTheme="majorHAnsi" w:cstheme="majorHAnsi"/>
                <w:sz w:val="20"/>
                <w:szCs w:val="20"/>
              </w:rPr>
            </w:pPr>
            <w:r w:rsidRPr="008244FA">
              <w:rPr>
                <w:rFonts w:asciiTheme="majorHAnsi" w:hAnsiTheme="majorHAnsi" w:cstheme="majorHAnsi"/>
                <w:i/>
                <w:sz w:val="20"/>
                <w:szCs w:val="20"/>
                <w:highlight w:val="cyan"/>
              </w:rPr>
              <w:t xml:space="preserve">USD </w:t>
            </w:r>
            <w:r w:rsidR="008A7C73" w:rsidRPr="008244FA">
              <w:rPr>
                <w:rFonts w:asciiTheme="majorHAnsi" w:hAnsiTheme="majorHAnsi" w:cstheme="majorHAnsi"/>
                <w:i/>
                <w:sz w:val="20"/>
                <w:szCs w:val="20"/>
                <w:highlight w:val="cyan"/>
              </w:rPr>
              <w:t>20</w:t>
            </w:r>
            <w:r w:rsidRPr="008244FA">
              <w:rPr>
                <w:rFonts w:asciiTheme="majorHAnsi" w:hAnsiTheme="majorHAnsi" w:cstheme="majorHAnsi"/>
                <w:i/>
                <w:sz w:val="20"/>
                <w:szCs w:val="20"/>
                <w:highlight w:val="cyan"/>
              </w:rPr>
              <w:t>,000</w:t>
            </w:r>
          </w:p>
        </w:tc>
        <w:tc>
          <w:tcPr>
            <w:tcW w:w="2024" w:type="dxa"/>
          </w:tcPr>
          <w:p w14:paraId="584DC3AC"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At least three months before operational closure</w:t>
            </w:r>
          </w:p>
        </w:tc>
      </w:tr>
      <w:tr w:rsidR="00E45267" w:rsidRPr="005516CD" w14:paraId="3865F631" w14:textId="77777777" w:rsidTr="009137BC">
        <w:trPr>
          <w:jc w:val="center"/>
        </w:trPr>
        <w:tc>
          <w:tcPr>
            <w:tcW w:w="2331" w:type="dxa"/>
          </w:tcPr>
          <w:p w14:paraId="722AF730"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Translation of MTR and TE reports into English</w:t>
            </w:r>
          </w:p>
        </w:tc>
        <w:tc>
          <w:tcPr>
            <w:tcW w:w="1670" w:type="dxa"/>
          </w:tcPr>
          <w:p w14:paraId="7559E239"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UNDP Country Office</w:t>
            </w:r>
          </w:p>
        </w:tc>
        <w:tc>
          <w:tcPr>
            <w:tcW w:w="1820" w:type="dxa"/>
          </w:tcPr>
          <w:p w14:paraId="1448933B" w14:textId="1EBFA2EE" w:rsidR="00E45267" w:rsidRPr="005516CD" w:rsidRDefault="00E45267" w:rsidP="00E45267">
            <w:pPr>
              <w:rPr>
                <w:rFonts w:asciiTheme="majorHAnsi" w:hAnsiTheme="majorHAnsi" w:cstheme="majorHAnsi"/>
                <w:i/>
                <w:sz w:val="20"/>
                <w:szCs w:val="20"/>
              </w:rPr>
            </w:pPr>
            <w:r w:rsidRPr="008244FA">
              <w:rPr>
                <w:rFonts w:asciiTheme="majorHAnsi" w:hAnsiTheme="majorHAnsi" w:cstheme="majorHAnsi"/>
                <w:i/>
                <w:sz w:val="20"/>
                <w:szCs w:val="20"/>
                <w:highlight w:val="cyan"/>
              </w:rPr>
              <w:t>USD</w:t>
            </w:r>
            <w:r w:rsidR="009241AB" w:rsidRPr="008244FA">
              <w:rPr>
                <w:rFonts w:asciiTheme="majorHAnsi" w:hAnsiTheme="majorHAnsi" w:cstheme="majorHAnsi"/>
                <w:i/>
                <w:sz w:val="20"/>
                <w:szCs w:val="20"/>
                <w:highlight w:val="cyan"/>
              </w:rPr>
              <w:t>12,000</w:t>
            </w:r>
          </w:p>
        </w:tc>
        <w:tc>
          <w:tcPr>
            <w:tcW w:w="1165" w:type="dxa"/>
          </w:tcPr>
          <w:p w14:paraId="3F44EEEA" w14:textId="2FDFA158" w:rsidR="00E45267" w:rsidRPr="005516CD" w:rsidRDefault="00E45267" w:rsidP="00E45267">
            <w:pPr>
              <w:rPr>
                <w:rFonts w:asciiTheme="majorHAnsi" w:hAnsiTheme="majorHAnsi" w:cstheme="majorHAnsi"/>
                <w:i/>
                <w:sz w:val="20"/>
                <w:szCs w:val="20"/>
              </w:rPr>
            </w:pPr>
          </w:p>
        </w:tc>
        <w:tc>
          <w:tcPr>
            <w:tcW w:w="2024" w:type="dxa"/>
          </w:tcPr>
          <w:p w14:paraId="528E4E7D" w14:textId="77777777" w:rsidR="00E45267" w:rsidRPr="005516CD" w:rsidRDefault="00E45267" w:rsidP="00E45267">
            <w:pPr>
              <w:rPr>
                <w:rFonts w:asciiTheme="majorHAnsi" w:hAnsiTheme="majorHAnsi" w:cstheme="majorHAnsi"/>
                <w:sz w:val="20"/>
                <w:szCs w:val="20"/>
              </w:rPr>
            </w:pPr>
          </w:p>
        </w:tc>
      </w:tr>
      <w:tr w:rsidR="00E45267" w:rsidRPr="005516CD" w14:paraId="6700980B" w14:textId="77777777" w:rsidTr="009137BC">
        <w:trPr>
          <w:cantSplit/>
          <w:trHeight w:val="710"/>
          <w:jc w:val="center"/>
        </w:trPr>
        <w:tc>
          <w:tcPr>
            <w:tcW w:w="4001" w:type="dxa"/>
            <w:gridSpan w:val="2"/>
            <w:shd w:val="clear" w:color="auto" w:fill="E6E6E6"/>
          </w:tcPr>
          <w:p w14:paraId="3AA2750A" w14:textId="77777777" w:rsidR="00E45267" w:rsidRPr="005516CD" w:rsidRDefault="00E45267" w:rsidP="00E45267">
            <w:pPr>
              <w:rPr>
                <w:rFonts w:asciiTheme="majorHAnsi" w:hAnsiTheme="majorHAnsi" w:cstheme="majorHAnsi"/>
                <w:b/>
                <w:sz w:val="20"/>
                <w:szCs w:val="20"/>
              </w:rPr>
            </w:pPr>
            <w:r w:rsidRPr="005516CD">
              <w:rPr>
                <w:rFonts w:asciiTheme="majorHAnsi" w:hAnsiTheme="majorHAnsi" w:cstheme="majorHAnsi"/>
                <w:b/>
                <w:sz w:val="20"/>
                <w:szCs w:val="20"/>
              </w:rPr>
              <w:t xml:space="preserve">TOTAL indicative COST </w:t>
            </w:r>
          </w:p>
          <w:p w14:paraId="0570E62A" w14:textId="77777777" w:rsidR="00E45267" w:rsidRPr="005516CD" w:rsidRDefault="00E45267" w:rsidP="00E45267">
            <w:pPr>
              <w:rPr>
                <w:rFonts w:asciiTheme="majorHAnsi" w:hAnsiTheme="majorHAnsi" w:cstheme="majorHAnsi"/>
                <w:sz w:val="20"/>
                <w:szCs w:val="20"/>
              </w:rPr>
            </w:pPr>
            <w:r w:rsidRPr="005516CD">
              <w:rPr>
                <w:rFonts w:asciiTheme="majorHAnsi" w:hAnsiTheme="majorHAnsi" w:cstheme="majorHAnsi"/>
                <w:sz w:val="20"/>
                <w:szCs w:val="20"/>
              </w:rPr>
              <w:t xml:space="preserve">Excluding project team staff time, and UNDP staff and travel expenses </w:t>
            </w:r>
          </w:p>
        </w:tc>
        <w:tc>
          <w:tcPr>
            <w:tcW w:w="1820" w:type="dxa"/>
            <w:shd w:val="clear" w:color="auto" w:fill="E6E6E6"/>
          </w:tcPr>
          <w:p w14:paraId="573A9174" w14:textId="4648C1A1" w:rsidR="00E45267" w:rsidRPr="008244FA" w:rsidRDefault="009D3914" w:rsidP="00E45267">
            <w:pPr>
              <w:rPr>
                <w:rFonts w:asciiTheme="majorHAnsi" w:hAnsiTheme="majorHAnsi" w:cstheme="majorHAnsi"/>
                <w:i/>
                <w:sz w:val="20"/>
                <w:szCs w:val="20"/>
                <w:highlight w:val="cyan"/>
              </w:rPr>
            </w:pPr>
            <w:r>
              <w:rPr>
                <w:rFonts w:asciiTheme="majorHAnsi" w:hAnsiTheme="majorHAnsi" w:cstheme="majorHAnsi"/>
                <w:i/>
                <w:sz w:val="20"/>
                <w:szCs w:val="20"/>
                <w:highlight w:val="cyan"/>
              </w:rPr>
              <w:t>USD</w:t>
            </w:r>
            <w:r w:rsidR="00DC48E7" w:rsidRPr="008244FA">
              <w:rPr>
                <w:rFonts w:asciiTheme="majorHAnsi" w:hAnsiTheme="majorHAnsi" w:cstheme="majorHAnsi"/>
                <w:i/>
                <w:sz w:val="20"/>
                <w:szCs w:val="20"/>
                <w:highlight w:val="cyan"/>
              </w:rPr>
              <w:t>2</w:t>
            </w:r>
            <w:r w:rsidR="006144DC">
              <w:rPr>
                <w:rFonts w:asciiTheme="majorHAnsi" w:hAnsiTheme="majorHAnsi" w:cstheme="majorHAnsi"/>
                <w:i/>
                <w:sz w:val="20"/>
                <w:szCs w:val="20"/>
                <w:highlight w:val="cyan"/>
              </w:rPr>
              <w:t>08</w:t>
            </w:r>
            <w:r w:rsidR="009137BC" w:rsidRPr="008244FA">
              <w:rPr>
                <w:rFonts w:asciiTheme="majorHAnsi" w:hAnsiTheme="majorHAnsi" w:cstheme="majorHAnsi"/>
                <w:i/>
                <w:sz w:val="20"/>
                <w:szCs w:val="20"/>
                <w:highlight w:val="cyan"/>
              </w:rPr>
              <w:t>,</w:t>
            </w:r>
            <w:r w:rsidRPr="008244FA">
              <w:rPr>
                <w:rFonts w:asciiTheme="majorHAnsi" w:hAnsiTheme="majorHAnsi" w:cstheme="majorHAnsi"/>
                <w:i/>
                <w:sz w:val="20"/>
                <w:szCs w:val="20"/>
                <w:highlight w:val="cyan"/>
              </w:rPr>
              <w:t>5</w:t>
            </w:r>
            <w:r w:rsidR="008A7C73" w:rsidRPr="008244FA">
              <w:rPr>
                <w:rFonts w:asciiTheme="majorHAnsi" w:hAnsiTheme="majorHAnsi" w:cstheme="majorHAnsi"/>
                <w:i/>
                <w:sz w:val="20"/>
                <w:szCs w:val="20"/>
                <w:highlight w:val="cyan"/>
              </w:rPr>
              <w:t xml:space="preserve">00 </w:t>
            </w:r>
            <w:r w:rsidR="00E45267" w:rsidRPr="008244FA">
              <w:rPr>
                <w:rFonts w:asciiTheme="majorHAnsi" w:hAnsiTheme="majorHAnsi" w:cstheme="majorHAnsi"/>
                <w:i/>
                <w:sz w:val="20"/>
                <w:szCs w:val="20"/>
                <w:highlight w:val="cyan"/>
              </w:rPr>
              <w:t>(</w:t>
            </w:r>
            <w:r w:rsidR="000B294C">
              <w:rPr>
                <w:rFonts w:asciiTheme="majorHAnsi" w:hAnsiTheme="majorHAnsi" w:cstheme="majorHAnsi"/>
                <w:i/>
                <w:sz w:val="20"/>
                <w:szCs w:val="20"/>
                <w:highlight w:val="cyan"/>
              </w:rPr>
              <w:t>5.95</w:t>
            </w:r>
            <w:r w:rsidR="00E45267" w:rsidRPr="008244FA">
              <w:rPr>
                <w:rFonts w:asciiTheme="majorHAnsi" w:hAnsiTheme="majorHAnsi" w:cstheme="majorHAnsi"/>
                <w:i/>
                <w:sz w:val="20"/>
                <w:szCs w:val="20"/>
                <w:highlight w:val="cyan"/>
              </w:rPr>
              <w:t>% of GEF grant)</w:t>
            </w:r>
          </w:p>
        </w:tc>
        <w:tc>
          <w:tcPr>
            <w:tcW w:w="1165" w:type="dxa"/>
            <w:shd w:val="clear" w:color="auto" w:fill="E6E6E6"/>
          </w:tcPr>
          <w:p w14:paraId="7CEAF1D1" w14:textId="0C830DFF" w:rsidR="00E45267" w:rsidRPr="008244FA" w:rsidRDefault="00E45267" w:rsidP="00E45267">
            <w:pPr>
              <w:rPr>
                <w:rFonts w:asciiTheme="majorHAnsi" w:hAnsiTheme="majorHAnsi" w:cstheme="majorHAnsi"/>
                <w:i/>
                <w:sz w:val="20"/>
                <w:szCs w:val="20"/>
                <w:highlight w:val="cyan"/>
              </w:rPr>
            </w:pPr>
            <w:r w:rsidRPr="008244FA">
              <w:rPr>
                <w:rFonts w:asciiTheme="majorHAnsi" w:hAnsiTheme="majorHAnsi" w:cstheme="majorHAnsi"/>
                <w:i/>
                <w:sz w:val="20"/>
                <w:szCs w:val="20"/>
                <w:highlight w:val="cyan"/>
              </w:rPr>
              <w:t xml:space="preserve">USD </w:t>
            </w:r>
            <w:r w:rsidR="009D3914" w:rsidRPr="008244FA">
              <w:rPr>
                <w:rFonts w:asciiTheme="majorHAnsi" w:hAnsiTheme="majorHAnsi" w:cstheme="majorHAnsi"/>
                <w:i/>
                <w:sz w:val="20"/>
                <w:szCs w:val="20"/>
                <w:highlight w:val="cyan"/>
              </w:rPr>
              <w:t>77,5</w:t>
            </w:r>
            <w:r w:rsidR="00937FEA" w:rsidRPr="008244FA">
              <w:rPr>
                <w:rFonts w:asciiTheme="majorHAnsi" w:hAnsiTheme="majorHAnsi" w:cstheme="majorHAnsi"/>
                <w:i/>
                <w:sz w:val="20"/>
                <w:szCs w:val="20"/>
                <w:highlight w:val="cyan"/>
              </w:rPr>
              <w:t>00</w:t>
            </w:r>
            <w:r w:rsidRPr="008244FA">
              <w:rPr>
                <w:rFonts w:asciiTheme="majorHAnsi" w:hAnsiTheme="majorHAnsi" w:cstheme="majorHAnsi"/>
                <w:i/>
                <w:sz w:val="20"/>
                <w:szCs w:val="20"/>
                <w:highlight w:val="cyan"/>
              </w:rPr>
              <w:t xml:space="preserve"> </w:t>
            </w:r>
          </w:p>
        </w:tc>
        <w:tc>
          <w:tcPr>
            <w:tcW w:w="2024" w:type="dxa"/>
            <w:shd w:val="clear" w:color="auto" w:fill="E6E6E6"/>
          </w:tcPr>
          <w:p w14:paraId="5C4BE798" w14:textId="77777777" w:rsidR="00E45267" w:rsidRPr="005516CD" w:rsidRDefault="00E45267" w:rsidP="00E45267">
            <w:pPr>
              <w:rPr>
                <w:rFonts w:asciiTheme="majorHAnsi" w:hAnsiTheme="majorHAnsi" w:cstheme="majorHAnsi"/>
                <w:sz w:val="20"/>
                <w:szCs w:val="20"/>
              </w:rPr>
            </w:pPr>
          </w:p>
        </w:tc>
      </w:tr>
      <w:bookmarkEnd w:id="81"/>
    </w:tbl>
    <w:p w14:paraId="1CD5D86E" w14:textId="77777777" w:rsidR="00E45267" w:rsidRPr="005516CD" w:rsidRDefault="00E45267" w:rsidP="00E45267"/>
    <w:p w14:paraId="52DCC628" w14:textId="77777777" w:rsidR="00E45267" w:rsidRPr="005516CD" w:rsidRDefault="00E45267" w:rsidP="00E45267">
      <w:pPr>
        <w:rPr>
          <w:rFonts w:ascii="Calibri" w:eastAsia="Calibri" w:hAnsi="Calibri" w:cs="Calibri"/>
          <w:b/>
          <w:bCs/>
          <w:sz w:val="20"/>
          <w:szCs w:val="20"/>
          <w:u w:color="000000"/>
        </w:rPr>
      </w:pPr>
      <w:r w:rsidRPr="005516CD">
        <w:rPr>
          <w:b/>
          <w:bCs/>
        </w:rPr>
        <w:br w:type="page"/>
      </w:r>
    </w:p>
    <w:p w14:paraId="7AAAD055" w14:textId="77777777" w:rsidR="00E45267" w:rsidRPr="005516CD" w:rsidRDefault="00E45267" w:rsidP="003B2210">
      <w:pPr>
        <w:pStyle w:val="Heading2"/>
        <w:numPr>
          <w:ilvl w:val="0"/>
          <w:numId w:val="166"/>
        </w:numPr>
        <w:spacing w:after="120"/>
        <w:rPr>
          <w:rFonts w:ascii="Calibri" w:eastAsia="Calibri" w:hAnsi="Calibri" w:cs="Calibri"/>
          <w:caps/>
          <w:sz w:val="22"/>
          <w:lang w:val="en-US"/>
        </w:rPr>
      </w:pPr>
      <w:bookmarkStart w:id="83" w:name="_Toc8933100"/>
      <w:r w:rsidRPr="005516CD">
        <w:rPr>
          <w:rFonts w:ascii="Calibri" w:eastAsia="Calibri" w:hAnsi="Calibri" w:cs="Calibri"/>
          <w:caps/>
          <w:sz w:val="22"/>
          <w:lang w:val="en-US"/>
        </w:rPr>
        <w:t>Governance and Management Arrangements</w:t>
      </w:r>
      <w:bookmarkEnd w:id="83"/>
      <w:r w:rsidRPr="005516CD">
        <w:rPr>
          <w:rFonts w:ascii="Calibri" w:eastAsia="Calibri" w:hAnsi="Calibri" w:cs="Calibri"/>
          <w:caps/>
          <w:sz w:val="22"/>
          <w:lang w:val="en-US"/>
        </w:rPr>
        <w:t xml:space="preserve"> </w:t>
      </w:r>
    </w:p>
    <w:p w14:paraId="06074AFD" w14:textId="77777777" w:rsidR="00E45267" w:rsidRPr="005516CD" w:rsidRDefault="00E45267" w:rsidP="00E45267">
      <w:pPr>
        <w:pStyle w:val="Body"/>
        <w:spacing w:after="0"/>
        <w:jc w:val="left"/>
        <w:rPr>
          <w:rStyle w:val="Hyperlink32"/>
        </w:rPr>
      </w:pPr>
      <w:r w:rsidRPr="005516CD">
        <w:rPr>
          <w:rStyle w:val="Hyperlink32"/>
        </w:rPr>
        <w:t xml:space="preserve"> </w:t>
      </w:r>
    </w:p>
    <w:p w14:paraId="60D473FF" w14:textId="50CA8CB7" w:rsidR="00E45267" w:rsidRPr="005516CD" w:rsidRDefault="00AD5770" w:rsidP="00AD5770">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sz w:val="20"/>
          <w:szCs w:val="20"/>
        </w:rPr>
      </w:pPr>
      <w:bookmarkStart w:id="84" w:name="_Hlk2400555"/>
      <w:r w:rsidRPr="005516CD">
        <w:rPr>
          <w:rFonts w:asciiTheme="majorHAnsi" w:hAnsiTheme="majorHAnsi" w:cstheme="majorHAnsi"/>
          <w:noProof/>
          <w:sz w:val="20"/>
          <w:szCs w:val="20"/>
          <w:u w:val="single"/>
          <w:lang w:eastAsia="zh-CN"/>
        </w:rPr>
        <w:t>Roles and responsibilities of the project’s governance mechanism</w:t>
      </w:r>
      <w:r w:rsidRPr="005516CD">
        <w:rPr>
          <w:rFonts w:asciiTheme="majorHAnsi" w:hAnsiTheme="majorHAnsi" w:cstheme="majorHAnsi"/>
          <w:noProof/>
          <w:sz w:val="20"/>
          <w:szCs w:val="20"/>
          <w:lang w:eastAsia="zh-CN"/>
        </w:rPr>
        <w:t xml:space="preserve">: </w:t>
      </w:r>
      <w:r w:rsidR="00E45267" w:rsidRPr="005516CD">
        <w:rPr>
          <w:rStyle w:val="None"/>
          <w:rFonts w:asciiTheme="majorHAnsi" w:hAnsiTheme="majorHAnsi" w:cstheme="majorHAnsi"/>
          <w:sz w:val="20"/>
          <w:szCs w:val="20"/>
        </w:rPr>
        <w:t xml:space="preserve">The </w:t>
      </w:r>
      <w:r w:rsidR="00E45267" w:rsidRPr="005516CD">
        <w:rPr>
          <w:rFonts w:asciiTheme="majorHAnsi" w:hAnsiTheme="majorHAnsi" w:cstheme="majorHAnsi"/>
          <w:sz w:val="20"/>
          <w:szCs w:val="20"/>
          <w:lang w:val="en-US"/>
        </w:rPr>
        <w:t>project</w:t>
      </w:r>
      <w:r w:rsidR="00E45267" w:rsidRPr="005516CD">
        <w:rPr>
          <w:rStyle w:val="None"/>
          <w:rFonts w:asciiTheme="majorHAnsi" w:hAnsiTheme="majorHAnsi" w:cstheme="majorHAnsi"/>
          <w:sz w:val="20"/>
          <w:szCs w:val="20"/>
        </w:rPr>
        <w:t xml:space="preserve"> will be jointly implemented by UNDP</w:t>
      </w:r>
      <w:r w:rsidR="009241AB">
        <w:rPr>
          <w:rStyle w:val="None"/>
          <w:rFonts w:asciiTheme="majorHAnsi" w:hAnsiTheme="majorHAnsi" w:cstheme="majorHAnsi"/>
          <w:sz w:val="20"/>
          <w:szCs w:val="20"/>
        </w:rPr>
        <w:t>,</w:t>
      </w:r>
      <w:r w:rsidR="00E45267" w:rsidRPr="005516CD">
        <w:rPr>
          <w:rStyle w:val="None"/>
          <w:rFonts w:asciiTheme="majorHAnsi" w:hAnsiTheme="majorHAnsi" w:cstheme="majorHAnsi"/>
          <w:sz w:val="20"/>
          <w:szCs w:val="20"/>
        </w:rPr>
        <w:t xml:space="preserve"> FAO</w:t>
      </w:r>
      <w:r w:rsidR="009241AB">
        <w:rPr>
          <w:rStyle w:val="None"/>
          <w:rFonts w:asciiTheme="majorHAnsi" w:hAnsiTheme="majorHAnsi" w:cstheme="majorHAnsi"/>
          <w:sz w:val="20"/>
          <w:szCs w:val="20"/>
        </w:rPr>
        <w:t xml:space="preserve"> </w:t>
      </w:r>
      <w:r w:rsidR="009241AB" w:rsidRPr="008244FA">
        <w:rPr>
          <w:rStyle w:val="None"/>
          <w:rFonts w:asciiTheme="majorHAnsi" w:hAnsiTheme="majorHAnsi" w:cstheme="majorHAnsi"/>
          <w:sz w:val="20"/>
          <w:szCs w:val="20"/>
          <w:highlight w:val="cyan"/>
        </w:rPr>
        <w:t>and selected CSO/NGO</w:t>
      </w:r>
      <w:r w:rsidR="00E45267" w:rsidRPr="005516CD">
        <w:rPr>
          <w:rStyle w:val="None"/>
          <w:rFonts w:asciiTheme="majorHAnsi" w:hAnsiTheme="majorHAnsi" w:cstheme="majorHAnsi"/>
          <w:sz w:val="20"/>
          <w:szCs w:val="20"/>
        </w:rPr>
        <w:t>. Implementation will be in accordance with UNDP’s National Implementation modality (NIM), according to the Standard Basic Assistance Agreement between UNDP and the Government of Haiti, and the Country Programme. The Ministry of Environment (</w:t>
      </w:r>
      <w:proofErr w:type="spellStart"/>
      <w:r w:rsidR="009241AB">
        <w:rPr>
          <w:rStyle w:val="None"/>
          <w:rFonts w:asciiTheme="majorHAnsi" w:hAnsiTheme="majorHAnsi" w:cstheme="majorHAnsi"/>
          <w:sz w:val="20"/>
          <w:szCs w:val="20"/>
        </w:rPr>
        <w:t>MoE</w:t>
      </w:r>
      <w:proofErr w:type="spellEnd"/>
      <w:r w:rsidR="00E45267" w:rsidRPr="005516CD">
        <w:rPr>
          <w:rStyle w:val="None"/>
          <w:rFonts w:asciiTheme="majorHAnsi" w:hAnsiTheme="majorHAnsi" w:cstheme="majorHAnsi"/>
          <w:sz w:val="20"/>
          <w:szCs w:val="20"/>
        </w:rPr>
        <w:t>) will be the Implementing Partner in this project, given its role in ensuring compliance with environmental standards and defining national territorial planning law and procedures, in coordination with other responsible entities.</w:t>
      </w:r>
    </w:p>
    <w:p w14:paraId="5172DE4B" w14:textId="05853761" w:rsidR="00E45267" w:rsidRPr="005516CD" w:rsidRDefault="00E45267" w:rsidP="00563175">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sz w:val="20"/>
          <w:szCs w:val="20"/>
        </w:rPr>
      </w:pPr>
      <w:r w:rsidRPr="005516CD">
        <w:rPr>
          <w:rStyle w:val="None"/>
          <w:rFonts w:asciiTheme="majorHAnsi" w:hAnsiTheme="majorHAnsi" w:cstheme="majorHAnsi"/>
          <w:sz w:val="20"/>
          <w:szCs w:val="20"/>
        </w:rPr>
        <w:t xml:space="preserve">UNDP will support the implementation of the project by providing the necessary technical </w:t>
      </w:r>
      <w:r w:rsidRPr="005516CD">
        <w:rPr>
          <w:rFonts w:asciiTheme="majorHAnsi" w:hAnsiTheme="majorHAnsi" w:cstheme="majorHAnsi"/>
          <w:sz w:val="20"/>
          <w:szCs w:val="20"/>
          <w:lang w:val="en-US"/>
        </w:rPr>
        <w:t>and</w:t>
      </w:r>
      <w:r w:rsidRPr="005516CD">
        <w:rPr>
          <w:rStyle w:val="None"/>
          <w:rFonts w:asciiTheme="majorHAnsi" w:hAnsiTheme="majorHAnsi" w:cstheme="majorHAnsi"/>
          <w:sz w:val="20"/>
          <w:szCs w:val="20"/>
        </w:rPr>
        <w:t xml:space="preserve"> operational assistance.  Likewise, it will be responsible for high-level monitoring of the project and all necessary reporting to GEF. All actions will be planned and conducted in close collaboration between UNDP, FAO, </w:t>
      </w:r>
      <w:proofErr w:type="spellStart"/>
      <w:r w:rsidR="009241AB">
        <w:rPr>
          <w:rStyle w:val="None"/>
          <w:rFonts w:asciiTheme="majorHAnsi" w:hAnsiTheme="majorHAnsi" w:cstheme="majorHAnsi"/>
          <w:sz w:val="20"/>
          <w:szCs w:val="20"/>
        </w:rPr>
        <w:t>MoE</w:t>
      </w:r>
      <w:proofErr w:type="spellEnd"/>
      <w:r w:rsidRPr="005516CD">
        <w:rPr>
          <w:rStyle w:val="None"/>
          <w:rFonts w:asciiTheme="majorHAnsi" w:hAnsiTheme="majorHAnsi" w:cstheme="majorHAnsi"/>
          <w:sz w:val="20"/>
          <w:szCs w:val="20"/>
        </w:rPr>
        <w:t xml:space="preserve"> and the other members of the Project Board. </w:t>
      </w:r>
    </w:p>
    <w:p w14:paraId="3EC6C939" w14:textId="77777777" w:rsidR="00E45267" w:rsidRPr="005516CD" w:rsidRDefault="00E45267" w:rsidP="00FB5829">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color w:val="2E74B5" w:themeColor="accent1" w:themeShade="BF"/>
          <w:sz w:val="20"/>
          <w:szCs w:val="20"/>
        </w:rPr>
      </w:pPr>
      <w:r w:rsidRPr="005516CD">
        <w:rPr>
          <w:rStyle w:val="None"/>
          <w:rFonts w:asciiTheme="majorHAnsi" w:hAnsiTheme="majorHAnsi" w:cstheme="majorHAnsi"/>
          <w:sz w:val="20"/>
          <w:szCs w:val="20"/>
        </w:rPr>
        <w:t xml:space="preserve">UNDP will be responsible for the selection, appointment and oversight of consultants and contractors in relation to the Outcomes for which </w:t>
      </w:r>
      <w:r w:rsidR="008A471B" w:rsidRPr="005516CD">
        <w:rPr>
          <w:rStyle w:val="None"/>
          <w:rFonts w:asciiTheme="majorHAnsi" w:hAnsiTheme="majorHAnsi" w:cstheme="majorHAnsi"/>
          <w:sz w:val="20"/>
          <w:szCs w:val="20"/>
        </w:rPr>
        <w:t xml:space="preserve">it is </w:t>
      </w:r>
      <w:r w:rsidRPr="005516CD">
        <w:rPr>
          <w:rStyle w:val="None"/>
          <w:rFonts w:asciiTheme="majorHAnsi" w:hAnsiTheme="majorHAnsi" w:cstheme="majorHAnsi"/>
          <w:sz w:val="20"/>
          <w:szCs w:val="20"/>
        </w:rPr>
        <w:t>the Responsible Part</w:t>
      </w:r>
      <w:r w:rsidR="008A471B" w:rsidRPr="005516CD">
        <w:rPr>
          <w:rStyle w:val="None"/>
          <w:rFonts w:asciiTheme="majorHAnsi" w:hAnsiTheme="majorHAnsi" w:cstheme="majorHAnsi"/>
          <w:sz w:val="20"/>
          <w:szCs w:val="20"/>
        </w:rPr>
        <w:t>y</w:t>
      </w:r>
      <w:r w:rsidRPr="005516CD">
        <w:rPr>
          <w:rStyle w:val="None"/>
          <w:rFonts w:asciiTheme="majorHAnsi" w:hAnsiTheme="majorHAnsi" w:cstheme="majorHAnsi"/>
          <w:sz w:val="20"/>
          <w:szCs w:val="20"/>
        </w:rPr>
        <w:t xml:space="preserve">, and for the procurement of other goods and services necessary under these Outcomes. For these services, </w:t>
      </w:r>
      <w:r w:rsidR="008A471B" w:rsidRPr="005516CD">
        <w:rPr>
          <w:rStyle w:val="None"/>
          <w:rFonts w:asciiTheme="majorHAnsi" w:hAnsiTheme="majorHAnsi" w:cstheme="majorHAnsi"/>
          <w:sz w:val="20"/>
          <w:szCs w:val="20"/>
        </w:rPr>
        <w:t xml:space="preserve">a </w:t>
      </w:r>
      <w:r w:rsidRPr="005516CD">
        <w:rPr>
          <w:rStyle w:val="None"/>
          <w:rFonts w:asciiTheme="majorHAnsi" w:hAnsiTheme="majorHAnsi" w:cstheme="majorHAnsi"/>
          <w:sz w:val="20"/>
          <w:szCs w:val="20"/>
        </w:rPr>
        <w:t xml:space="preserve">Letters of Agreement will be signed between UNDP and the Ministry of Environment, through which the Implementing Partner will request </w:t>
      </w:r>
      <w:r w:rsidR="008A471B" w:rsidRPr="005516CD">
        <w:rPr>
          <w:rStyle w:val="None"/>
          <w:rFonts w:asciiTheme="majorHAnsi" w:hAnsiTheme="majorHAnsi" w:cstheme="majorHAnsi"/>
          <w:sz w:val="20"/>
          <w:szCs w:val="20"/>
        </w:rPr>
        <w:t xml:space="preserve">UNDP </w:t>
      </w:r>
      <w:r w:rsidRPr="005516CD">
        <w:rPr>
          <w:rStyle w:val="None"/>
          <w:rFonts w:asciiTheme="majorHAnsi" w:hAnsiTheme="majorHAnsi" w:cstheme="majorHAnsi"/>
          <w:sz w:val="20"/>
          <w:szCs w:val="20"/>
        </w:rPr>
        <w:t xml:space="preserve">to provide the services required for the implementation of activities indicated in the multi-annual work plan. In this context, the rules and regulations of UNDP will apply, and will include direct cost recovery; </w:t>
      </w:r>
      <w:r w:rsidR="008A471B" w:rsidRPr="005516CD">
        <w:rPr>
          <w:rStyle w:val="None"/>
          <w:rFonts w:asciiTheme="majorHAnsi" w:hAnsiTheme="majorHAnsi" w:cstheme="majorHAnsi"/>
          <w:sz w:val="20"/>
          <w:szCs w:val="20"/>
        </w:rPr>
        <w:t xml:space="preserve">UNDP </w:t>
      </w:r>
      <w:r w:rsidRPr="005516CD">
        <w:rPr>
          <w:rStyle w:val="None"/>
          <w:rFonts w:asciiTheme="majorHAnsi" w:hAnsiTheme="majorHAnsi" w:cstheme="majorHAnsi"/>
          <w:sz w:val="20"/>
          <w:szCs w:val="20"/>
        </w:rPr>
        <w:t>will charge Direct Project Services (DPS) as shown in the Total Budget and Workplan in Section III.</w:t>
      </w:r>
      <w:r w:rsidRPr="005516CD">
        <w:rPr>
          <w:rStyle w:val="None"/>
          <w:rFonts w:asciiTheme="majorHAnsi" w:hAnsiTheme="majorHAnsi" w:cstheme="majorHAnsi"/>
          <w:color w:val="2E74B5" w:themeColor="accent1" w:themeShade="BF"/>
          <w:sz w:val="20"/>
          <w:szCs w:val="20"/>
        </w:rPr>
        <w:t xml:space="preserve">  </w:t>
      </w:r>
    </w:p>
    <w:p w14:paraId="6B2271B6" w14:textId="77777777" w:rsidR="00E45267" w:rsidRPr="005516CD" w:rsidRDefault="00E45267" w:rsidP="006B27F4">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sz w:val="20"/>
          <w:szCs w:val="20"/>
        </w:rPr>
      </w:pPr>
      <w:r w:rsidRPr="005516CD">
        <w:rPr>
          <w:rStyle w:val="None"/>
          <w:rFonts w:asciiTheme="majorHAnsi" w:hAnsiTheme="majorHAnsi" w:cstheme="majorHAnsi"/>
          <w:sz w:val="20"/>
          <w:szCs w:val="20"/>
        </w:rPr>
        <w:t>Considering the kind of results, activities and actions proposed, the implementation of the project will involve the participation of various public and private institutions. The expected participation of each institution in the project's implementation is described below.</w:t>
      </w:r>
    </w:p>
    <w:p w14:paraId="23714370" w14:textId="77777777" w:rsidR="00E45267" w:rsidRPr="005516CD" w:rsidRDefault="00E45267" w:rsidP="00F15FA3">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rPr>
        <w:t>As</w:t>
      </w:r>
      <w:r w:rsidRPr="005516CD">
        <w:rPr>
          <w:rStyle w:val="None"/>
          <w:rFonts w:asciiTheme="majorHAnsi" w:hAnsiTheme="majorHAnsi" w:cstheme="majorHAnsi"/>
          <w:b/>
          <w:bCs/>
          <w:sz w:val="20"/>
          <w:szCs w:val="20"/>
        </w:rPr>
        <w:t xml:space="preserve"> GEF implementing agency</w:t>
      </w:r>
      <w:r w:rsidRPr="005516CD">
        <w:rPr>
          <w:rFonts w:asciiTheme="majorHAnsi" w:hAnsiTheme="majorHAnsi" w:cstheme="majorHAnsi"/>
          <w:sz w:val="20"/>
          <w:szCs w:val="20"/>
          <w:lang w:val="en-US"/>
        </w:rPr>
        <w:t xml:space="preserve">, UNDP will be ultimately accountable and responsible for the delivery of results, subject also to their certification by the Ministry of Environment, as Implementing Partner. UNDP shall provide </w:t>
      </w:r>
      <w:r w:rsidRPr="005516CD">
        <w:rPr>
          <w:rStyle w:val="None"/>
          <w:rFonts w:asciiTheme="majorHAnsi" w:hAnsiTheme="majorHAnsi" w:cstheme="majorHAnsi"/>
          <w:sz w:val="20"/>
          <w:szCs w:val="20"/>
        </w:rPr>
        <w:t>project</w:t>
      </w:r>
      <w:r w:rsidRPr="005516CD">
        <w:rPr>
          <w:rFonts w:asciiTheme="majorHAnsi" w:hAnsiTheme="majorHAnsi" w:cstheme="majorHAnsi"/>
          <w:sz w:val="20"/>
          <w:szCs w:val="20"/>
          <w:lang w:val="en-US"/>
        </w:rPr>
        <w:t xml:space="preserve"> cycle </w:t>
      </w:r>
      <w:r w:rsidRPr="005516CD">
        <w:rPr>
          <w:rStyle w:val="Hyperlink2"/>
          <w:rFonts w:asciiTheme="majorHAnsi" w:hAnsiTheme="majorHAnsi" w:cstheme="majorHAnsi"/>
          <w:color w:val="auto"/>
          <w:sz w:val="20"/>
          <w:szCs w:val="20"/>
        </w:rPr>
        <w:t>management</w:t>
      </w:r>
      <w:r w:rsidRPr="005516CD">
        <w:rPr>
          <w:rFonts w:asciiTheme="majorHAnsi" w:hAnsiTheme="majorHAnsi" w:cstheme="majorHAnsi"/>
          <w:sz w:val="20"/>
          <w:szCs w:val="20"/>
          <w:lang w:val="en-US"/>
        </w:rPr>
        <w:t xml:space="preserve"> services as defined by the GEF Council (described in Section IV Part XII), that will include the following:  </w:t>
      </w:r>
    </w:p>
    <w:p w14:paraId="4B34DDF4" w14:textId="77777777" w:rsidR="00E45267" w:rsidRPr="005516CD" w:rsidRDefault="00E45267" w:rsidP="00D66519">
      <w:pPr>
        <w:pStyle w:val="ListParagraph"/>
        <w:numPr>
          <w:ilvl w:val="0"/>
          <w:numId w:val="22"/>
        </w:numPr>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Providing financial and audit services to the project</w:t>
      </w:r>
    </w:p>
    <w:p w14:paraId="4633B14F" w14:textId="77777777" w:rsidR="00E45267" w:rsidRPr="005516CD" w:rsidRDefault="00E45267" w:rsidP="00D66519">
      <w:pPr>
        <w:pStyle w:val="ListParagraph"/>
        <w:numPr>
          <w:ilvl w:val="0"/>
          <w:numId w:val="22"/>
        </w:numPr>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 xml:space="preserve">Overseeing financial expenditures against project budgets, </w:t>
      </w:r>
    </w:p>
    <w:p w14:paraId="4825EB1B" w14:textId="77777777" w:rsidR="00E45267" w:rsidRPr="005516CD" w:rsidRDefault="00E45267" w:rsidP="00D66519">
      <w:pPr>
        <w:pStyle w:val="ListParagraph"/>
        <w:numPr>
          <w:ilvl w:val="0"/>
          <w:numId w:val="22"/>
        </w:numPr>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 xml:space="preserve">Ensuring that activities including procurement and financial services are carried out in strict compliance with UNDP/GEF procedures, </w:t>
      </w:r>
    </w:p>
    <w:p w14:paraId="71B9489E" w14:textId="77777777" w:rsidR="00E45267" w:rsidRPr="005516CD" w:rsidRDefault="00E45267" w:rsidP="00D66519">
      <w:pPr>
        <w:pStyle w:val="ListParagraph"/>
        <w:numPr>
          <w:ilvl w:val="0"/>
          <w:numId w:val="22"/>
        </w:numPr>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 xml:space="preserve">Ensuring that the reporting to GEF is undertaken in line with the GEF requirements and procedures, </w:t>
      </w:r>
    </w:p>
    <w:p w14:paraId="6C23BF1F" w14:textId="77777777" w:rsidR="00E45267" w:rsidRPr="005516CD" w:rsidRDefault="00E45267" w:rsidP="00D66519">
      <w:pPr>
        <w:pStyle w:val="ListParagraph"/>
        <w:numPr>
          <w:ilvl w:val="0"/>
          <w:numId w:val="22"/>
        </w:numPr>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 xml:space="preserve">Facilitate project learning, exchange and outreach within the GEF family, </w:t>
      </w:r>
    </w:p>
    <w:p w14:paraId="3267ED7E" w14:textId="77777777" w:rsidR="00E45267" w:rsidRPr="005516CD" w:rsidRDefault="00E45267" w:rsidP="00D66519">
      <w:pPr>
        <w:pStyle w:val="ListParagraph"/>
        <w:numPr>
          <w:ilvl w:val="0"/>
          <w:numId w:val="23"/>
        </w:numPr>
        <w:spacing w:after="120"/>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 xml:space="preserve">Contract the project mid-term and final evaluations and trigger additional reviews and/or evaluations as necessary and in consultation with the project counterparts.   </w:t>
      </w:r>
    </w:p>
    <w:p w14:paraId="580EBD89" w14:textId="62AA311E" w:rsidR="00E45267" w:rsidRPr="005516CD" w:rsidRDefault="00E45267" w:rsidP="00F15FA3">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i/>
          <w:iCs/>
          <w:sz w:val="20"/>
          <w:szCs w:val="20"/>
        </w:rPr>
      </w:pPr>
      <w:r w:rsidRPr="005516CD">
        <w:rPr>
          <w:rStyle w:val="None"/>
          <w:rFonts w:asciiTheme="majorHAnsi" w:hAnsiTheme="majorHAnsi" w:cstheme="majorHAnsi"/>
          <w:sz w:val="20"/>
          <w:szCs w:val="20"/>
        </w:rPr>
        <w:t xml:space="preserve">The </w:t>
      </w:r>
      <w:r w:rsidRPr="005516CD">
        <w:rPr>
          <w:rStyle w:val="None"/>
          <w:rFonts w:asciiTheme="majorHAnsi" w:hAnsiTheme="majorHAnsi" w:cstheme="majorHAnsi"/>
          <w:b/>
          <w:bCs/>
          <w:sz w:val="20"/>
          <w:szCs w:val="20"/>
        </w:rPr>
        <w:t>project assurance</w:t>
      </w:r>
      <w:r w:rsidRPr="005516CD">
        <w:rPr>
          <w:rStyle w:val="None"/>
          <w:rFonts w:asciiTheme="majorHAnsi" w:hAnsiTheme="majorHAnsi" w:cstheme="majorHAnsi"/>
          <w:sz w:val="20"/>
          <w:szCs w:val="20"/>
        </w:rPr>
        <w:t xml:space="preserve"> role will be provided by the UNDP Country Office Programme Officer.  Additional quality </w:t>
      </w:r>
      <w:r w:rsidRPr="005516CD">
        <w:rPr>
          <w:rStyle w:val="Hyperlink2"/>
          <w:rFonts w:asciiTheme="majorHAnsi" w:hAnsiTheme="majorHAnsi" w:cstheme="majorHAnsi"/>
          <w:color w:val="auto"/>
          <w:sz w:val="20"/>
          <w:szCs w:val="20"/>
        </w:rPr>
        <w:t>assurance</w:t>
      </w:r>
      <w:r w:rsidRPr="005516CD">
        <w:rPr>
          <w:rStyle w:val="None"/>
          <w:rFonts w:asciiTheme="majorHAnsi" w:hAnsiTheme="majorHAnsi" w:cstheme="majorHAnsi"/>
          <w:sz w:val="20"/>
          <w:szCs w:val="20"/>
        </w:rPr>
        <w:t xml:space="preserve"> will be provided by the UNDP Regional Technical Advisor as needed.</w:t>
      </w:r>
      <w:r w:rsidR="00082591" w:rsidRPr="005516CD">
        <w:rPr>
          <w:rStyle w:val="None"/>
          <w:rFonts w:asciiTheme="majorHAnsi" w:hAnsiTheme="majorHAnsi" w:cstheme="majorHAnsi"/>
          <w:sz w:val="20"/>
          <w:szCs w:val="20"/>
        </w:rPr>
        <w:t xml:space="preserve"> </w:t>
      </w:r>
      <w:r w:rsidR="00DE6C73" w:rsidRPr="005516CD">
        <w:rPr>
          <w:rStyle w:val="None"/>
          <w:rFonts w:asciiTheme="majorHAnsi" w:eastAsia="Calibri" w:hAnsiTheme="majorHAnsi" w:cstheme="majorHAnsi"/>
          <w:sz w:val="20"/>
          <w:szCs w:val="20"/>
        </w:rPr>
        <w:t xml:space="preserve">UNDP provides a three–tier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w:t>
      </w:r>
      <w:r w:rsidR="00201734">
        <w:rPr>
          <w:rStyle w:val="None"/>
          <w:rFonts w:asciiTheme="majorHAnsi" w:eastAsia="Calibri" w:hAnsiTheme="majorHAnsi" w:cstheme="majorHAnsi"/>
          <w:sz w:val="20"/>
          <w:szCs w:val="20"/>
        </w:rPr>
        <w:t xml:space="preserve">Officer </w:t>
      </w:r>
      <w:r w:rsidR="00DE6C73" w:rsidRPr="005516CD">
        <w:rPr>
          <w:rStyle w:val="None"/>
          <w:rFonts w:asciiTheme="majorHAnsi" w:eastAsia="Calibri" w:hAnsiTheme="majorHAnsi" w:cstheme="majorHAnsi"/>
          <w:sz w:val="20"/>
          <w:szCs w:val="20"/>
        </w:rPr>
        <w:t>.  This project oversight and quality assurance role is covered by the GEF Agency.</w:t>
      </w:r>
    </w:p>
    <w:p w14:paraId="488A048A" w14:textId="77777777" w:rsidR="00E45267" w:rsidRPr="005516CD" w:rsidRDefault="00E45267" w:rsidP="00F15FA3">
      <w:pPr>
        <w:numPr>
          <w:ilvl w:val="0"/>
          <w:numId w:val="87"/>
        </w:numPr>
        <w:tabs>
          <w:tab w:val="clear" w:pos="720"/>
          <w:tab w:val="num" w:pos="-284"/>
          <w:tab w:val="left" w:pos="426"/>
        </w:tabs>
        <w:spacing w:after="120"/>
        <w:ind w:left="0" w:right="96" w:firstLine="0"/>
        <w:jc w:val="both"/>
        <w:rPr>
          <w:rStyle w:val="Hyperlink2"/>
          <w:rFonts w:asciiTheme="majorHAnsi" w:hAnsiTheme="majorHAnsi" w:cstheme="majorHAnsi"/>
          <w:color w:val="auto"/>
          <w:sz w:val="20"/>
          <w:szCs w:val="20"/>
        </w:rPr>
      </w:pPr>
      <w:r w:rsidRPr="005516CD">
        <w:rPr>
          <w:rStyle w:val="Hyperlink2"/>
          <w:rFonts w:asciiTheme="majorHAnsi" w:hAnsiTheme="majorHAnsi" w:cstheme="majorHAnsi"/>
          <w:color w:val="auto"/>
          <w:sz w:val="20"/>
          <w:szCs w:val="20"/>
        </w:rPr>
        <w:t xml:space="preserve">Within the UNDP Country Office, the Internal Control Framework will be strictly followed, through which roles and responsibilities are explicitly differentiated among staff members. In this sense, at the request of the government of Haiti and in accordance with UNDP’s Operational Policies and Procedures, UNDP will provide operational and programmatic support as described in the </w:t>
      </w:r>
      <w:proofErr w:type="spellStart"/>
      <w:r w:rsidRPr="005516CD">
        <w:rPr>
          <w:rStyle w:val="Hyperlink2"/>
          <w:rFonts w:asciiTheme="majorHAnsi" w:hAnsiTheme="majorHAnsi" w:cstheme="majorHAnsi"/>
          <w:color w:val="auto"/>
          <w:sz w:val="20"/>
          <w:szCs w:val="20"/>
        </w:rPr>
        <w:t>ProDoc</w:t>
      </w:r>
      <w:proofErr w:type="spellEnd"/>
      <w:r w:rsidRPr="005516CD">
        <w:rPr>
          <w:rStyle w:val="Hyperlink2"/>
          <w:rFonts w:asciiTheme="majorHAnsi" w:hAnsiTheme="majorHAnsi" w:cstheme="majorHAnsi"/>
          <w:color w:val="auto"/>
          <w:sz w:val="20"/>
          <w:szCs w:val="20"/>
        </w:rPr>
        <w:t xml:space="preserve"> and L</w:t>
      </w:r>
      <w:r w:rsidR="00C82804" w:rsidRPr="005516CD">
        <w:rPr>
          <w:rStyle w:val="Hyperlink2"/>
          <w:rFonts w:asciiTheme="majorHAnsi" w:hAnsiTheme="majorHAnsi" w:cstheme="majorHAnsi"/>
          <w:color w:val="auto"/>
          <w:sz w:val="20"/>
          <w:szCs w:val="20"/>
        </w:rPr>
        <w:t>etter of Agreement (L</w:t>
      </w:r>
      <w:r w:rsidRPr="005516CD">
        <w:rPr>
          <w:rStyle w:val="Hyperlink2"/>
          <w:rFonts w:asciiTheme="majorHAnsi" w:hAnsiTheme="majorHAnsi" w:cstheme="majorHAnsi"/>
          <w:color w:val="auto"/>
          <w:sz w:val="20"/>
          <w:szCs w:val="20"/>
        </w:rPr>
        <w:t>OA</w:t>
      </w:r>
      <w:r w:rsidR="00C82804" w:rsidRPr="005516CD">
        <w:rPr>
          <w:rStyle w:val="Hyperlink2"/>
          <w:rFonts w:asciiTheme="majorHAnsi" w:hAnsiTheme="majorHAnsi" w:cstheme="majorHAnsi"/>
          <w:color w:val="auto"/>
          <w:sz w:val="20"/>
          <w:szCs w:val="20"/>
        </w:rPr>
        <w:t>)</w:t>
      </w:r>
      <w:r w:rsidRPr="005516CD">
        <w:rPr>
          <w:rStyle w:val="Hyperlink2"/>
          <w:rFonts w:asciiTheme="majorHAnsi" w:hAnsiTheme="majorHAnsi" w:cstheme="majorHAnsi"/>
          <w:color w:val="auto"/>
          <w:sz w:val="20"/>
          <w:szCs w:val="20"/>
        </w:rPr>
        <w:t xml:space="preserve">. At the same time, UNDP will </w:t>
      </w:r>
      <w:proofErr w:type="spellStart"/>
      <w:r w:rsidRPr="005516CD">
        <w:rPr>
          <w:rStyle w:val="Hyperlink2"/>
          <w:rFonts w:asciiTheme="majorHAnsi" w:hAnsiTheme="majorHAnsi" w:cstheme="majorHAnsi"/>
          <w:color w:val="auto"/>
          <w:sz w:val="20"/>
          <w:szCs w:val="20"/>
        </w:rPr>
        <w:t>fulfill</w:t>
      </w:r>
      <w:proofErr w:type="spellEnd"/>
      <w:r w:rsidRPr="005516CD">
        <w:rPr>
          <w:rStyle w:val="Hyperlink2"/>
          <w:rFonts w:asciiTheme="majorHAnsi" w:hAnsiTheme="majorHAnsi" w:cstheme="majorHAnsi"/>
          <w:color w:val="auto"/>
          <w:sz w:val="20"/>
          <w:szCs w:val="20"/>
        </w:rPr>
        <w:t xml:space="preserve"> its role as project assurance and service provider according to the project’s governance structure.</w:t>
      </w:r>
    </w:p>
    <w:p w14:paraId="71DCFED1" w14:textId="55D8BF77" w:rsidR="00AD5770" w:rsidRPr="005516CD" w:rsidRDefault="00AD5770" w:rsidP="00AD5770">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sz w:val="20"/>
          <w:szCs w:val="20"/>
        </w:rPr>
      </w:pPr>
      <w:r w:rsidRPr="005516CD">
        <w:rPr>
          <w:rStyle w:val="None"/>
          <w:rFonts w:asciiTheme="majorHAnsi" w:hAnsiTheme="majorHAnsi" w:cstheme="majorHAnsi"/>
          <w:sz w:val="20"/>
          <w:szCs w:val="20"/>
        </w:rPr>
        <w:t xml:space="preserve">The organizational structure of the project is shown </w:t>
      </w:r>
      <w:r w:rsidR="00CE36B9">
        <w:rPr>
          <w:rStyle w:val="None"/>
          <w:rFonts w:asciiTheme="majorHAnsi" w:hAnsiTheme="majorHAnsi" w:cstheme="majorHAnsi"/>
          <w:sz w:val="20"/>
          <w:szCs w:val="20"/>
        </w:rPr>
        <w:t>below:</w:t>
      </w:r>
    </w:p>
    <w:p w14:paraId="46288C37" w14:textId="77777777" w:rsidR="00AD5770" w:rsidRPr="008244FA" w:rsidRDefault="00AD5770" w:rsidP="00AD5770">
      <w:pPr>
        <w:pStyle w:val="ListParagraph"/>
        <w:keepNext/>
        <w:numPr>
          <w:ilvl w:val="6"/>
          <w:numId w:val="91"/>
        </w:numPr>
        <w:tabs>
          <w:tab w:val="num" w:pos="4680"/>
        </w:tabs>
        <w:autoSpaceDE w:val="0"/>
        <w:autoSpaceDN w:val="0"/>
        <w:adjustRightInd w:val="0"/>
        <w:spacing w:after="120"/>
        <w:ind w:left="851" w:right="96" w:hanging="851"/>
        <w:rPr>
          <w:rFonts w:asciiTheme="majorHAnsi" w:eastAsia="Calibri" w:hAnsiTheme="majorHAnsi" w:cstheme="majorHAnsi"/>
          <w:b/>
          <w:color w:val="000000" w:themeColor="text1"/>
          <w:sz w:val="20"/>
          <w:szCs w:val="20"/>
          <w:highlight w:val="cyan"/>
        </w:rPr>
      </w:pPr>
      <w:proofErr w:type="spellStart"/>
      <w:r w:rsidRPr="008244FA">
        <w:rPr>
          <w:rFonts w:asciiTheme="majorHAnsi" w:eastAsia="Calibri" w:hAnsiTheme="majorHAnsi" w:cstheme="majorHAnsi"/>
          <w:b/>
          <w:color w:val="000000" w:themeColor="text1"/>
          <w:sz w:val="20"/>
          <w:szCs w:val="20"/>
          <w:highlight w:val="cyan"/>
        </w:rPr>
        <w:t>Organisational</w:t>
      </w:r>
      <w:proofErr w:type="spellEnd"/>
      <w:r w:rsidRPr="008244FA">
        <w:rPr>
          <w:rFonts w:asciiTheme="majorHAnsi" w:eastAsia="Calibri" w:hAnsiTheme="majorHAnsi" w:cstheme="majorHAnsi"/>
          <w:b/>
          <w:color w:val="000000" w:themeColor="text1"/>
          <w:sz w:val="20"/>
          <w:szCs w:val="20"/>
          <w:highlight w:val="cyan"/>
        </w:rPr>
        <w:t xml:space="preserve"> structure of the project</w:t>
      </w:r>
    </w:p>
    <w:p w14:paraId="7D288C2A" w14:textId="165AA01C" w:rsidR="000B6DC2" w:rsidRDefault="000B6DC2" w:rsidP="00AD5770">
      <w:pPr>
        <w:pStyle w:val="Body"/>
        <w:tabs>
          <w:tab w:val="left" w:pos="66"/>
        </w:tabs>
        <w:spacing w:after="120"/>
        <w:jc w:val="left"/>
      </w:pPr>
    </w:p>
    <w:p w14:paraId="1C97F03A" w14:textId="362B4489" w:rsidR="00AD5770" w:rsidRPr="005516CD" w:rsidRDefault="00AD5770" w:rsidP="00AD5770">
      <w:pPr>
        <w:pStyle w:val="Body"/>
        <w:tabs>
          <w:tab w:val="left" w:pos="66"/>
        </w:tabs>
        <w:spacing w:after="120"/>
        <w:jc w:val="left"/>
        <w:rPr>
          <w:color w:val="auto"/>
          <w:lang w:val="en-US"/>
        </w:rPr>
      </w:pPr>
      <w:r w:rsidRPr="005516CD">
        <w:t xml:space="preserve"> </w:t>
      </w:r>
      <w:r w:rsidR="00124972" w:rsidRPr="00124972">
        <w:rPr>
          <w:noProof/>
        </w:rPr>
        <w:t xml:space="preserve"> </w:t>
      </w:r>
      <w:r w:rsidR="00124972" w:rsidRPr="00124972">
        <w:rPr>
          <w:noProof/>
        </w:rPr>
        <w:drawing>
          <wp:inline distT="0" distB="0" distL="0" distR="0" wp14:anchorId="139AE56F" wp14:editId="7A8355B6">
            <wp:extent cx="5727700" cy="3221990"/>
            <wp:effectExtent l="0" t="0" r="635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9"/>
                    <a:stretch>
                      <a:fillRect/>
                    </a:stretch>
                  </pic:blipFill>
                  <pic:spPr>
                    <a:xfrm>
                      <a:off x="0" y="0"/>
                      <a:ext cx="5727700" cy="3221990"/>
                    </a:xfrm>
                    <a:prstGeom prst="rect">
                      <a:avLst/>
                    </a:prstGeom>
                  </pic:spPr>
                </pic:pic>
              </a:graphicData>
            </a:graphic>
          </wp:inline>
        </w:drawing>
      </w:r>
    </w:p>
    <w:p w14:paraId="0BE7972C" w14:textId="34F1002E" w:rsidR="00E45267" w:rsidRPr="005516CD" w:rsidRDefault="00E45267" w:rsidP="00F15FA3">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b/>
          <w:bCs/>
          <w:sz w:val="20"/>
          <w:szCs w:val="20"/>
        </w:rPr>
      </w:pPr>
      <w:r w:rsidRPr="005516CD">
        <w:rPr>
          <w:rStyle w:val="None"/>
          <w:rFonts w:asciiTheme="majorHAnsi" w:hAnsiTheme="majorHAnsi" w:cstheme="majorHAnsi"/>
          <w:sz w:val="20"/>
          <w:szCs w:val="20"/>
        </w:rPr>
        <w:t xml:space="preserve">The </w:t>
      </w:r>
      <w:r w:rsidR="00AD5770" w:rsidRPr="005516CD">
        <w:rPr>
          <w:rStyle w:val="None"/>
          <w:rFonts w:asciiTheme="majorHAnsi" w:hAnsiTheme="majorHAnsi" w:cstheme="majorHAnsi"/>
          <w:b/>
          <w:bCs/>
          <w:sz w:val="20"/>
          <w:szCs w:val="20"/>
        </w:rPr>
        <w:t xml:space="preserve">Implementing </w:t>
      </w:r>
      <w:r w:rsidRPr="005516CD">
        <w:rPr>
          <w:rStyle w:val="None"/>
          <w:rFonts w:asciiTheme="majorHAnsi" w:hAnsiTheme="majorHAnsi" w:cstheme="majorHAnsi"/>
          <w:b/>
          <w:bCs/>
          <w:sz w:val="20"/>
          <w:szCs w:val="20"/>
        </w:rPr>
        <w:t>Partner</w:t>
      </w:r>
      <w:r w:rsidRPr="005516CD">
        <w:rPr>
          <w:rStyle w:val="None"/>
          <w:rFonts w:asciiTheme="majorHAnsi" w:hAnsiTheme="majorHAnsi" w:cstheme="majorHAnsi"/>
          <w:sz w:val="20"/>
          <w:szCs w:val="20"/>
        </w:rPr>
        <w:t xml:space="preserve"> for this project will be the Ministry of the Environment (</w:t>
      </w:r>
      <w:proofErr w:type="spellStart"/>
      <w:r w:rsidRPr="005516CD">
        <w:rPr>
          <w:rStyle w:val="None"/>
          <w:rFonts w:asciiTheme="majorHAnsi" w:hAnsiTheme="majorHAnsi" w:cstheme="majorHAnsi"/>
          <w:sz w:val="20"/>
          <w:szCs w:val="20"/>
        </w:rPr>
        <w:t>M</w:t>
      </w:r>
      <w:r w:rsidR="00CE61AE">
        <w:rPr>
          <w:rStyle w:val="None"/>
          <w:rFonts w:asciiTheme="majorHAnsi" w:hAnsiTheme="majorHAnsi" w:cstheme="majorHAnsi"/>
          <w:sz w:val="20"/>
          <w:szCs w:val="20"/>
        </w:rPr>
        <w:t>o</w:t>
      </w:r>
      <w:r w:rsidRPr="005516CD">
        <w:rPr>
          <w:rStyle w:val="None"/>
          <w:rFonts w:asciiTheme="majorHAnsi" w:hAnsiTheme="majorHAnsi" w:cstheme="majorHAnsi"/>
          <w:sz w:val="20"/>
          <w:szCs w:val="20"/>
        </w:rPr>
        <w:t>E</w:t>
      </w:r>
      <w:proofErr w:type="spellEnd"/>
      <w:r w:rsidRPr="005516CD">
        <w:rPr>
          <w:rStyle w:val="None"/>
          <w:rFonts w:asciiTheme="majorHAnsi" w:hAnsiTheme="majorHAnsi" w:cstheme="majorHAnsi"/>
          <w:sz w:val="20"/>
          <w:szCs w:val="20"/>
        </w:rPr>
        <w:t>), which will appoint the chair of the Project Board and the National Project Director (see below)</w:t>
      </w:r>
      <w:r w:rsidRPr="005516CD">
        <w:rPr>
          <w:rStyle w:val="None"/>
          <w:rFonts w:asciiTheme="majorHAnsi" w:hAnsiTheme="majorHAnsi" w:cstheme="majorHAnsi"/>
          <w:i/>
          <w:iCs/>
          <w:sz w:val="20"/>
          <w:szCs w:val="20"/>
        </w:rPr>
        <w:t xml:space="preserve">. </w:t>
      </w:r>
      <w:r w:rsidRPr="005516CD">
        <w:rPr>
          <w:rStyle w:val="None"/>
          <w:rFonts w:asciiTheme="majorHAnsi" w:hAnsiTheme="majorHAnsi" w:cstheme="majorHAnsi"/>
          <w:sz w:val="20"/>
          <w:szCs w:val="20"/>
        </w:rPr>
        <w:t xml:space="preserve">The Implementing Partner (IP) will be </w:t>
      </w:r>
      <w:r w:rsidRPr="005516CD">
        <w:rPr>
          <w:rStyle w:val="Hyperlink2"/>
          <w:rFonts w:asciiTheme="majorHAnsi" w:hAnsiTheme="majorHAnsi" w:cstheme="majorHAnsi"/>
          <w:color w:val="auto"/>
          <w:sz w:val="20"/>
          <w:szCs w:val="20"/>
        </w:rPr>
        <w:t>responsible</w:t>
      </w:r>
      <w:r w:rsidRPr="005516CD">
        <w:rPr>
          <w:rStyle w:val="None"/>
          <w:rFonts w:asciiTheme="majorHAnsi" w:hAnsiTheme="majorHAnsi" w:cstheme="majorHAnsi"/>
          <w:sz w:val="20"/>
          <w:szCs w:val="20"/>
        </w:rPr>
        <w:t xml:space="preserve"> and accountable for managing the project, including the monitoring and evaluation of project interventions, achieving project outcomes, and the effective use of GEF resources. </w:t>
      </w:r>
    </w:p>
    <w:p w14:paraId="4E9F2C01" w14:textId="0C0E2903" w:rsidR="00DE6C73" w:rsidRPr="005516CD" w:rsidRDefault="00DE6C73" w:rsidP="00DE6C73">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sz w:val="20"/>
          <w:szCs w:val="20"/>
        </w:rPr>
      </w:pPr>
      <w:r w:rsidRPr="005516CD">
        <w:rPr>
          <w:rStyle w:val="None"/>
          <w:rFonts w:asciiTheme="majorHAnsi" w:hAnsiTheme="majorHAnsi" w:cstheme="majorHAnsi"/>
          <w:sz w:val="20"/>
          <w:szCs w:val="20"/>
        </w:rPr>
        <w:t xml:space="preserve">The project will be governed by a National Steering Committee, known as the Project Board. The Board shall be composed of the Minister of Environment or his/her representative, in the role of Executive; and UNDP, in its role as </w:t>
      </w:r>
      <w:r w:rsidR="0026174B" w:rsidRPr="005516CD">
        <w:rPr>
          <w:rStyle w:val="None"/>
          <w:rFonts w:asciiTheme="majorHAnsi" w:hAnsiTheme="majorHAnsi" w:cstheme="majorHAnsi"/>
          <w:sz w:val="20"/>
          <w:szCs w:val="20"/>
        </w:rPr>
        <w:t xml:space="preserve">joint </w:t>
      </w:r>
      <w:r w:rsidRPr="005516CD">
        <w:rPr>
          <w:rStyle w:val="None"/>
          <w:rFonts w:asciiTheme="majorHAnsi" w:hAnsiTheme="majorHAnsi" w:cstheme="majorHAnsi"/>
          <w:sz w:val="20"/>
          <w:szCs w:val="20"/>
        </w:rPr>
        <w:t xml:space="preserve">Implementing Agency and joint Responsible Party, as Senior Supplier. Other core members will include FAO, as secondary Implementing Agency and Responsible Party; the Ministry of Agriculture; and representatives of </w:t>
      </w:r>
      <w:r w:rsidR="00036A00">
        <w:rPr>
          <w:rStyle w:val="None"/>
          <w:rFonts w:asciiTheme="majorHAnsi" w:hAnsiTheme="majorHAnsi" w:cstheme="majorHAnsi"/>
          <w:sz w:val="20"/>
          <w:szCs w:val="20"/>
        </w:rPr>
        <w:t xml:space="preserve">CSO/NGOs, </w:t>
      </w:r>
      <w:r w:rsidRPr="005516CD">
        <w:rPr>
          <w:rStyle w:val="None"/>
          <w:rFonts w:asciiTheme="majorHAnsi" w:hAnsiTheme="majorHAnsi" w:cstheme="majorHAnsi"/>
          <w:sz w:val="20"/>
          <w:szCs w:val="20"/>
        </w:rPr>
        <w:t xml:space="preserve">private sector and beneficiaries. The Project Board will approve the annual work plan, the budget structure and the reports on project advances. It will meet annually.  </w:t>
      </w:r>
    </w:p>
    <w:p w14:paraId="4B6804F8" w14:textId="1CA0B855" w:rsidR="00DE6C73" w:rsidRPr="005516CD" w:rsidRDefault="00DE6C73" w:rsidP="00DE6C73">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sz w:val="20"/>
          <w:szCs w:val="20"/>
        </w:rPr>
      </w:pPr>
      <w:r w:rsidRPr="005516CD">
        <w:rPr>
          <w:rStyle w:val="None"/>
          <w:rFonts w:asciiTheme="majorHAnsi" w:hAnsiTheme="majorHAnsi" w:cstheme="majorHAnsi"/>
          <w:sz w:val="20"/>
          <w:szCs w:val="20"/>
        </w:rPr>
        <w:t xml:space="preserve">The Project Board (also called Project Steering Committee) is responsible for making by consensus, management decisions when guidance is required by the Project </w:t>
      </w:r>
      <w:r w:rsidR="00201734">
        <w:rPr>
          <w:rStyle w:val="None"/>
          <w:rFonts w:asciiTheme="majorHAnsi" w:hAnsiTheme="majorHAnsi" w:cstheme="majorHAnsi"/>
          <w:sz w:val="20"/>
          <w:szCs w:val="20"/>
        </w:rPr>
        <w:t xml:space="preserve">Officer </w:t>
      </w:r>
      <w:r w:rsidRPr="005516CD">
        <w:rPr>
          <w:rStyle w:val="None"/>
          <w:rFonts w:asciiTheme="majorHAnsi" w:hAnsiTheme="majorHAnsi" w:cstheme="majorHAnsi"/>
          <w:sz w:val="20"/>
          <w:szCs w:val="20"/>
        </w:rPr>
        <w:t>,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w:t>
      </w:r>
    </w:p>
    <w:p w14:paraId="7093796E" w14:textId="77777777" w:rsidR="00DE6C73" w:rsidRPr="005516CD" w:rsidRDefault="00DE6C73" w:rsidP="00DE6C73">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sz w:val="20"/>
          <w:szCs w:val="20"/>
        </w:rPr>
      </w:pPr>
      <w:r w:rsidRPr="005516CD">
        <w:rPr>
          <w:rStyle w:val="None"/>
          <w:rFonts w:asciiTheme="majorHAnsi" w:hAnsiTheme="majorHAnsi" w:cstheme="majorHAnsi"/>
          <w:sz w:val="20"/>
          <w:szCs w:val="20"/>
        </w:rPr>
        <w:t>Terms of reference shall frame the Committee’ functions and ensure that its focus remains on issues directly associated with the Project.</w:t>
      </w:r>
    </w:p>
    <w:p w14:paraId="64A65AE8" w14:textId="2816EDA8" w:rsidR="00DE6C73" w:rsidRPr="005516CD" w:rsidRDefault="00DE6C73" w:rsidP="00DE6C73">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i/>
          <w:iCs/>
          <w:sz w:val="20"/>
          <w:szCs w:val="20"/>
        </w:rPr>
      </w:pPr>
      <w:r w:rsidRPr="005516CD">
        <w:rPr>
          <w:rStyle w:val="None"/>
          <w:rFonts w:asciiTheme="majorHAnsi" w:hAnsiTheme="majorHAnsi" w:cstheme="majorHAnsi"/>
          <w:sz w:val="20"/>
          <w:szCs w:val="20"/>
        </w:rPr>
        <w:t xml:space="preserve">The </w:t>
      </w:r>
      <w:r w:rsidRPr="005516CD">
        <w:rPr>
          <w:rStyle w:val="None"/>
          <w:rFonts w:asciiTheme="majorHAnsi" w:hAnsiTheme="majorHAnsi" w:cstheme="majorHAnsi"/>
          <w:b/>
          <w:bCs/>
          <w:sz w:val="20"/>
          <w:szCs w:val="20"/>
        </w:rPr>
        <w:t>Project Board</w:t>
      </w:r>
      <w:r w:rsidRPr="005516CD">
        <w:rPr>
          <w:rStyle w:val="None"/>
          <w:rFonts w:asciiTheme="majorHAnsi" w:hAnsiTheme="majorHAnsi" w:cstheme="majorHAnsi"/>
          <w:sz w:val="20"/>
          <w:szCs w:val="20"/>
        </w:rPr>
        <w:t xml:space="preserve"> (also called Project Steering Committee) will be the project coordination and decision-making body, responsible for </w:t>
      </w:r>
      <w:r w:rsidRPr="005516CD">
        <w:rPr>
          <w:rFonts w:asciiTheme="majorHAnsi" w:hAnsiTheme="majorHAnsi" w:cstheme="majorHAnsi"/>
          <w:sz w:val="20"/>
          <w:szCs w:val="20"/>
        </w:rPr>
        <w:t>making</w:t>
      </w:r>
      <w:r w:rsidRPr="005516CD">
        <w:rPr>
          <w:rStyle w:val="None"/>
          <w:rFonts w:asciiTheme="majorHAnsi" w:hAnsiTheme="majorHAnsi" w:cstheme="majorHAnsi"/>
          <w:sz w:val="20"/>
          <w:szCs w:val="20"/>
        </w:rPr>
        <w:t xml:space="preserve"> executive decisions for the project, in particular when guidance is required by the </w:t>
      </w:r>
      <w:r w:rsidR="00201734">
        <w:rPr>
          <w:rStyle w:val="None"/>
          <w:rFonts w:asciiTheme="majorHAnsi" w:hAnsiTheme="majorHAnsi" w:cstheme="majorHAnsi"/>
          <w:sz w:val="20"/>
          <w:szCs w:val="20"/>
        </w:rPr>
        <w:t>PO</w:t>
      </w:r>
      <w:r w:rsidRPr="005516CD">
        <w:rPr>
          <w:rStyle w:val="None"/>
          <w:rFonts w:asciiTheme="majorHAnsi" w:hAnsiTheme="majorHAnsi" w:cstheme="majorHAnsi"/>
          <w:sz w:val="20"/>
          <w:szCs w:val="20"/>
        </w:rPr>
        <w:t xml:space="preserve">. It will meet annually and may be convened extraordinarily by the Chair, on the request of individual members. The responsibility of the Board is to see that project activities lead to the required outcomes as defined in the Project Document. It will play a critical role in facilitating inter-ministerial coordination, project monitoring and evaluations by quality assuring these processes and products, and using evaluations for performance improvement, accountability and learning. The Board will oversee project implementation, approve work plans and budgets as supplied by the Project </w:t>
      </w:r>
      <w:r w:rsidR="00201734">
        <w:rPr>
          <w:rStyle w:val="None"/>
          <w:rFonts w:asciiTheme="majorHAnsi" w:hAnsiTheme="majorHAnsi" w:cstheme="majorHAnsi"/>
          <w:sz w:val="20"/>
          <w:szCs w:val="20"/>
        </w:rPr>
        <w:t xml:space="preserve">Officer </w:t>
      </w:r>
      <w:r w:rsidRPr="005516CD">
        <w:rPr>
          <w:rStyle w:val="None"/>
          <w:rFonts w:asciiTheme="majorHAnsi" w:hAnsiTheme="majorHAnsi" w:cstheme="majorHAnsi"/>
          <w:sz w:val="20"/>
          <w:szCs w:val="20"/>
        </w:rPr>
        <w:t xml:space="preserve">, approve any major changes in project plans, approve major project deliverables, arbitrate any conflicts which might arise, and be responsible for the overall evaluation of the project. In order to ensure UNDP’s ultimate accountability, Project Board decisions will be made in accordance with standards that shall ensure management for development results, best value money, fairness, integrity, transparency and effective international competition. In case a consensus cannot be reached within the Board, final decision shall rest with the UNDP Programme Manager. </w:t>
      </w:r>
    </w:p>
    <w:p w14:paraId="5CFA707D" w14:textId="77777777" w:rsidR="00DE6C73" w:rsidRPr="005516CD" w:rsidRDefault="00DE6C73" w:rsidP="00DE6C73">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i/>
          <w:iCs/>
          <w:sz w:val="20"/>
          <w:szCs w:val="20"/>
        </w:rPr>
      </w:pPr>
      <w:r w:rsidRPr="005516CD">
        <w:rPr>
          <w:rStyle w:val="None"/>
          <w:rFonts w:asciiTheme="majorHAnsi" w:hAnsiTheme="majorHAnsi" w:cstheme="majorHAnsi"/>
          <w:sz w:val="20"/>
          <w:szCs w:val="20"/>
        </w:rPr>
        <w:t xml:space="preserve">The Project Board will </w:t>
      </w:r>
      <w:r w:rsidRPr="005516CD">
        <w:rPr>
          <w:rFonts w:asciiTheme="majorHAnsi" w:hAnsiTheme="majorHAnsi" w:cstheme="majorHAnsi"/>
          <w:sz w:val="20"/>
          <w:szCs w:val="20"/>
          <w:lang w:val="en-US"/>
        </w:rPr>
        <w:t>be</w:t>
      </w:r>
      <w:r w:rsidRPr="005516CD">
        <w:rPr>
          <w:rStyle w:val="None"/>
          <w:rFonts w:asciiTheme="majorHAnsi" w:hAnsiTheme="majorHAnsi" w:cstheme="majorHAnsi"/>
          <w:sz w:val="20"/>
          <w:szCs w:val="20"/>
        </w:rPr>
        <w:t xml:space="preserve"> comprised as follows (the make-up and TORs of the Board will be finalized in the Project Inception Workshop): </w:t>
      </w:r>
    </w:p>
    <w:p w14:paraId="0EBA4F11" w14:textId="12A81B87" w:rsidR="00DE6C73" w:rsidRPr="005516CD" w:rsidRDefault="00DE6C73" w:rsidP="00DE6C73">
      <w:pPr>
        <w:pStyle w:val="ListParagraph"/>
        <w:numPr>
          <w:ilvl w:val="0"/>
          <w:numId w:val="22"/>
        </w:numPr>
        <w:ind w:hanging="284"/>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 xml:space="preserve">The Executive, who will chair the Board. This role will be filled by a representative of </w:t>
      </w:r>
      <w:proofErr w:type="spellStart"/>
      <w:r w:rsidRPr="005516CD">
        <w:rPr>
          <w:rStyle w:val="None"/>
          <w:rFonts w:asciiTheme="majorHAnsi" w:eastAsia="Calibri" w:hAnsiTheme="majorHAnsi" w:cstheme="majorHAnsi"/>
          <w:color w:val="auto"/>
          <w:sz w:val="20"/>
          <w:szCs w:val="20"/>
        </w:rPr>
        <w:t>M</w:t>
      </w:r>
      <w:r w:rsidR="00201734">
        <w:rPr>
          <w:rStyle w:val="None"/>
          <w:rFonts w:asciiTheme="majorHAnsi" w:eastAsia="Calibri" w:hAnsiTheme="majorHAnsi" w:cstheme="majorHAnsi"/>
          <w:color w:val="auto"/>
          <w:sz w:val="20"/>
          <w:szCs w:val="20"/>
        </w:rPr>
        <w:t>o</w:t>
      </w:r>
      <w:r w:rsidRPr="005516CD">
        <w:rPr>
          <w:rStyle w:val="None"/>
          <w:rFonts w:asciiTheme="majorHAnsi" w:eastAsia="Calibri" w:hAnsiTheme="majorHAnsi" w:cstheme="majorHAnsi"/>
          <w:color w:val="auto"/>
          <w:sz w:val="20"/>
          <w:szCs w:val="20"/>
        </w:rPr>
        <w:t>E</w:t>
      </w:r>
      <w:proofErr w:type="spellEnd"/>
      <w:r w:rsidRPr="005516CD">
        <w:rPr>
          <w:rStyle w:val="None"/>
          <w:rFonts w:asciiTheme="majorHAnsi" w:eastAsia="Calibri" w:hAnsiTheme="majorHAnsi" w:cstheme="majorHAnsi"/>
          <w:color w:val="auto"/>
          <w:sz w:val="20"/>
          <w:szCs w:val="20"/>
        </w:rPr>
        <w:t>.</w:t>
      </w:r>
    </w:p>
    <w:p w14:paraId="1C7808FC" w14:textId="77777777" w:rsidR="00DE6C73" w:rsidRPr="005516CD" w:rsidRDefault="00DE6C73" w:rsidP="00DE6C73">
      <w:pPr>
        <w:pStyle w:val="ListParagraph"/>
        <w:numPr>
          <w:ilvl w:val="0"/>
          <w:numId w:val="22"/>
        </w:numPr>
        <w:ind w:hanging="284"/>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A representative of the Senior Supplier, who will provide guidance regarding the technical feasibility of the project. This role will be filled by UNDP.</w:t>
      </w:r>
    </w:p>
    <w:p w14:paraId="43FD5BCD" w14:textId="3D8D1E51" w:rsidR="00DE6C73" w:rsidRDefault="00DE6C73" w:rsidP="00DE6C73">
      <w:pPr>
        <w:pStyle w:val="ListParagraph"/>
        <w:numPr>
          <w:ilvl w:val="0"/>
          <w:numId w:val="22"/>
        </w:numPr>
        <w:ind w:hanging="284"/>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 xml:space="preserve">FAO, as joint Implementing Agency and joint Responsible Party. </w:t>
      </w:r>
    </w:p>
    <w:p w14:paraId="69D0E55C" w14:textId="0E8931EE" w:rsidR="00F44E8A" w:rsidRPr="00B609DE" w:rsidRDefault="00F44E8A" w:rsidP="00DE6C73">
      <w:pPr>
        <w:pStyle w:val="ListParagraph"/>
        <w:numPr>
          <w:ilvl w:val="0"/>
          <w:numId w:val="22"/>
        </w:numPr>
        <w:ind w:hanging="284"/>
        <w:rPr>
          <w:rStyle w:val="None"/>
          <w:rFonts w:asciiTheme="majorHAnsi" w:eastAsia="Calibri" w:hAnsiTheme="majorHAnsi" w:cstheme="majorHAnsi"/>
          <w:color w:val="auto"/>
          <w:sz w:val="20"/>
          <w:szCs w:val="20"/>
          <w:highlight w:val="yellow"/>
          <w:lang w:val="en-GB"/>
        </w:rPr>
      </w:pPr>
      <w:r w:rsidRPr="00B609DE">
        <w:rPr>
          <w:rStyle w:val="None"/>
          <w:rFonts w:asciiTheme="majorHAnsi" w:eastAsia="Calibri" w:hAnsiTheme="majorHAnsi" w:cstheme="majorHAnsi"/>
          <w:color w:val="auto"/>
          <w:sz w:val="20"/>
          <w:szCs w:val="20"/>
          <w:highlight w:val="yellow"/>
          <w:lang w:val="en-GB"/>
        </w:rPr>
        <w:t>CSO/NGOs, as Responsible Party</w:t>
      </w:r>
    </w:p>
    <w:p w14:paraId="69B7A069" w14:textId="5634C72F" w:rsidR="00DE6C73" w:rsidRPr="005516CD" w:rsidRDefault="00DE6C73" w:rsidP="00DE6C73">
      <w:pPr>
        <w:pStyle w:val="ListParagraph"/>
        <w:numPr>
          <w:ilvl w:val="0"/>
          <w:numId w:val="22"/>
        </w:numPr>
        <w:ind w:hanging="284"/>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 xml:space="preserve">The Project </w:t>
      </w:r>
      <w:r w:rsidR="00201734">
        <w:rPr>
          <w:rStyle w:val="None"/>
          <w:rFonts w:asciiTheme="majorHAnsi" w:eastAsia="Calibri" w:hAnsiTheme="majorHAnsi" w:cstheme="majorHAnsi"/>
          <w:color w:val="auto"/>
          <w:sz w:val="20"/>
          <w:szCs w:val="20"/>
        </w:rPr>
        <w:t>Officer</w:t>
      </w:r>
      <w:r w:rsidRPr="005516CD">
        <w:rPr>
          <w:rStyle w:val="None"/>
          <w:rFonts w:asciiTheme="majorHAnsi" w:eastAsia="Calibri" w:hAnsiTheme="majorHAnsi" w:cstheme="majorHAnsi"/>
          <w:color w:val="auto"/>
          <w:sz w:val="20"/>
          <w:szCs w:val="20"/>
        </w:rPr>
        <w:t xml:space="preserve">, who will have voice but </w:t>
      </w:r>
      <w:r w:rsidR="00A96C24" w:rsidRPr="005516CD">
        <w:rPr>
          <w:rStyle w:val="None"/>
          <w:rFonts w:asciiTheme="majorHAnsi" w:eastAsia="Calibri" w:hAnsiTheme="majorHAnsi" w:cstheme="majorHAnsi"/>
          <w:color w:val="auto"/>
          <w:sz w:val="20"/>
          <w:szCs w:val="20"/>
        </w:rPr>
        <w:t>without voting rights</w:t>
      </w:r>
      <w:r w:rsidRPr="005516CD">
        <w:rPr>
          <w:rStyle w:val="None"/>
          <w:rFonts w:asciiTheme="majorHAnsi" w:eastAsia="Calibri" w:hAnsiTheme="majorHAnsi" w:cstheme="majorHAnsi"/>
          <w:color w:val="auto"/>
          <w:sz w:val="20"/>
          <w:szCs w:val="20"/>
        </w:rPr>
        <w:t>.</w:t>
      </w:r>
    </w:p>
    <w:p w14:paraId="4491CD49" w14:textId="77777777" w:rsidR="00DE6C73" w:rsidRPr="005516CD" w:rsidRDefault="00DE6C73" w:rsidP="00DE6C73">
      <w:pPr>
        <w:pStyle w:val="ListParagraph"/>
        <w:numPr>
          <w:ilvl w:val="0"/>
          <w:numId w:val="22"/>
        </w:numPr>
        <w:spacing w:after="120"/>
        <w:ind w:hanging="284"/>
        <w:rPr>
          <w:rStyle w:val="None"/>
          <w:rFonts w:asciiTheme="majorHAnsi" w:eastAsia="Calibri" w:hAnsiTheme="majorHAnsi" w:cstheme="majorHAnsi"/>
          <w:color w:val="auto"/>
          <w:sz w:val="20"/>
          <w:szCs w:val="20"/>
        </w:rPr>
      </w:pPr>
      <w:r w:rsidRPr="005516CD">
        <w:rPr>
          <w:rStyle w:val="None"/>
          <w:rFonts w:asciiTheme="majorHAnsi" w:eastAsia="Calibri" w:hAnsiTheme="majorHAnsi" w:cstheme="majorHAnsi"/>
          <w:color w:val="auto"/>
          <w:sz w:val="20"/>
          <w:szCs w:val="20"/>
        </w:rPr>
        <w:t>Senior Beneficiar</w:t>
      </w:r>
      <w:r w:rsidR="00A96C24" w:rsidRPr="005516CD">
        <w:rPr>
          <w:rStyle w:val="None"/>
          <w:rFonts w:asciiTheme="majorHAnsi" w:eastAsia="Calibri" w:hAnsiTheme="majorHAnsi" w:cstheme="majorHAnsi"/>
          <w:color w:val="auto"/>
          <w:sz w:val="20"/>
          <w:szCs w:val="20"/>
        </w:rPr>
        <w:t xml:space="preserve">y: a representative of the Local Advisory Committee (see below) who will also participate with voice but without voting rights. </w:t>
      </w:r>
    </w:p>
    <w:p w14:paraId="287D4E00" w14:textId="68836E3B" w:rsidR="00E45267" w:rsidRPr="009241AB" w:rsidRDefault="00E45267" w:rsidP="00F15FA3">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9241AB">
        <w:rPr>
          <w:rFonts w:asciiTheme="majorHAnsi" w:hAnsiTheme="majorHAnsi" w:cstheme="majorHAnsi"/>
          <w:sz w:val="20"/>
          <w:szCs w:val="20"/>
          <w:lang w:val="en-US"/>
        </w:rPr>
        <w:t xml:space="preserve">The project will </w:t>
      </w:r>
      <w:r w:rsidRPr="009241AB">
        <w:rPr>
          <w:rStyle w:val="None"/>
          <w:rFonts w:asciiTheme="majorHAnsi" w:hAnsiTheme="majorHAnsi" w:cstheme="majorHAnsi"/>
          <w:sz w:val="20"/>
          <w:szCs w:val="20"/>
        </w:rPr>
        <w:t>be</w:t>
      </w:r>
      <w:r w:rsidRPr="009241AB">
        <w:rPr>
          <w:rFonts w:asciiTheme="majorHAnsi" w:hAnsiTheme="majorHAnsi" w:cstheme="majorHAnsi"/>
          <w:sz w:val="20"/>
          <w:szCs w:val="20"/>
          <w:lang w:val="en-US"/>
        </w:rPr>
        <w:t xml:space="preserve"> under the overall leadership of a </w:t>
      </w:r>
      <w:r w:rsidRPr="009241AB">
        <w:rPr>
          <w:rStyle w:val="None"/>
          <w:rFonts w:asciiTheme="majorHAnsi" w:hAnsiTheme="majorHAnsi" w:cstheme="majorHAnsi"/>
          <w:b/>
          <w:bCs/>
          <w:sz w:val="20"/>
          <w:szCs w:val="20"/>
        </w:rPr>
        <w:t>National Project Director (NPD)</w:t>
      </w:r>
      <w:r w:rsidRPr="009241AB">
        <w:rPr>
          <w:rFonts w:asciiTheme="majorHAnsi" w:hAnsiTheme="majorHAnsi" w:cstheme="majorHAnsi"/>
          <w:sz w:val="20"/>
          <w:szCs w:val="20"/>
          <w:lang w:val="en-US"/>
        </w:rPr>
        <w:t xml:space="preserve">, who will be a </w:t>
      </w:r>
      <w:r w:rsidRPr="009241AB">
        <w:rPr>
          <w:rStyle w:val="None"/>
          <w:rFonts w:asciiTheme="majorHAnsi" w:hAnsiTheme="majorHAnsi" w:cstheme="majorHAnsi"/>
          <w:sz w:val="20"/>
          <w:szCs w:val="20"/>
        </w:rPr>
        <w:t>representative</w:t>
      </w:r>
      <w:r w:rsidRPr="009241AB">
        <w:rPr>
          <w:rFonts w:asciiTheme="majorHAnsi" w:hAnsiTheme="majorHAnsi" w:cstheme="majorHAnsi"/>
          <w:sz w:val="20"/>
          <w:szCs w:val="20"/>
          <w:lang w:val="en-US"/>
        </w:rPr>
        <w:t xml:space="preserve"> of </w:t>
      </w:r>
      <w:proofErr w:type="spellStart"/>
      <w:r w:rsidRPr="009241AB">
        <w:rPr>
          <w:rFonts w:asciiTheme="majorHAnsi" w:hAnsiTheme="majorHAnsi" w:cstheme="majorHAnsi"/>
          <w:sz w:val="20"/>
          <w:szCs w:val="20"/>
          <w:lang w:val="en-US"/>
        </w:rPr>
        <w:t>M</w:t>
      </w:r>
      <w:r w:rsidR="00201734" w:rsidRPr="009241AB">
        <w:rPr>
          <w:rFonts w:asciiTheme="majorHAnsi" w:hAnsiTheme="majorHAnsi" w:cstheme="majorHAnsi"/>
          <w:sz w:val="20"/>
          <w:szCs w:val="20"/>
          <w:lang w:val="en-US"/>
        </w:rPr>
        <w:t>o</w:t>
      </w:r>
      <w:r w:rsidRPr="009241AB">
        <w:rPr>
          <w:rFonts w:asciiTheme="majorHAnsi" w:hAnsiTheme="majorHAnsi" w:cstheme="majorHAnsi"/>
          <w:sz w:val="20"/>
          <w:szCs w:val="20"/>
          <w:lang w:val="en-US"/>
        </w:rPr>
        <w:t>E</w:t>
      </w:r>
      <w:proofErr w:type="spellEnd"/>
      <w:r w:rsidRPr="009241AB">
        <w:rPr>
          <w:rFonts w:asciiTheme="majorHAnsi" w:hAnsiTheme="majorHAnsi" w:cstheme="majorHAnsi"/>
          <w:sz w:val="20"/>
          <w:szCs w:val="20"/>
          <w:lang w:val="en-US"/>
        </w:rPr>
        <w:t xml:space="preserve"> and will be responsible for orienting and advising the Project </w:t>
      </w:r>
      <w:proofErr w:type="spellStart"/>
      <w:r w:rsidR="00201734" w:rsidRPr="009241AB">
        <w:rPr>
          <w:rFonts w:asciiTheme="majorHAnsi" w:hAnsiTheme="majorHAnsi" w:cstheme="majorHAnsi"/>
          <w:sz w:val="20"/>
          <w:szCs w:val="20"/>
          <w:lang w:val="en-US"/>
        </w:rPr>
        <w:t>Officero</w:t>
      </w:r>
      <w:r w:rsidRPr="009241AB">
        <w:rPr>
          <w:rFonts w:asciiTheme="majorHAnsi" w:hAnsiTheme="majorHAnsi" w:cstheme="majorHAnsi"/>
          <w:sz w:val="20"/>
          <w:szCs w:val="20"/>
          <w:lang w:val="en-US"/>
        </w:rPr>
        <w:t>on</w:t>
      </w:r>
      <w:proofErr w:type="spellEnd"/>
      <w:r w:rsidRPr="009241AB">
        <w:rPr>
          <w:rFonts w:asciiTheme="majorHAnsi" w:hAnsiTheme="majorHAnsi" w:cstheme="majorHAnsi"/>
          <w:sz w:val="20"/>
          <w:szCs w:val="20"/>
          <w:lang w:val="en-US"/>
        </w:rPr>
        <w:t xml:space="preserve"> </w:t>
      </w:r>
      <w:r w:rsidRPr="009241AB">
        <w:rPr>
          <w:rStyle w:val="Hyperlink2"/>
          <w:rFonts w:asciiTheme="majorHAnsi" w:hAnsiTheme="majorHAnsi" w:cstheme="majorHAnsi"/>
          <w:color w:val="auto"/>
          <w:sz w:val="20"/>
          <w:szCs w:val="20"/>
        </w:rPr>
        <w:t>Government</w:t>
      </w:r>
      <w:r w:rsidRPr="009241AB">
        <w:rPr>
          <w:rFonts w:asciiTheme="majorHAnsi" w:hAnsiTheme="majorHAnsi" w:cstheme="majorHAnsi"/>
          <w:sz w:val="20"/>
          <w:szCs w:val="20"/>
          <w:lang w:val="en-US"/>
        </w:rPr>
        <w:t xml:space="preserve"> policy and priorities. The NPD will also be responsible for maintaining regular communication with the lead institutions in the agriculture and livestock sectors and ensuring that their interests are communicated effectively to the </w:t>
      </w:r>
      <w:r w:rsidRPr="009241AB">
        <w:rPr>
          <w:rFonts w:asciiTheme="majorHAnsi" w:hAnsiTheme="majorHAnsi" w:cstheme="majorHAnsi"/>
          <w:b/>
          <w:sz w:val="20"/>
          <w:szCs w:val="20"/>
          <w:lang w:val="en-US"/>
        </w:rPr>
        <w:t xml:space="preserve">Project </w:t>
      </w:r>
      <w:r w:rsidR="00201734" w:rsidRPr="008244FA">
        <w:rPr>
          <w:rFonts w:asciiTheme="majorHAnsi" w:hAnsiTheme="majorHAnsi" w:cstheme="majorHAnsi"/>
          <w:b/>
          <w:sz w:val="20"/>
          <w:szCs w:val="20"/>
          <w:lang w:val="en-US"/>
        </w:rPr>
        <w:t xml:space="preserve">Officer </w:t>
      </w:r>
      <w:r w:rsidRPr="009241AB">
        <w:rPr>
          <w:rFonts w:asciiTheme="majorHAnsi" w:hAnsiTheme="majorHAnsi" w:cstheme="majorHAnsi"/>
          <w:b/>
          <w:sz w:val="20"/>
          <w:szCs w:val="20"/>
          <w:lang w:val="en-US"/>
        </w:rPr>
        <w:t>(</w:t>
      </w:r>
      <w:r w:rsidR="00644528" w:rsidRPr="009241AB">
        <w:rPr>
          <w:rFonts w:asciiTheme="majorHAnsi" w:hAnsiTheme="majorHAnsi" w:cstheme="majorHAnsi"/>
          <w:b/>
          <w:sz w:val="20"/>
          <w:szCs w:val="20"/>
          <w:lang w:val="en-US"/>
        </w:rPr>
        <w:t>P</w:t>
      </w:r>
      <w:r w:rsidR="00201734" w:rsidRPr="008244FA">
        <w:rPr>
          <w:rFonts w:asciiTheme="majorHAnsi" w:hAnsiTheme="majorHAnsi" w:cstheme="majorHAnsi"/>
          <w:b/>
          <w:sz w:val="20"/>
          <w:szCs w:val="20"/>
          <w:lang w:val="en-US"/>
        </w:rPr>
        <w:t>O</w:t>
      </w:r>
      <w:r w:rsidRPr="009241AB">
        <w:rPr>
          <w:rFonts w:asciiTheme="majorHAnsi" w:hAnsiTheme="majorHAnsi" w:cstheme="majorHAnsi"/>
          <w:b/>
          <w:sz w:val="20"/>
          <w:szCs w:val="20"/>
          <w:lang w:val="en-US"/>
        </w:rPr>
        <w:t>)</w:t>
      </w:r>
      <w:r w:rsidRPr="009241AB">
        <w:rPr>
          <w:rFonts w:asciiTheme="majorHAnsi" w:hAnsiTheme="majorHAnsi" w:cstheme="majorHAnsi"/>
          <w:sz w:val="20"/>
          <w:szCs w:val="20"/>
          <w:lang w:val="en-US"/>
        </w:rPr>
        <w:t>. The National Project Director will be represented on the Project Board</w:t>
      </w:r>
      <w:r w:rsidR="00F2698B" w:rsidRPr="009241AB">
        <w:rPr>
          <w:rFonts w:asciiTheme="majorHAnsi" w:hAnsiTheme="majorHAnsi" w:cstheme="majorHAnsi"/>
          <w:sz w:val="20"/>
          <w:szCs w:val="20"/>
          <w:lang w:val="en-US"/>
        </w:rPr>
        <w:t>, as Secretary</w:t>
      </w:r>
      <w:r w:rsidRPr="009241AB">
        <w:rPr>
          <w:rFonts w:asciiTheme="majorHAnsi" w:hAnsiTheme="majorHAnsi" w:cstheme="majorHAnsi"/>
          <w:sz w:val="20"/>
          <w:szCs w:val="20"/>
          <w:lang w:val="en-US"/>
        </w:rPr>
        <w:t xml:space="preserve">. </w:t>
      </w:r>
    </w:p>
    <w:p w14:paraId="6A261FBA" w14:textId="7F319A09" w:rsidR="00E45267" w:rsidRPr="009241AB" w:rsidRDefault="00E45267" w:rsidP="00F15FA3">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i/>
          <w:iCs/>
          <w:sz w:val="20"/>
          <w:szCs w:val="20"/>
        </w:rPr>
      </w:pPr>
      <w:r w:rsidRPr="009241AB">
        <w:rPr>
          <w:rStyle w:val="None"/>
          <w:rFonts w:asciiTheme="majorHAnsi" w:hAnsiTheme="majorHAnsi" w:cstheme="majorHAnsi"/>
          <w:sz w:val="20"/>
          <w:szCs w:val="20"/>
        </w:rPr>
        <w:t xml:space="preserve">The project will be executed in practice, on behalf of the Implementing Partner within the constraints laid down by the </w:t>
      </w:r>
      <w:r w:rsidRPr="009241AB">
        <w:rPr>
          <w:rFonts w:asciiTheme="majorHAnsi" w:hAnsiTheme="majorHAnsi" w:cstheme="majorHAnsi"/>
          <w:sz w:val="20"/>
          <w:szCs w:val="20"/>
          <w:lang w:val="en-US"/>
        </w:rPr>
        <w:t>Board</w:t>
      </w:r>
      <w:r w:rsidRPr="009241AB">
        <w:rPr>
          <w:rStyle w:val="None"/>
          <w:rFonts w:asciiTheme="majorHAnsi" w:hAnsiTheme="majorHAnsi" w:cstheme="majorHAnsi"/>
          <w:sz w:val="20"/>
          <w:szCs w:val="20"/>
        </w:rPr>
        <w:t xml:space="preserve">, by a </w:t>
      </w:r>
      <w:r w:rsidRPr="009241AB">
        <w:rPr>
          <w:rStyle w:val="None"/>
          <w:rFonts w:asciiTheme="majorHAnsi" w:hAnsiTheme="majorHAnsi" w:cstheme="majorHAnsi"/>
          <w:b/>
          <w:bCs/>
          <w:sz w:val="20"/>
          <w:szCs w:val="20"/>
        </w:rPr>
        <w:t xml:space="preserve">Project Management Unit </w:t>
      </w:r>
      <w:r w:rsidRPr="009241AB">
        <w:rPr>
          <w:rStyle w:val="None"/>
          <w:rFonts w:asciiTheme="majorHAnsi" w:hAnsiTheme="majorHAnsi" w:cstheme="majorHAnsi"/>
          <w:sz w:val="20"/>
          <w:szCs w:val="20"/>
        </w:rPr>
        <w:t>(PMU)</w:t>
      </w:r>
      <w:r w:rsidR="00CC2392" w:rsidRPr="009241AB">
        <w:rPr>
          <w:rStyle w:val="None"/>
          <w:rFonts w:asciiTheme="majorHAnsi" w:hAnsiTheme="majorHAnsi" w:cstheme="majorHAnsi"/>
          <w:sz w:val="20"/>
          <w:szCs w:val="20"/>
        </w:rPr>
        <w:t xml:space="preserve">. </w:t>
      </w:r>
    </w:p>
    <w:p w14:paraId="539C1895" w14:textId="516214C4" w:rsidR="00E45267" w:rsidRPr="009241AB" w:rsidRDefault="00E45267" w:rsidP="00F15FA3">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i/>
          <w:iCs/>
          <w:sz w:val="20"/>
          <w:szCs w:val="20"/>
        </w:rPr>
      </w:pPr>
      <w:r w:rsidRPr="009241AB">
        <w:rPr>
          <w:rStyle w:val="None"/>
          <w:rFonts w:asciiTheme="majorHAnsi" w:hAnsiTheme="majorHAnsi" w:cstheme="majorHAnsi"/>
          <w:sz w:val="20"/>
          <w:szCs w:val="20"/>
        </w:rPr>
        <w:t xml:space="preserve">The PMU will be led by a </w:t>
      </w:r>
      <w:r w:rsidR="00644528" w:rsidRPr="009241AB">
        <w:rPr>
          <w:rStyle w:val="None"/>
          <w:rFonts w:asciiTheme="majorHAnsi" w:hAnsiTheme="majorHAnsi" w:cstheme="majorHAnsi"/>
          <w:b/>
          <w:sz w:val="20"/>
          <w:szCs w:val="20"/>
        </w:rPr>
        <w:t xml:space="preserve">Project </w:t>
      </w:r>
      <w:r w:rsidR="00201734" w:rsidRPr="008244FA">
        <w:rPr>
          <w:rStyle w:val="None"/>
          <w:rFonts w:asciiTheme="majorHAnsi" w:hAnsiTheme="majorHAnsi" w:cstheme="majorHAnsi"/>
          <w:b/>
          <w:sz w:val="20"/>
          <w:szCs w:val="20"/>
        </w:rPr>
        <w:t xml:space="preserve">Officer </w:t>
      </w:r>
      <w:r w:rsidRPr="009241AB">
        <w:rPr>
          <w:rStyle w:val="None"/>
          <w:rFonts w:asciiTheme="majorHAnsi" w:hAnsiTheme="majorHAnsi" w:cstheme="majorHAnsi"/>
          <w:b/>
          <w:bCs/>
          <w:sz w:val="20"/>
          <w:szCs w:val="20"/>
        </w:rPr>
        <w:t xml:space="preserve"> (</w:t>
      </w:r>
      <w:r w:rsidR="00644528" w:rsidRPr="009241AB">
        <w:rPr>
          <w:rStyle w:val="None"/>
          <w:rFonts w:asciiTheme="majorHAnsi" w:hAnsiTheme="majorHAnsi" w:cstheme="majorHAnsi"/>
          <w:b/>
          <w:bCs/>
          <w:sz w:val="20"/>
          <w:szCs w:val="20"/>
        </w:rPr>
        <w:t>P</w:t>
      </w:r>
      <w:r w:rsidR="00201734" w:rsidRPr="008244FA">
        <w:rPr>
          <w:rStyle w:val="None"/>
          <w:rFonts w:asciiTheme="majorHAnsi" w:hAnsiTheme="majorHAnsi" w:cstheme="majorHAnsi"/>
          <w:b/>
          <w:bCs/>
          <w:sz w:val="20"/>
          <w:szCs w:val="20"/>
        </w:rPr>
        <w:t>O</w:t>
      </w:r>
      <w:r w:rsidRPr="009241AB">
        <w:rPr>
          <w:rStyle w:val="None"/>
          <w:rFonts w:asciiTheme="majorHAnsi" w:hAnsiTheme="majorHAnsi" w:cstheme="majorHAnsi"/>
          <w:b/>
          <w:bCs/>
          <w:sz w:val="20"/>
          <w:szCs w:val="20"/>
        </w:rPr>
        <w:t xml:space="preserve">), </w:t>
      </w:r>
      <w:r w:rsidRPr="009241AB">
        <w:rPr>
          <w:rStyle w:val="None"/>
          <w:rFonts w:asciiTheme="majorHAnsi" w:hAnsiTheme="majorHAnsi" w:cstheme="majorHAnsi"/>
          <w:sz w:val="20"/>
          <w:szCs w:val="20"/>
        </w:rPr>
        <w:t xml:space="preserve">who will be hired through a competitive process and </w:t>
      </w:r>
      <w:r w:rsidRPr="009241AB">
        <w:rPr>
          <w:rFonts w:asciiTheme="majorHAnsi" w:hAnsiTheme="majorHAnsi" w:cstheme="majorHAnsi"/>
          <w:sz w:val="20"/>
          <w:szCs w:val="20"/>
          <w:lang w:val="en-US"/>
        </w:rPr>
        <w:t>will</w:t>
      </w:r>
      <w:r w:rsidRPr="009241AB">
        <w:rPr>
          <w:rStyle w:val="None"/>
          <w:rFonts w:asciiTheme="majorHAnsi" w:hAnsiTheme="majorHAnsi" w:cstheme="majorHAnsi"/>
          <w:sz w:val="20"/>
          <w:szCs w:val="20"/>
        </w:rPr>
        <w:t xml:space="preserve"> coordinate directly with the National Director. The </w:t>
      </w:r>
      <w:r w:rsidR="00644528" w:rsidRPr="009241AB">
        <w:rPr>
          <w:rStyle w:val="None"/>
          <w:rFonts w:asciiTheme="majorHAnsi" w:hAnsiTheme="majorHAnsi" w:cstheme="majorHAnsi"/>
          <w:sz w:val="20"/>
          <w:szCs w:val="20"/>
        </w:rPr>
        <w:t>P</w:t>
      </w:r>
      <w:r w:rsidR="00201734" w:rsidRPr="008244FA">
        <w:rPr>
          <w:rStyle w:val="None"/>
          <w:rFonts w:asciiTheme="majorHAnsi" w:hAnsiTheme="majorHAnsi" w:cstheme="majorHAnsi"/>
          <w:sz w:val="20"/>
          <w:szCs w:val="20"/>
        </w:rPr>
        <w:t>O</w:t>
      </w:r>
      <w:r w:rsidR="00644528" w:rsidRPr="009241AB">
        <w:rPr>
          <w:rStyle w:val="None"/>
          <w:rFonts w:asciiTheme="majorHAnsi" w:hAnsiTheme="majorHAnsi" w:cstheme="majorHAnsi"/>
          <w:sz w:val="20"/>
          <w:szCs w:val="20"/>
        </w:rPr>
        <w:t xml:space="preserve"> </w:t>
      </w:r>
      <w:r w:rsidRPr="009241AB">
        <w:rPr>
          <w:rStyle w:val="None"/>
          <w:rFonts w:asciiTheme="majorHAnsi" w:hAnsiTheme="majorHAnsi" w:cstheme="majorHAnsi"/>
          <w:sz w:val="20"/>
          <w:szCs w:val="20"/>
        </w:rPr>
        <w:t xml:space="preserve">function will end when the final project terminal evaluation report and corresponding management response, and other documentation required by the GEF and </w:t>
      </w:r>
      <w:r w:rsidRPr="009241AB">
        <w:rPr>
          <w:rStyle w:val="Hyperlink2"/>
          <w:rFonts w:asciiTheme="majorHAnsi" w:hAnsiTheme="majorHAnsi" w:cstheme="majorHAnsi"/>
          <w:color w:val="auto"/>
          <w:sz w:val="20"/>
          <w:szCs w:val="20"/>
        </w:rPr>
        <w:t>UNDP</w:t>
      </w:r>
      <w:r w:rsidRPr="009241AB">
        <w:rPr>
          <w:rStyle w:val="None"/>
          <w:rFonts w:asciiTheme="majorHAnsi" w:hAnsiTheme="majorHAnsi" w:cstheme="majorHAnsi"/>
          <w:sz w:val="20"/>
          <w:szCs w:val="20"/>
        </w:rPr>
        <w:t xml:space="preserve">, have been completed and submitted to UNDP (including operational closure of the project).  </w:t>
      </w:r>
    </w:p>
    <w:p w14:paraId="2667E931" w14:textId="791F5AF9" w:rsidR="00E45267" w:rsidRPr="009241AB" w:rsidRDefault="00E45267" w:rsidP="00F15FA3">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9241AB">
        <w:rPr>
          <w:rFonts w:asciiTheme="majorHAnsi" w:hAnsiTheme="majorHAnsi" w:cstheme="majorHAnsi"/>
          <w:sz w:val="20"/>
          <w:szCs w:val="20"/>
          <w:lang w:val="en-US"/>
        </w:rPr>
        <w:t xml:space="preserve">The </w:t>
      </w:r>
      <w:r w:rsidR="00644528" w:rsidRPr="009241AB">
        <w:rPr>
          <w:rFonts w:asciiTheme="majorHAnsi" w:hAnsiTheme="majorHAnsi" w:cstheme="majorHAnsi"/>
          <w:sz w:val="20"/>
          <w:szCs w:val="20"/>
          <w:lang w:val="en-US"/>
        </w:rPr>
        <w:t>P</w:t>
      </w:r>
      <w:r w:rsidR="00201734" w:rsidRPr="008244FA">
        <w:rPr>
          <w:rFonts w:asciiTheme="majorHAnsi" w:hAnsiTheme="majorHAnsi" w:cstheme="majorHAnsi"/>
          <w:sz w:val="20"/>
          <w:szCs w:val="20"/>
          <w:lang w:val="en-US"/>
        </w:rPr>
        <w:t>O</w:t>
      </w:r>
      <w:r w:rsidRPr="009241AB">
        <w:rPr>
          <w:rFonts w:asciiTheme="majorHAnsi" w:hAnsiTheme="majorHAnsi" w:cstheme="majorHAnsi"/>
          <w:sz w:val="20"/>
          <w:szCs w:val="20"/>
          <w:lang w:val="en-US"/>
        </w:rPr>
        <w:t xml:space="preserve"> will be responsible for the implementation of the project, providing technical expertise, reviewing and preparing TOR</w:t>
      </w:r>
      <w:r w:rsidRPr="009241AB">
        <w:rPr>
          <w:rFonts w:asciiTheme="majorHAnsi" w:hAnsiTheme="majorHAnsi" w:cstheme="majorHAnsi"/>
          <w:sz w:val="20"/>
          <w:szCs w:val="20"/>
        </w:rPr>
        <w:t>’</w:t>
      </w:r>
      <w:r w:rsidRPr="009241AB">
        <w:rPr>
          <w:rFonts w:asciiTheme="majorHAnsi" w:hAnsiTheme="majorHAnsi" w:cstheme="majorHAnsi"/>
          <w:sz w:val="20"/>
          <w:szCs w:val="20"/>
          <w:lang w:val="en-US"/>
        </w:rPr>
        <w:t>s and reviewing the outputs of consultants and other sub-</w:t>
      </w:r>
      <w:r w:rsidRPr="009241AB">
        <w:rPr>
          <w:rStyle w:val="Hyperlink2"/>
          <w:rFonts w:asciiTheme="majorHAnsi" w:hAnsiTheme="majorHAnsi" w:cstheme="majorHAnsi"/>
          <w:color w:val="auto"/>
          <w:sz w:val="20"/>
          <w:szCs w:val="20"/>
        </w:rPr>
        <w:t>contractors</w:t>
      </w:r>
      <w:r w:rsidRPr="009241AB">
        <w:rPr>
          <w:rFonts w:asciiTheme="majorHAnsi" w:hAnsiTheme="majorHAnsi" w:cstheme="majorHAnsi"/>
          <w:sz w:val="20"/>
          <w:szCs w:val="20"/>
          <w:lang w:val="en-US"/>
        </w:rPr>
        <w:t xml:space="preserve">. The </w:t>
      </w:r>
      <w:r w:rsidR="00644528" w:rsidRPr="009241AB">
        <w:rPr>
          <w:rFonts w:asciiTheme="majorHAnsi" w:hAnsiTheme="majorHAnsi" w:cstheme="majorHAnsi"/>
          <w:sz w:val="20"/>
          <w:szCs w:val="20"/>
          <w:lang w:val="en-US"/>
        </w:rPr>
        <w:t>P</w:t>
      </w:r>
      <w:r w:rsidR="00201734" w:rsidRPr="008244FA">
        <w:rPr>
          <w:rFonts w:asciiTheme="majorHAnsi" w:hAnsiTheme="majorHAnsi" w:cstheme="majorHAnsi"/>
          <w:sz w:val="20"/>
          <w:szCs w:val="20"/>
          <w:lang w:val="en-US"/>
        </w:rPr>
        <w:t>O</w:t>
      </w:r>
      <w:r w:rsidR="00644528" w:rsidRPr="009241AB">
        <w:rPr>
          <w:rFonts w:asciiTheme="majorHAnsi" w:hAnsiTheme="majorHAnsi" w:cstheme="majorHAnsi"/>
          <w:sz w:val="20"/>
          <w:szCs w:val="20"/>
          <w:lang w:val="en-US"/>
        </w:rPr>
        <w:t xml:space="preserve"> </w:t>
      </w:r>
      <w:r w:rsidRPr="009241AB">
        <w:rPr>
          <w:rFonts w:asciiTheme="majorHAnsi" w:hAnsiTheme="majorHAnsi" w:cstheme="majorHAnsi"/>
          <w:sz w:val="20"/>
          <w:szCs w:val="20"/>
          <w:lang w:val="en-US"/>
        </w:rPr>
        <w:t>will:</w:t>
      </w:r>
    </w:p>
    <w:p w14:paraId="7B69C734" w14:textId="77777777" w:rsidR="00E45267" w:rsidRPr="008244FA" w:rsidRDefault="00E45267" w:rsidP="00D66519">
      <w:pPr>
        <w:pStyle w:val="ListParagraph"/>
        <w:numPr>
          <w:ilvl w:val="0"/>
          <w:numId w:val="22"/>
        </w:numPr>
        <w:ind w:hanging="284"/>
        <w:rPr>
          <w:rStyle w:val="None"/>
          <w:rFonts w:asciiTheme="majorHAnsi" w:eastAsia="Calibri" w:hAnsiTheme="majorHAnsi" w:cstheme="majorHAnsi"/>
          <w:color w:val="auto"/>
          <w:sz w:val="20"/>
          <w:szCs w:val="20"/>
        </w:rPr>
      </w:pPr>
      <w:r w:rsidRPr="009241AB">
        <w:rPr>
          <w:rStyle w:val="None"/>
          <w:rFonts w:asciiTheme="majorHAnsi" w:eastAsia="Calibri" w:hAnsiTheme="majorHAnsi" w:cstheme="majorHAnsi"/>
          <w:color w:val="auto"/>
          <w:sz w:val="20"/>
          <w:szCs w:val="20"/>
        </w:rPr>
        <w:t xml:space="preserve">Ensure the logistical, administrative and financial effectiveness of the IP in fulfilling its roles set out above </w:t>
      </w:r>
    </w:p>
    <w:p w14:paraId="240BFDE5" w14:textId="77777777" w:rsidR="00E45267" w:rsidRPr="009241AB" w:rsidRDefault="00E45267" w:rsidP="00D66519">
      <w:pPr>
        <w:pStyle w:val="ListParagraph"/>
        <w:numPr>
          <w:ilvl w:val="0"/>
          <w:numId w:val="22"/>
        </w:numPr>
        <w:ind w:hanging="284"/>
        <w:rPr>
          <w:rStyle w:val="None"/>
          <w:rFonts w:asciiTheme="majorHAnsi" w:eastAsia="Calibri" w:hAnsiTheme="majorHAnsi" w:cstheme="majorHAnsi"/>
          <w:color w:val="auto"/>
          <w:sz w:val="20"/>
          <w:szCs w:val="20"/>
        </w:rPr>
      </w:pPr>
      <w:r w:rsidRPr="009241AB">
        <w:rPr>
          <w:rStyle w:val="None"/>
          <w:rFonts w:asciiTheme="majorHAnsi" w:eastAsia="Calibri" w:hAnsiTheme="majorHAnsi" w:cstheme="majorHAnsi"/>
          <w:color w:val="auto"/>
          <w:sz w:val="20"/>
          <w:szCs w:val="20"/>
        </w:rPr>
        <w:t>To this end, provide monitoring, supervision and guidance to the technical teams based in the project area</w:t>
      </w:r>
    </w:p>
    <w:p w14:paraId="7B17F229" w14:textId="42F20CB3" w:rsidR="00BE390E" w:rsidRPr="009241AB" w:rsidRDefault="00E45267" w:rsidP="00BE390E">
      <w:pPr>
        <w:pStyle w:val="ListParagraph"/>
        <w:numPr>
          <w:ilvl w:val="0"/>
          <w:numId w:val="22"/>
        </w:numPr>
        <w:spacing w:after="120"/>
        <w:ind w:hanging="284"/>
        <w:rPr>
          <w:rStyle w:val="None"/>
          <w:rFonts w:asciiTheme="majorHAnsi" w:eastAsia="Calibri" w:hAnsiTheme="majorHAnsi" w:cstheme="majorHAnsi"/>
          <w:color w:val="auto"/>
          <w:sz w:val="20"/>
          <w:szCs w:val="20"/>
        </w:rPr>
      </w:pPr>
      <w:r w:rsidRPr="009241AB">
        <w:rPr>
          <w:rStyle w:val="None"/>
          <w:rFonts w:asciiTheme="majorHAnsi" w:eastAsia="Calibri" w:hAnsiTheme="majorHAnsi" w:cstheme="majorHAnsi"/>
          <w:color w:val="auto"/>
          <w:sz w:val="20"/>
          <w:szCs w:val="20"/>
        </w:rPr>
        <w:t xml:space="preserve">Promote incidence in and coordination with </w:t>
      </w:r>
      <w:proofErr w:type="spellStart"/>
      <w:r w:rsidRPr="009241AB">
        <w:rPr>
          <w:rStyle w:val="None"/>
          <w:rFonts w:asciiTheme="majorHAnsi" w:eastAsia="Calibri" w:hAnsiTheme="majorHAnsi" w:cstheme="majorHAnsi"/>
          <w:color w:val="auto"/>
          <w:sz w:val="20"/>
          <w:szCs w:val="20"/>
        </w:rPr>
        <w:t>M</w:t>
      </w:r>
      <w:r w:rsidR="00CE61AE" w:rsidRPr="009241AB">
        <w:rPr>
          <w:rStyle w:val="None"/>
          <w:rFonts w:asciiTheme="majorHAnsi" w:eastAsia="Calibri" w:hAnsiTheme="majorHAnsi" w:cstheme="majorHAnsi"/>
          <w:color w:val="auto"/>
          <w:sz w:val="20"/>
          <w:szCs w:val="20"/>
        </w:rPr>
        <w:t>o</w:t>
      </w:r>
      <w:r w:rsidRPr="009241AB">
        <w:rPr>
          <w:rStyle w:val="None"/>
          <w:rFonts w:asciiTheme="majorHAnsi" w:eastAsia="Calibri" w:hAnsiTheme="majorHAnsi" w:cstheme="majorHAnsi"/>
          <w:color w:val="auto"/>
          <w:sz w:val="20"/>
          <w:szCs w:val="20"/>
        </w:rPr>
        <w:t>E</w:t>
      </w:r>
      <w:proofErr w:type="spellEnd"/>
      <w:r w:rsidRPr="009241AB">
        <w:rPr>
          <w:rStyle w:val="None"/>
          <w:rFonts w:asciiTheme="majorHAnsi" w:eastAsia="Calibri" w:hAnsiTheme="majorHAnsi" w:cstheme="majorHAnsi"/>
          <w:color w:val="auto"/>
          <w:sz w:val="20"/>
          <w:szCs w:val="20"/>
        </w:rPr>
        <w:t>, UNDP</w:t>
      </w:r>
      <w:r w:rsidR="00BE390E" w:rsidRPr="009241AB">
        <w:rPr>
          <w:rStyle w:val="None"/>
          <w:rFonts w:asciiTheme="majorHAnsi" w:eastAsia="Calibri" w:hAnsiTheme="majorHAnsi" w:cstheme="majorHAnsi"/>
          <w:color w:val="auto"/>
          <w:sz w:val="20"/>
          <w:szCs w:val="20"/>
        </w:rPr>
        <w:t>, FAO</w:t>
      </w:r>
      <w:r w:rsidRPr="009241AB">
        <w:rPr>
          <w:rStyle w:val="None"/>
          <w:rFonts w:asciiTheme="majorHAnsi" w:eastAsia="Calibri" w:hAnsiTheme="majorHAnsi" w:cstheme="majorHAnsi"/>
          <w:color w:val="auto"/>
          <w:sz w:val="20"/>
          <w:szCs w:val="20"/>
        </w:rPr>
        <w:t xml:space="preserve"> and the donor agencies that are supporting them.</w:t>
      </w:r>
    </w:p>
    <w:p w14:paraId="60B20308" w14:textId="5ADE0DCF" w:rsidR="00E45267" w:rsidRPr="009241AB" w:rsidRDefault="00E45267" w:rsidP="00F15FA3">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9241AB">
        <w:rPr>
          <w:rFonts w:asciiTheme="majorHAnsi" w:hAnsiTheme="majorHAnsi" w:cstheme="majorHAnsi"/>
          <w:sz w:val="20"/>
          <w:szCs w:val="20"/>
          <w:lang w:val="en-US"/>
        </w:rPr>
        <w:t xml:space="preserve">In addition, the </w:t>
      </w:r>
      <w:r w:rsidR="00644528" w:rsidRPr="009241AB">
        <w:rPr>
          <w:rFonts w:asciiTheme="majorHAnsi" w:hAnsiTheme="majorHAnsi" w:cstheme="majorHAnsi"/>
          <w:sz w:val="20"/>
          <w:szCs w:val="20"/>
          <w:lang w:val="en-US"/>
        </w:rPr>
        <w:t>P</w:t>
      </w:r>
      <w:r w:rsidR="00201734" w:rsidRPr="008244FA">
        <w:rPr>
          <w:rFonts w:asciiTheme="majorHAnsi" w:hAnsiTheme="majorHAnsi" w:cstheme="majorHAnsi"/>
          <w:sz w:val="20"/>
          <w:szCs w:val="20"/>
          <w:lang w:val="en-US"/>
        </w:rPr>
        <w:t>O</w:t>
      </w:r>
      <w:r w:rsidRPr="009241AB">
        <w:rPr>
          <w:rFonts w:asciiTheme="majorHAnsi" w:hAnsiTheme="majorHAnsi" w:cstheme="majorHAnsi"/>
          <w:sz w:val="20"/>
          <w:szCs w:val="20"/>
          <w:lang w:val="en-US"/>
        </w:rPr>
        <w:t xml:space="preserve"> will manage the following: </w:t>
      </w:r>
    </w:p>
    <w:p w14:paraId="282B38BA" w14:textId="77777777" w:rsidR="00E45267" w:rsidRPr="008244FA" w:rsidRDefault="00E45267" w:rsidP="00D66519">
      <w:pPr>
        <w:pStyle w:val="Default"/>
        <w:widowControl w:val="0"/>
        <w:numPr>
          <w:ilvl w:val="0"/>
          <w:numId w:val="25"/>
        </w:numPr>
        <w:rPr>
          <w:rStyle w:val="Hyperlink2"/>
          <w:rFonts w:asciiTheme="majorHAnsi" w:eastAsia="Calibri" w:hAnsiTheme="majorHAnsi" w:cstheme="majorHAnsi"/>
          <w:color w:val="auto"/>
          <w:sz w:val="20"/>
          <w:szCs w:val="20"/>
        </w:rPr>
      </w:pPr>
      <w:r w:rsidRPr="009241AB">
        <w:rPr>
          <w:rStyle w:val="Hyperlink2"/>
          <w:rFonts w:asciiTheme="majorHAnsi" w:eastAsia="Calibri" w:hAnsiTheme="majorHAnsi" w:cstheme="majorHAnsi"/>
          <w:color w:val="auto"/>
          <w:sz w:val="20"/>
          <w:szCs w:val="20"/>
        </w:rPr>
        <w:t xml:space="preserve">preparation of project reports, work plans, budgets and accounting records, </w:t>
      </w:r>
    </w:p>
    <w:p w14:paraId="1D2C03DA" w14:textId="77777777" w:rsidR="00E45267" w:rsidRPr="009241AB" w:rsidRDefault="00E45267" w:rsidP="00D66519">
      <w:pPr>
        <w:pStyle w:val="Default"/>
        <w:widowControl w:val="0"/>
        <w:numPr>
          <w:ilvl w:val="0"/>
          <w:numId w:val="25"/>
        </w:numPr>
        <w:rPr>
          <w:rStyle w:val="Hyperlink2"/>
          <w:rFonts w:asciiTheme="majorHAnsi" w:eastAsia="Calibri" w:hAnsiTheme="majorHAnsi" w:cstheme="majorHAnsi"/>
          <w:color w:val="auto"/>
          <w:sz w:val="20"/>
          <w:szCs w:val="20"/>
        </w:rPr>
      </w:pPr>
      <w:r w:rsidRPr="009241AB">
        <w:rPr>
          <w:rStyle w:val="Hyperlink2"/>
          <w:rFonts w:asciiTheme="majorHAnsi" w:eastAsia="Calibri" w:hAnsiTheme="majorHAnsi" w:cstheme="majorHAnsi"/>
          <w:color w:val="auto"/>
          <w:sz w:val="20"/>
          <w:szCs w:val="20"/>
        </w:rPr>
        <w:t xml:space="preserve">drafting of TORs, technical specifications and other documents, </w:t>
      </w:r>
    </w:p>
    <w:p w14:paraId="3C9C723A" w14:textId="77777777" w:rsidR="00E45267" w:rsidRPr="009241AB" w:rsidRDefault="00E45267" w:rsidP="00D66519">
      <w:pPr>
        <w:pStyle w:val="Default"/>
        <w:widowControl w:val="0"/>
        <w:numPr>
          <w:ilvl w:val="0"/>
          <w:numId w:val="25"/>
        </w:numPr>
        <w:rPr>
          <w:rStyle w:val="Hyperlink2"/>
          <w:rFonts w:asciiTheme="majorHAnsi" w:eastAsia="Calibri" w:hAnsiTheme="majorHAnsi" w:cstheme="majorHAnsi"/>
          <w:color w:val="auto"/>
          <w:sz w:val="20"/>
          <w:szCs w:val="20"/>
        </w:rPr>
      </w:pPr>
      <w:r w:rsidRPr="009241AB">
        <w:rPr>
          <w:rStyle w:val="Hyperlink2"/>
          <w:rFonts w:asciiTheme="majorHAnsi" w:eastAsia="Calibri" w:hAnsiTheme="majorHAnsi" w:cstheme="majorHAnsi"/>
          <w:color w:val="auto"/>
          <w:sz w:val="20"/>
          <w:szCs w:val="20"/>
        </w:rPr>
        <w:t xml:space="preserve">identification of consultants and supervision of consultants and suppliers, </w:t>
      </w:r>
    </w:p>
    <w:p w14:paraId="58D6DF1B" w14:textId="77777777" w:rsidR="00E45267" w:rsidRPr="009241AB" w:rsidRDefault="00E45267" w:rsidP="00D66519">
      <w:pPr>
        <w:pStyle w:val="Default"/>
        <w:widowControl w:val="0"/>
        <w:numPr>
          <w:ilvl w:val="0"/>
          <w:numId w:val="25"/>
        </w:numPr>
        <w:rPr>
          <w:rStyle w:val="Hyperlink2"/>
          <w:rFonts w:asciiTheme="majorHAnsi" w:eastAsia="Calibri" w:hAnsiTheme="majorHAnsi" w:cstheme="majorHAnsi"/>
          <w:color w:val="auto"/>
          <w:sz w:val="20"/>
          <w:szCs w:val="20"/>
        </w:rPr>
      </w:pPr>
      <w:r w:rsidRPr="009241AB">
        <w:rPr>
          <w:rStyle w:val="Hyperlink2"/>
          <w:rFonts w:asciiTheme="majorHAnsi" w:eastAsia="Calibri" w:hAnsiTheme="majorHAnsi" w:cstheme="majorHAnsi"/>
          <w:color w:val="auto"/>
          <w:sz w:val="20"/>
          <w:szCs w:val="20"/>
        </w:rPr>
        <w:t xml:space="preserve">overseeing the implementation of project activities in a timely and efficient way, </w:t>
      </w:r>
    </w:p>
    <w:p w14:paraId="4639E5F3" w14:textId="77777777" w:rsidR="00E45267" w:rsidRPr="009241AB" w:rsidRDefault="00E45267" w:rsidP="00D66519">
      <w:pPr>
        <w:pStyle w:val="Default"/>
        <w:widowControl w:val="0"/>
        <w:numPr>
          <w:ilvl w:val="0"/>
          <w:numId w:val="25"/>
        </w:numPr>
        <w:rPr>
          <w:rStyle w:val="Hyperlink2"/>
          <w:rFonts w:asciiTheme="majorHAnsi" w:eastAsia="Calibri" w:hAnsiTheme="majorHAnsi" w:cstheme="majorHAnsi"/>
          <w:color w:val="auto"/>
          <w:sz w:val="20"/>
          <w:szCs w:val="20"/>
        </w:rPr>
      </w:pPr>
      <w:r w:rsidRPr="009241AB">
        <w:rPr>
          <w:rStyle w:val="Hyperlink2"/>
          <w:rFonts w:asciiTheme="majorHAnsi" w:eastAsia="Calibri" w:hAnsiTheme="majorHAnsi" w:cstheme="majorHAnsi"/>
          <w:color w:val="auto"/>
          <w:sz w:val="20"/>
          <w:szCs w:val="20"/>
        </w:rPr>
        <w:t xml:space="preserve">maintaining contacts with project partners at the national, state and local level, </w:t>
      </w:r>
    </w:p>
    <w:p w14:paraId="36377EA2" w14:textId="77777777" w:rsidR="00E45267" w:rsidRPr="009241AB" w:rsidRDefault="00E45267" w:rsidP="00D66519">
      <w:pPr>
        <w:pStyle w:val="Default"/>
        <w:widowControl w:val="0"/>
        <w:numPr>
          <w:ilvl w:val="0"/>
          <w:numId w:val="26"/>
        </w:numPr>
        <w:spacing w:after="120"/>
        <w:rPr>
          <w:rStyle w:val="Hyperlink2"/>
          <w:rFonts w:asciiTheme="majorHAnsi" w:eastAsia="Calibri" w:hAnsiTheme="majorHAnsi" w:cstheme="majorHAnsi"/>
          <w:color w:val="auto"/>
          <w:sz w:val="20"/>
          <w:szCs w:val="20"/>
        </w:rPr>
      </w:pPr>
      <w:r w:rsidRPr="009241AB">
        <w:rPr>
          <w:rStyle w:val="Hyperlink2"/>
          <w:rFonts w:asciiTheme="majorHAnsi" w:eastAsia="Calibri" w:hAnsiTheme="majorHAnsi" w:cstheme="majorHAnsi"/>
          <w:color w:val="auto"/>
          <w:sz w:val="20"/>
          <w:szCs w:val="20"/>
        </w:rPr>
        <w:t xml:space="preserve">organization of seminars, workshops and field trips which are linked to project activities. </w:t>
      </w:r>
    </w:p>
    <w:p w14:paraId="0A01E126" w14:textId="7C7EB5F5" w:rsidR="00E45267" w:rsidRPr="005516CD" w:rsidRDefault="00E45267" w:rsidP="00F15FA3">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9241AB">
        <w:rPr>
          <w:rFonts w:asciiTheme="majorHAnsi" w:hAnsiTheme="majorHAnsi" w:cstheme="majorHAnsi"/>
          <w:sz w:val="20"/>
          <w:szCs w:val="20"/>
          <w:lang w:val="en-US"/>
        </w:rPr>
        <w:t xml:space="preserve">The </w:t>
      </w:r>
      <w:r w:rsidR="00644528" w:rsidRPr="009241AB">
        <w:rPr>
          <w:rFonts w:asciiTheme="majorHAnsi" w:hAnsiTheme="majorHAnsi" w:cstheme="majorHAnsi"/>
          <w:sz w:val="20"/>
          <w:szCs w:val="20"/>
          <w:lang w:val="en-US"/>
        </w:rPr>
        <w:t>P</w:t>
      </w:r>
      <w:r w:rsidR="00201734" w:rsidRPr="008244FA">
        <w:rPr>
          <w:rFonts w:asciiTheme="majorHAnsi" w:hAnsiTheme="majorHAnsi" w:cstheme="majorHAnsi"/>
          <w:sz w:val="20"/>
          <w:szCs w:val="20"/>
          <w:lang w:val="en-US"/>
        </w:rPr>
        <w:t>O</w:t>
      </w:r>
      <w:r w:rsidR="00644528" w:rsidRPr="009241AB">
        <w:rPr>
          <w:rFonts w:asciiTheme="majorHAnsi" w:hAnsiTheme="majorHAnsi" w:cstheme="majorHAnsi"/>
          <w:sz w:val="20"/>
          <w:szCs w:val="20"/>
          <w:lang w:val="en-US"/>
        </w:rPr>
        <w:t xml:space="preserve"> </w:t>
      </w:r>
      <w:r w:rsidRPr="009241AB">
        <w:rPr>
          <w:rFonts w:asciiTheme="majorHAnsi" w:hAnsiTheme="majorHAnsi" w:cstheme="majorHAnsi"/>
          <w:sz w:val="20"/>
          <w:szCs w:val="20"/>
          <w:lang w:val="en-US"/>
        </w:rPr>
        <w:t>will produce in a timely fashion annual work plans and budgets to be approved by the Project Board and quarterly operational and annual progress reports for submission to the Board. The reports will provide details about the progress made, any shortcomings and the necessary adjustments made to achieve project outcomes. The P</w:t>
      </w:r>
      <w:r w:rsidR="00201734" w:rsidRPr="008244FA">
        <w:rPr>
          <w:rFonts w:asciiTheme="majorHAnsi" w:hAnsiTheme="majorHAnsi" w:cstheme="majorHAnsi"/>
          <w:sz w:val="20"/>
          <w:szCs w:val="20"/>
          <w:lang w:val="en-US"/>
        </w:rPr>
        <w:t>O</w:t>
      </w:r>
      <w:r w:rsidRPr="009241AB">
        <w:rPr>
          <w:rFonts w:asciiTheme="majorHAnsi" w:hAnsiTheme="majorHAnsi" w:cstheme="majorHAnsi"/>
          <w:sz w:val="20"/>
          <w:szCs w:val="20"/>
          <w:lang w:val="en-US"/>
        </w:rPr>
        <w:t xml:space="preserve"> will also be responsible for </w:t>
      </w:r>
      <w:r w:rsidRPr="005516CD">
        <w:rPr>
          <w:rFonts w:asciiTheme="majorHAnsi" w:hAnsiTheme="majorHAnsi" w:cstheme="majorHAnsi"/>
          <w:sz w:val="20"/>
          <w:szCs w:val="20"/>
          <w:lang w:val="en-US"/>
        </w:rPr>
        <w:t>any national or international service provider and the recruitment of specialist services (with due consultation with the Board).</w:t>
      </w:r>
    </w:p>
    <w:p w14:paraId="05272F8C" w14:textId="77777777" w:rsidR="00E45267" w:rsidRPr="005516CD" w:rsidRDefault="00E45267" w:rsidP="00E45267">
      <w:pPr>
        <w:pStyle w:val="Body"/>
        <w:spacing w:after="0"/>
        <w:jc w:val="left"/>
        <w:rPr>
          <w:rFonts w:asciiTheme="majorHAnsi" w:hAnsiTheme="majorHAnsi" w:cstheme="majorHAnsi"/>
          <w:color w:val="auto"/>
        </w:rPr>
      </w:pPr>
      <w:r w:rsidRPr="005516CD">
        <w:rPr>
          <w:rStyle w:val="None"/>
          <w:rFonts w:asciiTheme="majorHAnsi" w:hAnsiTheme="majorHAnsi" w:cstheme="majorHAnsi"/>
          <w:color w:val="auto"/>
          <w:u w:val="single"/>
        </w:rPr>
        <w:t>Governance role for project target groups</w:t>
      </w:r>
      <w:r w:rsidRPr="005516CD">
        <w:rPr>
          <w:rFonts w:asciiTheme="majorHAnsi" w:hAnsiTheme="majorHAnsi" w:cstheme="majorHAnsi"/>
          <w:color w:val="auto"/>
        </w:rPr>
        <w:t xml:space="preserve">:  </w:t>
      </w:r>
    </w:p>
    <w:p w14:paraId="4B57BEF0" w14:textId="77777777" w:rsidR="00E45267" w:rsidRPr="005516CD" w:rsidRDefault="00E45267" w:rsidP="00F15FA3">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lang w:val="en-US"/>
        </w:rPr>
        <w:t xml:space="preserve">The project will make concrete provisions to ensure that target groups are engaged in decision making for the project. The stakeholders of the project at local level will include all of the inhabitants of the target area whose livelihood support and productive actions have implications for the condition of the targeted global environmental </w:t>
      </w:r>
      <w:r w:rsidRPr="005516CD">
        <w:rPr>
          <w:rStyle w:val="None"/>
          <w:rFonts w:asciiTheme="majorHAnsi" w:hAnsiTheme="majorHAnsi" w:cstheme="majorHAnsi"/>
          <w:sz w:val="20"/>
          <w:szCs w:val="20"/>
        </w:rPr>
        <w:t>values</w:t>
      </w:r>
      <w:r w:rsidRPr="005516CD">
        <w:rPr>
          <w:rFonts w:asciiTheme="majorHAnsi" w:hAnsiTheme="majorHAnsi" w:cstheme="majorHAnsi"/>
          <w:sz w:val="20"/>
          <w:szCs w:val="20"/>
          <w:lang w:val="en-US"/>
        </w:rPr>
        <w:t xml:space="preserve">, those whose livelihoods might potentially be affected by the proposed conservation strategies, and those with the potential to participate in the conservation strategies (for example, through the adoption of BD-friendly production systems). </w:t>
      </w:r>
    </w:p>
    <w:p w14:paraId="0044D60F" w14:textId="77777777" w:rsidR="00E45267" w:rsidRPr="005516CD" w:rsidRDefault="00E45267" w:rsidP="00F15FA3">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lang w:val="en-US"/>
        </w:rPr>
        <w:t xml:space="preserve">Regional and Local Governments will play a particularly significant role as facilitators of the participation of different local stakeholder </w:t>
      </w:r>
      <w:proofErr w:type="gramStart"/>
      <w:r w:rsidRPr="005516CD">
        <w:rPr>
          <w:rFonts w:asciiTheme="majorHAnsi" w:hAnsiTheme="majorHAnsi" w:cstheme="majorHAnsi"/>
          <w:sz w:val="20"/>
          <w:szCs w:val="20"/>
          <w:lang w:val="en-US"/>
        </w:rPr>
        <w:t>groups, and</w:t>
      </w:r>
      <w:proofErr w:type="gramEnd"/>
      <w:r w:rsidRPr="005516CD">
        <w:rPr>
          <w:rFonts w:asciiTheme="majorHAnsi" w:hAnsiTheme="majorHAnsi" w:cstheme="majorHAnsi"/>
          <w:sz w:val="20"/>
          <w:szCs w:val="20"/>
          <w:lang w:val="en-US"/>
        </w:rPr>
        <w:t xml:space="preserve"> will be important partners of the project in this regard.</w:t>
      </w:r>
    </w:p>
    <w:p w14:paraId="6BD49AE5" w14:textId="77777777" w:rsidR="00C22001" w:rsidRPr="005516CD" w:rsidRDefault="00C22001" w:rsidP="00F15FA3">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r w:rsidRPr="005516CD">
        <w:rPr>
          <w:rFonts w:asciiTheme="majorHAnsi" w:hAnsiTheme="majorHAnsi" w:cstheme="majorHAnsi"/>
          <w:sz w:val="20"/>
          <w:szCs w:val="20"/>
          <w:lang w:val="en-US"/>
        </w:rPr>
        <w:t xml:space="preserve">In order to ensure that stakeholders’ interests are adequately considered in the strategic decisions of the project, a Local Advisory Committee (LAC) will be established in the project area, in which representatives of all main stakeholder groups will be invited to participate. The chair of the LAC will be a representative of one the three Departmental Governments covered by the project, on a rotating basis between the three Departments. In meetings of the Project Board, one representative of the LAC will participate to communicate the decisions and recommendations of the LAC. This representative will participate with voice but no vote: the representative will be nominated on each occasion by the members of the LAC through procedures to be defined by the LAC at the time of its first meeting (either by election or on a rotating basis). The Project Board will not be bound by the recommendations of the </w:t>
      </w:r>
      <w:proofErr w:type="gramStart"/>
      <w:r w:rsidRPr="005516CD">
        <w:rPr>
          <w:rFonts w:asciiTheme="majorHAnsi" w:hAnsiTheme="majorHAnsi" w:cstheme="majorHAnsi"/>
          <w:sz w:val="20"/>
          <w:szCs w:val="20"/>
          <w:lang w:val="en-US"/>
        </w:rPr>
        <w:t>LAC, but</w:t>
      </w:r>
      <w:proofErr w:type="gramEnd"/>
      <w:r w:rsidRPr="005516CD">
        <w:rPr>
          <w:rFonts w:asciiTheme="majorHAnsi" w:hAnsiTheme="majorHAnsi" w:cstheme="majorHAnsi"/>
          <w:sz w:val="20"/>
          <w:szCs w:val="20"/>
          <w:lang w:val="en-US"/>
        </w:rPr>
        <w:t xml:space="preserve"> will be obliged to </w:t>
      </w:r>
      <w:r w:rsidR="00D95B33" w:rsidRPr="005516CD">
        <w:rPr>
          <w:rFonts w:asciiTheme="majorHAnsi" w:hAnsiTheme="majorHAnsi" w:cstheme="majorHAnsi"/>
          <w:sz w:val="20"/>
          <w:szCs w:val="20"/>
          <w:lang w:val="en-US"/>
        </w:rPr>
        <w:t xml:space="preserve">give them reasonable </w:t>
      </w:r>
      <w:r w:rsidRPr="005516CD">
        <w:rPr>
          <w:rFonts w:asciiTheme="majorHAnsi" w:hAnsiTheme="majorHAnsi" w:cstheme="majorHAnsi"/>
          <w:sz w:val="20"/>
          <w:szCs w:val="20"/>
          <w:lang w:val="en-US"/>
        </w:rPr>
        <w:t>consider</w:t>
      </w:r>
      <w:r w:rsidR="00D95B33" w:rsidRPr="005516CD">
        <w:rPr>
          <w:rFonts w:asciiTheme="majorHAnsi" w:hAnsiTheme="majorHAnsi" w:cstheme="majorHAnsi"/>
          <w:sz w:val="20"/>
          <w:szCs w:val="20"/>
          <w:lang w:val="en-US"/>
        </w:rPr>
        <w:t xml:space="preserve">ation in its decisions. </w:t>
      </w:r>
    </w:p>
    <w:p w14:paraId="56472BCB" w14:textId="77777777" w:rsidR="00520E4B" w:rsidRPr="005516CD" w:rsidRDefault="00C22001" w:rsidP="00A7408C">
      <w:pPr>
        <w:pStyle w:val="Body"/>
        <w:spacing w:after="0"/>
        <w:jc w:val="left"/>
        <w:rPr>
          <w:rStyle w:val="None"/>
          <w:color w:val="auto"/>
          <w:u w:val="single"/>
        </w:rPr>
      </w:pPr>
      <w:r w:rsidRPr="005516CD">
        <w:rPr>
          <w:rStyle w:val="None"/>
          <w:color w:val="auto"/>
          <w:u w:val="single"/>
        </w:rPr>
        <w:t>Support Services</w:t>
      </w:r>
    </w:p>
    <w:p w14:paraId="0367E27E" w14:textId="77777777" w:rsidR="00E45267" w:rsidRPr="005516CD" w:rsidRDefault="00E45267" w:rsidP="00F15FA3">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At the request of the Government of Haiti, UNDP shall also provide Direct Project Services (DPS) specific to project inputs according to its policies and convenience. These services, and the costs thereof, are specified in the Letters of Agreement in Section IV Part XII. In accordance with GEF requirements, the costs of these services will be part of the executing entity</w:t>
      </w:r>
      <w:r w:rsidRPr="005516CD">
        <w:rPr>
          <w:rFonts w:asciiTheme="majorHAnsi" w:hAnsiTheme="majorHAnsi" w:cstheme="majorHAnsi"/>
          <w:sz w:val="20"/>
          <w:szCs w:val="20"/>
        </w:rPr>
        <w:t>’</w:t>
      </w:r>
      <w:r w:rsidRPr="005516CD">
        <w:rPr>
          <w:rFonts w:asciiTheme="majorHAnsi" w:hAnsiTheme="majorHAnsi" w:cstheme="majorHAnsi"/>
          <w:sz w:val="20"/>
          <w:szCs w:val="20"/>
          <w:lang w:val="en-US"/>
        </w:rPr>
        <w:t>s Project Management Cost allocation identified in the project budget. UNDP and the Government of Haiti acknowledge and agree that these services are not mandatory and will only be provided in full accordance with UNDP policies on recovery of direct costs.</w:t>
      </w:r>
    </w:p>
    <w:p w14:paraId="4368A3C9" w14:textId="77777777" w:rsidR="002E0AE0" w:rsidRPr="005516CD" w:rsidRDefault="00E45267" w:rsidP="00F15FA3">
      <w:pPr>
        <w:numPr>
          <w:ilvl w:val="0"/>
          <w:numId w:val="87"/>
        </w:numPr>
        <w:tabs>
          <w:tab w:val="clear" w:pos="720"/>
          <w:tab w:val="num" w:pos="-284"/>
          <w:tab w:val="left" w:pos="426"/>
        </w:tabs>
        <w:spacing w:after="120"/>
        <w:ind w:left="0" w:right="96" w:firstLine="0"/>
        <w:jc w:val="both"/>
        <w:rPr>
          <w:rStyle w:val="Hyperlink2"/>
          <w:rFonts w:asciiTheme="majorHAnsi" w:hAnsiTheme="majorHAnsi" w:cstheme="majorHAnsi"/>
          <w:color w:val="auto"/>
          <w:sz w:val="20"/>
          <w:szCs w:val="20"/>
        </w:rPr>
        <w:sectPr w:rsidR="002E0AE0" w:rsidRPr="005516CD">
          <w:headerReference w:type="even" r:id="rId70"/>
          <w:headerReference w:type="default" r:id="rId71"/>
          <w:footerReference w:type="default" r:id="rId72"/>
          <w:headerReference w:type="first" r:id="rId73"/>
          <w:footerReference w:type="first" r:id="rId74"/>
          <w:pgSz w:w="11900" w:h="16840"/>
          <w:pgMar w:top="1440" w:right="1440" w:bottom="1440" w:left="1440" w:header="708" w:footer="432" w:gutter="0"/>
          <w:cols w:space="720"/>
        </w:sectPr>
      </w:pPr>
      <w:r w:rsidRPr="005516CD">
        <w:rPr>
          <w:rStyle w:val="None"/>
          <w:rFonts w:asciiTheme="majorHAnsi" w:hAnsiTheme="majorHAnsi" w:cstheme="majorHAnsi"/>
          <w:sz w:val="20"/>
          <w:szCs w:val="20"/>
          <w:u w:val="single"/>
        </w:rPr>
        <w:t>Agreement on intellectual property rights and use of logo on the project’s deliverables and disclosure of information</w:t>
      </w:r>
      <w:r w:rsidRPr="005516CD">
        <w:rPr>
          <w:rStyle w:val="None"/>
          <w:rFonts w:asciiTheme="majorHAnsi" w:hAnsiTheme="majorHAnsi" w:cstheme="majorHAnsi"/>
          <w:b/>
          <w:bCs/>
          <w:sz w:val="20"/>
          <w:szCs w:val="20"/>
        </w:rPr>
        <w:t xml:space="preserve">:  </w:t>
      </w:r>
      <w:r w:rsidRPr="005516CD">
        <w:rPr>
          <w:rFonts w:asciiTheme="majorHAnsi" w:hAnsiTheme="majorHAnsi" w:cstheme="majorHAnsi"/>
          <w:sz w:val="20"/>
          <w:szCs w:val="20"/>
          <w:lang w:val="en-US"/>
        </w:rPr>
        <w:t>In order 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5516CD">
        <w:rPr>
          <w:rStyle w:val="None"/>
          <w:rFonts w:asciiTheme="majorHAnsi" w:eastAsia="Arial" w:hAnsiTheme="majorHAnsi" w:cstheme="majorHAnsi"/>
          <w:sz w:val="20"/>
          <w:szCs w:val="20"/>
          <w:vertAlign w:val="superscript"/>
        </w:rPr>
        <w:footnoteReference w:id="78"/>
      </w:r>
      <w:r w:rsidRPr="005516CD">
        <w:rPr>
          <w:rFonts w:asciiTheme="majorHAnsi" w:hAnsiTheme="majorHAnsi" w:cstheme="majorHAnsi"/>
          <w:sz w:val="20"/>
          <w:szCs w:val="20"/>
          <w:lang w:val="en-US"/>
        </w:rPr>
        <w:t xml:space="preserve"> and</w:t>
      </w:r>
      <w:r w:rsidRPr="005516CD">
        <w:rPr>
          <w:rStyle w:val="Hyperlink2"/>
          <w:rFonts w:asciiTheme="majorHAnsi" w:hAnsiTheme="majorHAnsi" w:cstheme="majorHAnsi"/>
          <w:color w:val="auto"/>
          <w:sz w:val="20"/>
          <w:szCs w:val="20"/>
          <w:lang w:val="en-US"/>
        </w:rPr>
        <w:t xml:space="preserve"> the GEF policy on public involvement</w:t>
      </w:r>
      <w:r w:rsidRPr="005516CD">
        <w:rPr>
          <w:rStyle w:val="None"/>
          <w:rFonts w:asciiTheme="majorHAnsi" w:eastAsia="Arial" w:hAnsiTheme="majorHAnsi" w:cstheme="majorHAnsi"/>
          <w:sz w:val="20"/>
          <w:szCs w:val="20"/>
          <w:vertAlign w:val="superscript"/>
        </w:rPr>
        <w:footnoteReference w:id="79"/>
      </w:r>
      <w:r w:rsidRPr="005516CD">
        <w:rPr>
          <w:rStyle w:val="Hyperlink2"/>
          <w:rFonts w:asciiTheme="majorHAnsi" w:hAnsiTheme="majorHAnsi" w:cstheme="majorHAnsi"/>
          <w:color w:val="auto"/>
          <w:sz w:val="20"/>
          <w:szCs w:val="20"/>
        </w:rPr>
        <w:t>.</w:t>
      </w:r>
    </w:p>
    <w:p w14:paraId="20602FB6" w14:textId="77777777" w:rsidR="009035BC" w:rsidRPr="005516CD" w:rsidRDefault="009035BC" w:rsidP="002E0AE0">
      <w:pPr>
        <w:tabs>
          <w:tab w:val="left" w:pos="426"/>
        </w:tabs>
        <w:spacing w:after="120"/>
        <w:ind w:right="96"/>
        <w:jc w:val="both"/>
        <w:rPr>
          <w:rStyle w:val="Hyperlink2"/>
          <w:rFonts w:asciiTheme="majorHAnsi" w:hAnsiTheme="majorHAnsi" w:cstheme="majorHAnsi"/>
          <w:color w:val="auto"/>
          <w:sz w:val="20"/>
          <w:szCs w:val="20"/>
        </w:rPr>
      </w:pPr>
    </w:p>
    <w:p w14:paraId="25131CDB" w14:textId="77777777" w:rsidR="002E0AE0" w:rsidRPr="008244FA" w:rsidRDefault="002E0AE0" w:rsidP="002E0AE0">
      <w:pPr>
        <w:pStyle w:val="ListParagraph"/>
        <w:keepNext/>
        <w:numPr>
          <w:ilvl w:val="6"/>
          <w:numId w:val="91"/>
        </w:numPr>
        <w:tabs>
          <w:tab w:val="num" w:pos="4680"/>
        </w:tabs>
        <w:autoSpaceDE w:val="0"/>
        <w:autoSpaceDN w:val="0"/>
        <w:adjustRightInd w:val="0"/>
        <w:spacing w:after="120"/>
        <w:ind w:left="851" w:right="96" w:hanging="851"/>
        <w:rPr>
          <w:rFonts w:asciiTheme="majorHAnsi" w:eastAsia="Calibri" w:hAnsiTheme="majorHAnsi" w:cstheme="majorHAnsi"/>
          <w:b/>
          <w:color w:val="000000" w:themeColor="text1"/>
          <w:sz w:val="20"/>
          <w:szCs w:val="20"/>
          <w:highlight w:val="cyan"/>
        </w:rPr>
      </w:pPr>
      <w:r w:rsidRPr="005516CD">
        <w:rPr>
          <w:rFonts w:asciiTheme="majorHAnsi" w:eastAsia="Calibri" w:hAnsiTheme="majorHAnsi" w:cstheme="majorHAnsi"/>
          <w:b/>
          <w:color w:val="000000" w:themeColor="text1"/>
          <w:sz w:val="20"/>
          <w:szCs w:val="20"/>
        </w:rPr>
        <w:t xml:space="preserve">  </w:t>
      </w:r>
      <w:r w:rsidRPr="008244FA">
        <w:rPr>
          <w:rFonts w:asciiTheme="majorHAnsi" w:eastAsia="Calibri" w:hAnsiTheme="majorHAnsi" w:cstheme="majorHAnsi"/>
          <w:b/>
          <w:color w:val="000000" w:themeColor="text1"/>
          <w:sz w:val="20"/>
          <w:szCs w:val="20"/>
          <w:highlight w:val="cyan"/>
        </w:rPr>
        <w:t>Relation between UNDP and FAO organizational structures</w:t>
      </w:r>
    </w:p>
    <w:p w14:paraId="6946B8D3" w14:textId="77777777" w:rsidR="002E0AE0" w:rsidRPr="005516CD" w:rsidRDefault="002E0AE0" w:rsidP="002E0AE0">
      <w:pPr>
        <w:tabs>
          <w:tab w:val="left" w:pos="426"/>
        </w:tabs>
        <w:spacing w:after="120"/>
        <w:ind w:right="96"/>
        <w:jc w:val="both"/>
        <w:rPr>
          <w:rStyle w:val="Hyperlink2"/>
          <w:rFonts w:asciiTheme="majorHAnsi" w:hAnsiTheme="majorHAnsi" w:cstheme="majorHAnsi"/>
          <w:color w:val="auto"/>
          <w:sz w:val="20"/>
          <w:szCs w:val="20"/>
        </w:rPr>
      </w:pPr>
    </w:p>
    <w:p w14:paraId="6CEBC948" w14:textId="77777777" w:rsidR="00F44E8A" w:rsidRDefault="00F44E8A" w:rsidP="002E0AE0">
      <w:pPr>
        <w:tabs>
          <w:tab w:val="left" w:pos="426"/>
        </w:tabs>
        <w:spacing w:after="120"/>
        <w:ind w:right="96"/>
        <w:jc w:val="both"/>
        <w:rPr>
          <w:rStyle w:val="Hyperlink2"/>
          <w:rFonts w:asciiTheme="majorHAnsi" w:hAnsiTheme="majorHAnsi" w:cstheme="majorHAnsi"/>
          <w:color w:val="auto"/>
          <w:sz w:val="20"/>
          <w:szCs w:val="20"/>
        </w:rPr>
      </w:pPr>
    </w:p>
    <w:p w14:paraId="592D6A7E" w14:textId="24178552" w:rsidR="00F44E8A" w:rsidRPr="005516CD" w:rsidRDefault="002C6077" w:rsidP="002E0AE0">
      <w:pPr>
        <w:tabs>
          <w:tab w:val="left" w:pos="426"/>
        </w:tabs>
        <w:spacing w:after="120"/>
        <w:ind w:right="96"/>
        <w:jc w:val="both"/>
        <w:rPr>
          <w:rStyle w:val="Hyperlink2"/>
          <w:rFonts w:asciiTheme="majorHAnsi" w:hAnsiTheme="majorHAnsi" w:cstheme="majorHAnsi"/>
          <w:color w:val="auto"/>
          <w:sz w:val="20"/>
          <w:szCs w:val="20"/>
        </w:rPr>
        <w:sectPr w:rsidR="00F44E8A" w:rsidRPr="005516CD">
          <w:pgSz w:w="11900" w:h="16840"/>
          <w:pgMar w:top="1440" w:right="1440" w:bottom="1440" w:left="1440" w:header="708" w:footer="432" w:gutter="0"/>
          <w:cols w:space="720"/>
        </w:sectPr>
      </w:pPr>
      <w:r w:rsidRPr="002C6077">
        <w:rPr>
          <w:rStyle w:val="Hyperlink2"/>
          <w:rFonts w:asciiTheme="majorHAnsi" w:hAnsiTheme="majorHAnsi" w:cstheme="majorHAnsi"/>
          <w:noProof/>
          <w:color w:val="auto"/>
          <w:sz w:val="20"/>
          <w:szCs w:val="20"/>
        </w:rPr>
        <w:drawing>
          <wp:inline distT="0" distB="0" distL="0" distR="0" wp14:anchorId="3A618D20" wp14:editId="4B6FD15A">
            <wp:extent cx="5727700" cy="3221990"/>
            <wp:effectExtent l="0" t="0" r="635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5"/>
                    <a:stretch>
                      <a:fillRect/>
                    </a:stretch>
                  </pic:blipFill>
                  <pic:spPr>
                    <a:xfrm>
                      <a:off x="0" y="0"/>
                      <a:ext cx="5727700" cy="3221990"/>
                    </a:xfrm>
                    <a:prstGeom prst="rect">
                      <a:avLst/>
                    </a:prstGeom>
                  </pic:spPr>
                </pic:pic>
              </a:graphicData>
            </a:graphic>
          </wp:inline>
        </w:drawing>
      </w:r>
      <w:r w:rsidRPr="002C6077" w:rsidDel="008C01A6">
        <w:rPr>
          <w:rStyle w:val="Hyperlink2"/>
          <w:rFonts w:asciiTheme="majorHAnsi" w:hAnsiTheme="majorHAnsi" w:cstheme="majorHAnsi"/>
          <w:color w:val="auto"/>
          <w:sz w:val="20"/>
          <w:szCs w:val="20"/>
        </w:rPr>
        <w:t xml:space="preserve"> </w:t>
      </w:r>
    </w:p>
    <w:p w14:paraId="3E5B3692" w14:textId="77777777" w:rsidR="00E45267" w:rsidRPr="005516CD" w:rsidRDefault="00E45267" w:rsidP="003B2210">
      <w:pPr>
        <w:pStyle w:val="Heading2"/>
        <w:numPr>
          <w:ilvl w:val="0"/>
          <w:numId w:val="165"/>
        </w:numPr>
        <w:spacing w:after="120"/>
        <w:rPr>
          <w:rFonts w:ascii="Calibri" w:eastAsia="Calibri" w:hAnsi="Calibri" w:cs="Calibri"/>
          <w:caps/>
          <w:sz w:val="22"/>
          <w:lang w:val="en-US"/>
        </w:rPr>
      </w:pPr>
      <w:bookmarkStart w:id="85" w:name="_Toc8933101"/>
      <w:bookmarkEnd w:id="84"/>
      <w:r w:rsidRPr="005516CD">
        <w:rPr>
          <w:rFonts w:ascii="Calibri" w:eastAsia="Calibri" w:hAnsi="Calibri" w:cs="Calibri"/>
          <w:caps/>
          <w:sz w:val="22"/>
          <w:lang w:val="en-US"/>
        </w:rPr>
        <w:t>Financial Planning and Management</w:t>
      </w:r>
      <w:bookmarkEnd w:id="85"/>
      <w:r w:rsidRPr="005516CD">
        <w:rPr>
          <w:rFonts w:ascii="Calibri" w:eastAsia="Calibri" w:hAnsi="Calibri" w:cs="Calibri"/>
          <w:caps/>
          <w:sz w:val="22"/>
          <w:lang w:val="en-US"/>
        </w:rPr>
        <w:t xml:space="preserve"> </w:t>
      </w:r>
    </w:p>
    <w:p w14:paraId="4C494DDD" w14:textId="77777777" w:rsidR="00E45267" w:rsidRPr="005516CD" w:rsidRDefault="00E45267" w:rsidP="00E45267">
      <w:pPr>
        <w:pStyle w:val="Body"/>
        <w:spacing w:after="0"/>
        <w:jc w:val="left"/>
        <w:rPr>
          <w:rStyle w:val="Hyperlink2"/>
        </w:rPr>
      </w:pPr>
    </w:p>
    <w:p w14:paraId="333CF46C" w14:textId="77777777" w:rsidR="00E45267" w:rsidRPr="005516CD" w:rsidRDefault="00E45267" w:rsidP="00AC6B85">
      <w:pPr>
        <w:numPr>
          <w:ilvl w:val="0"/>
          <w:numId w:val="87"/>
        </w:numPr>
        <w:tabs>
          <w:tab w:val="clear" w:pos="720"/>
          <w:tab w:val="num" w:pos="-284"/>
          <w:tab w:val="left" w:pos="426"/>
        </w:tabs>
        <w:spacing w:after="120"/>
        <w:ind w:left="0" w:right="96" w:firstLine="0"/>
        <w:jc w:val="both"/>
        <w:rPr>
          <w:rStyle w:val="Hyperlink2"/>
          <w:rFonts w:asciiTheme="majorHAnsi" w:hAnsiTheme="majorHAnsi" w:cstheme="majorHAnsi"/>
          <w:sz w:val="20"/>
          <w:szCs w:val="20"/>
          <w:lang w:val="en-US"/>
        </w:rPr>
      </w:pPr>
      <w:r w:rsidRPr="005516CD">
        <w:rPr>
          <w:rStyle w:val="Hyperlink2"/>
          <w:rFonts w:asciiTheme="majorHAnsi" w:hAnsiTheme="majorHAnsi" w:cstheme="majorHAnsi"/>
          <w:sz w:val="20"/>
          <w:szCs w:val="20"/>
          <w:lang w:val="en-US"/>
        </w:rPr>
        <w:t xml:space="preserve">The total cost of the </w:t>
      </w:r>
      <w:r w:rsidRPr="005516CD">
        <w:rPr>
          <w:rStyle w:val="Hyperlink2"/>
          <w:rFonts w:asciiTheme="majorHAnsi" w:hAnsiTheme="majorHAnsi" w:cstheme="majorHAnsi"/>
          <w:sz w:val="20"/>
          <w:szCs w:val="20"/>
        </w:rPr>
        <w:t>project</w:t>
      </w:r>
      <w:r w:rsidRPr="005516CD">
        <w:rPr>
          <w:rStyle w:val="Hyperlink2"/>
          <w:rFonts w:asciiTheme="majorHAnsi" w:hAnsiTheme="majorHAnsi" w:cstheme="majorHAnsi"/>
          <w:sz w:val="20"/>
          <w:szCs w:val="20"/>
          <w:lang w:val="en-US"/>
        </w:rPr>
        <w:t xml:space="preserve"> is USD</w:t>
      </w:r>
      <w:r w:rsidR="00011ED2" w:rsidRPr="005516CD">
        <w:rPr>
          <w:rStyle w:val="Hyperlink2"/>
          <w:rFonts w:asciiTheme="majorHAnsi" w:hAnsiTheme="majorHAnsi" w:cstheme="majorHAnsi"/>
          <w:sz w:val="20"/>
          <w:szCs w:val="20"/>
          <w:lang w:val="en-US"/>
        </w:rPr>
        <w:t xml:space="preserve"> </w:t>
      </w:r>
      <w:r w:rsidR="00AD5770" w:rsidRPr="005516CD">
        <w:rPr>
          <w:rStyle w:val="Hyperlink2"/>
          <w:rFonts w:asciiTheme="majorHAnsi" w:hAnsiTheme="majorHAnsi" w:cstheme="majorHAnsi"/>
          <w:sz w:val="20"/>
          <w:szCs w:val="20"/>
          <w:lang w:val="en-US"/>
        </w:rPr>
        <w:t>5</w:t>
      </w:r>
      <w:r w:rsidR="00AD5770" w:rsidRPr="005516CD">
        <w:rPr>
          <w:rStyle w:val="None"/>
          <w:rFonts w:asciiTheme="majorHAnsi" w:hAnsiTheme="majorHAnsi" w:cstheme="majorHAnsi"/>
          <w:sz w:val="20"/>
          <w:szCs w:val="20"/>
        </w:rPr>
        <w:t>1,</w:t>
      </w:r>
      <w:r w:rsidR="00B8455D" w:rsidRPr="005516CD">
        <w:rPr>
          <w:rStyle w:val="None"/>
          <w:rFonts w:asciiTheme="majorHAnsi" w:hAnsiTheme="majorHAnsi" w:cstheme="majorHAnsi"/>
          <w:sz w:val="20"/>
          <w:szCs w:val="20"/>
        </w:rPr>
        <w:t>2</w:t>
      </w:r>
      <w:r w:rsidR="00AD5770" w:rsidRPr="005516CD">
        <w:rPr>
          <w:rStyle w:val="None"/>
          <w:rFonts w:asciiTheme="majorHAnsi" w:hAnsiTheme="majorHAnsi" w:cstheme="majorHAnsi"/>
          <w:sz w:val="20"/>
          <w:szCs w:val="20"/>
        </w:rPr>
        <w:t>07,561</w:t>
      </w:r>
      <w:r w:rsidR="00B8455D" w:rsidRPr="005516CD">
        <w:rPr>
          <w:rStyle w:val="Hyperlink2"/>
          <w:rFonts w:asciiTheme="majorHAnsi" w:hAnsiTheme="majorHAnsi" w:cstheme="majorHAnsi"/>
          <w:sz w:val="20"/>
          <w:szCs w:val="20"/>
        </w:rPr>
        <w:t xml:space="preserve">. </w:t>
      </w:r>
      <w:r w:rsidR="00B8455D" w:rsidRPr="005516CD">
        <w:rPr>
          <w:rStyle w:val="Hyperlink2"/>
          <w:rFonts w:asciiTheme="majorHAnsi" w:hAnsiTheme="majorHAnsi" w:cstheme="majorHAnsi"/>
          <w:sz w:val="20"/>
          <w:szCs w:val="20"/>
          <w:lang w:val="en-US"/>
        </w:rPr>
        <w:t>T</w:t>
      </w:r>
      <w:r w:rsidRPr="005516CD">
        <w:rPr>
          <w:rStyle w:val="Hyperlink2"/>
          <w:rFonts w:asciiTheme="majorHAnsi" w:hAnsiTheme="majorHAnsi" w:cstheme="majorHAnsi"/>
          <w:sz w:val="20"/>
          <w:szCs w:val="20"/>
          <w:lang w:val="en-US"/>
        </w:rPr>
        <w:t>his is financed through a GEF grant of USD</w:t>
      </w:r>
      <w:r w:rsidR="00AD5770" w:rsidRPr="005516CD">
        <w:rPr>
          <w:rStyle w:val="Hyperlink2"/>
          <w:rFonts w:asciiTheme="majorHAnsi" w:hAnsiTheme="majorHAnsi" w:cstheme="majorHAnsi"/>
          <w:sz w:val="20"/>
          <w:szCs w:val="20"/>
          <w:lang w:val="en-US"/>
        </w:rPr>
        <w:t xml:space="preserve"> 3,500,000</w:t>
      </w:r>
      <w:r w:rsidR="00B8455D" w:rsidRPr="005516CD">
        <w:rPr>
          <w:rStyle w:val="Hyperlink2"/>
          <w:rFonts w:asciiTheme="majorHAnsi" w:hAnsiTheme="majorHAnsi" w:cstheme="majorHAnsi"/>
          <w:sz w:val="20"/>
          <w:szCs w:val="20"/>
          <w:lang w:val="en-US"/>
        </w:rPr>
        <w:t xml:space="preserve">, USD 200,000 in cash co-financing to be administered by UNDP </w:t>
      </w:r>
      <w:r w:rsidR="00011ED2" w:rsidRPr="005516CD">
        <w:rPr>
          <w:rStyle w:val="Hyperlink2"/>
          <w:rFonts w:asciiTheme="majorHAnsi" w:hAnsiTheme="majorHAnsi" w:cstheme="majorHAnsi"/>
          <w:sz w:val="20"/>
          <w:szCs w:val="20"/>
          <w:lang w:val="en-US"/>
        </w:rPr>
        <w:t xml:space="preserve">and </w:t>
      </w:r>
      <w:r w:rsidRPr="005516CD">
        <w:rPr>
          <w:rStyle w:val="Hyperlink2"/>
          <w:rFonts w:asciiTheme="majorHAnsi" w:hAnsiTheme="majorHAnsi" w:cstheme="majorHAnsi"/>
          <w:sz w:val="20"/>
          <w:szCs w:val="20"/>
          <w:lang w:val="en-US"/>
        </w:rPr>
        <w:t>USD</w:t>
      </w:r>
      <w:r w:rsidR="005A10D5" w:rsidRPr="005516CD">
        <w:rPr>
          <w:rStyle w:val="Hyperlink2"/>
          <w:rFonts w:asciiTheme="majorHAnsi" w:hAnsiTheme="majorHAnsi" w:cstheme="majorHAnsi"/>
          <w:sz w:val="20"/>
          <w:szCs w:val="20"/>
          <w:lang w:val="en-US"/>
        </w:rPr>
        <w:t xml:space="preserve"> 47,507,561 </w:t>
      </w:r>
      <w:r w:rsidRPr="005516CD">
        <w:rPr>
          <w:rStyle w:val="Hyperlink2"/>
          <w:rFonts w:asciiTheme="majorHAnsi" w:hAnsiTheme="majorHAnsi" w:cstheme="majorHAnsi"/>
          <w:sz w:val="20"/>
          <w:szCs w:val="20"/>
          <w:lang w:val="en-US"/>
        </w:rPr>
        <w:t xml:space="preserve">in </w:t>
      </w:r>
      <w:r w:rsidR="00B8455D" w:rsidRPr="005516CD">
        <w:rPr>
          <w:rStyle w:val="Hyperlink2"/>
          <w:rFonts w:asciiTheme="majorHAnsi" w:hAnsiTheme="majorHAnsi" w:cstheme="majorHAnsi"/>
          <w:sz w:val="20"/>
          <w:szCs w:val="20"/>
          <w:lang w:val="en-US"/>
        </w:rPr>
        <w:t>parallel</w:t>
      </w:r>
      <w:r w:rsidRPr="005516CD">
        <w:rPr>
          <w:rStyle w:val="Hyperlink2"/>
          <w:rFonts w:asciiTheme="majorHAnsi" w:hAnsiTheme="majorHAnsi" w:cstheme="majorHAnsi"/>
          <w:sz w:val="20"/>
          <w:szCs w:val="20"/>
          <w:lang w:val="en-US"/>
        </w:rPr>
        <w:t xml:space="preserve"> co-</w:t>
      </w:r>
      <w:r w:rsidRPr="005516CD">
        <w:rPr>
          <w:rFonts w:asciiTheme="majorHAnsi" w:hAnsiTheme="majorHAnsi" w:cstheme="majorHAnsi"/>
          <w:sz w:val="20"/>
          <w:szCs w:val="20"/>
        </w:rPr>
        <w:t>financing</w:t>
      </w:r>
      <w:r w:rsidR="00E2563C" w:rsidRPr="005516CD">
        <w:rPr>
          <w:rStyle w:val="FootnoteReference"/>
          <w:rFonts w:asciiTheme="majorHAnsi" w:hAnsiTheme="majorHAnsi" w:cstheme="majorHAnsi"/>
          <w:sz w:val="20"/>
          <w:szCs w:val="20"/>
        </w:rPr>
        <w:footnoteReference w:id="80"/>
      </w:r>
      <w:r w:rsidRPr="005516CD">
        <w:rPr>
          <w:rStyle w:val="Hyperlink2"/>
          <w:rFonts w:asciiTheme="majorHAnsi" w:hAnsiTheme="majorHAnsi" w:cstheme="majorHAnsi"/>
          <w:sz w:val="20"/>
          <w:szCs w:val="20"/>
          <w:lang w:val="en-US"/>
        </w:rPr>
        <w:t xml:space="preserve">. UNDP, as the GEF Implementing Agency, will be responsible for the execution of the GEF resources and any cash co-financing transferred to UNDP bank account only.   </w:t>
      </w:r>
    </w:p>
    <w:p w14:paraId="4479A49B" w14:textId="77777777" w:rsidR="00E45267" w:rsidRPr="005516CD" w:rsidRDefault="00E45267" w:rsidP="00AC6B85">
      <w:pPr>
        <w:numPr>
          <w:ilvl w:val="0"/>
          <w:numId w:val="87"/>
        </w:numPr>
        <w:tabs>
          <w:tab w:val="clear" w:pos="720"/>
          <w:tab w:val="num" w:pos="-284"/>
          <w:tab w:val="left" w:pos="426"/>
        </w:tabs>
        <w:spacing w:after="120"/>
        <w:ind w:left="0" w:right="96" w:firstLine="0"/>
        <w:jc w:val="both"/>
        <w:rPr>
          <w:rStyle w:val="Hyperlink2"/>
          <w:rFonts w:asciiTheme="majorHAnsi" w:hAnsiTheme="majorHAnsi" w:cstheme="majorHAnsi"/>
          <w:sz w:val="20"/>
          <w:szCs w:val="20"/>
          <w:lang w:val="en-US"/>
        </w:rPr>
      </w:pPr>
      <w:r w:rsidRPr="005516CD">
        <w:rPr>
          <w:rStyle w:val="Hyperlink2"/>
          <w:rFonts w:asciiTheme="majorHAnsi" w:hAnsiTheme="majorHAnsi" w:cstheme="majorHAnsi"/>
          <w:sz w:val="20"/>
          <w:szCs w:val="20"/>
          <w:lang w:val="en-US"/>
        </w:rPr>
        <w:t xml:space="preserve">The </w:t>
      </w:r>
      <w:r w:rsidRPr="005516CD">
        <w:rPr>
          <w:rFonts w:asciiTheme="majorHAnsi" w:hAnsiTheme="majorHAnsi" w:cstheme="majorHAnsi"/>
          <w:sz w:val="20"/>
          <w:szCs w:val="20"/>
          <w:lang w:val="en-US"/>
        </w:rPr>
        <w:t>actual</w:t>
      </w:r>
      <w:r w:rsidRPr="005516CD">
        <w:rPr>
          <w:rStyle w:val="Hyperlink2"/>
          <w:rFonts w:asciiTheme="majorHAnsi" w:hAnsiTheme="majorHAnsi" w:cstheme="majorHAnsi"/>
          <w:sz w:val="20"/>
          <w:szCs w:val="20"/>
          <w:lang w:val="en-US"/>
        </w:rPr>
        <w:t xml:space="preserve"> realization of project co-financing will be monitored during the </w:t>
      </w:r>
      <w:r w:rsidRPr="005516CD">
        <w:rPr>
          <w:rStyle w:val="None"/>
          <w:rFonts w:asciiTheme="majorHAnsi" w:hAnsiTheme="majorHAnsi" w:cstheme="majorHAnsi"/>
          <w:i/>
          <w:iCs/>
          <w:sz w:val="20"/>
          <w:szCs w:val="20"/>
        </w:rPr>
        <w:t>mid-term review</w:t>
      </w:r>
      <w:r w:rsidRPr="005516CD">
        <w:rPr>
          <w:rStyle w:val="Hyperlink2"/>
          <w:rFonts w:asciiTheme="majorHAnsi" w:hAnsiTheme="majorHAnsi" w:cstheme="majorHAnsi"/>
          <w:sz w:val="20"/>
          <w:szCs w:val="20"/>
          <w:lang w:val="en-US"/>
        </w:rPr>
        <w:t xml:space="preserve"> and terminal evaluation process and will be reported to the GEF. </w:t>
      </w:r>
      <w:r w:rsidR="00A04BA3" w:rsidRPr="005516CD">
        <w:rPr>
          <w:rStyle w:val="Hyperlink2"/>
          <w:rFonts w:asciiTheme="majorHAnsi" w:hAnsiTheme="majorHAnsi" w:cstheme="majorHAnsi"/>
          <w:sz w:val="20"/>
          <w:szCs w:val="20"/>
          <w:lang w:val="en-US"/>
        </w:rPr>
        <w:t xml:space="preserve"> </w:t>
      </w:r>
    </w:p>
    <w:p w14:paraId="09ACB231" w14:textId="77777777" w:rsidR="00E45267" w:rsidRPr="005516CD" w:rsidRDefault="0083064E" w:rsidP="00085462">
      <w:pPr>
        <w:keepNext/>
        <w:keepLines/>
        <w:tabs>
          <w:tab w:val="left" w:pos="2410"/>
        </w:tabs>
        <w:spacing w:after="120"/>
        <w:rPr>
          <w:rStyle w:val="Hyperlink2"/>
          <w:rFonts w:ascii="Calibri" w:hAnsi="Calibri" w:cs="Calibri"/>
          <w:b/>
          <w:sz w:val="20"/>
          <w:szCs w:val="20"/>
        </w:rPr>
      </w:pPr>
      <w:r w:rsidRPr="005516CD">
        <w:rPr>
          <w:rStyle w:val="Hyperlink2"/>
          <w:rFonts w:ascii="Calibri" w:hAnsi="Calibri" w:cs="Calibri"/>
          <w:b/>
          <w:sz w:val="20"/>
          <w:szCs w:val="20"/>
        </w:rPr>
        <w:t xml:space="preserve">Table 18. </w:t>
      </w:r>
      <w:proofErr w:type="spellStart"/>
      <w:r w:rsidR="00E45267" w:rsidRPr="005516CD">
        <w:rPr>
          <w:rStyle w:val="Hyperlink2"/>
          <w:rFonts w:ascii="Calibri" w:hAnsi="Calibri" w:cs="Calibri"/>
          <w:b/>
          <w:sz w:val="20"/>
          <w:szCs w:val="20"/>
        </w:rPr>
        <w:t>Cofinancing</w:t>
      </w:r>
      <w:proofErr w:type="spellEnd"/>
      <w:r w:rsidR="00E45267" w:rsidRPr="005516CD">
        <w:rPr>
          <w:rStyle w:val="Hyperlink2"/>
          <w:rFonts w:ascii="Calibri" w:hAnsi="Calibri" w:cs="Calibri"/>
          <w:b/>
          <w:sz w:val="20"/>
          <w:szCs w:val="20"/>
        </w:rPr>
        <w:t xml:space="preserve"> description</w:t>
      </w:r>
    </w:p>
    <w:tbl>
      <w:tblPr>
        <w:tblStyle w:val="TableGrid"/>
        <w:tblW w:w="0" w:type="auto"/>
        <w:tblLayout w:type="fixed"/>
        <w:tblLook w:val="04A0" w:firstRow="1" w:lastRow="0" w:firstColumn="1" w:lastColumn="0" w:noHBand="0" w:noVBand="1"/>
      </w:tblPr>
      <w:tblGrid>
        <w:gridCol w:w="955"/>
        <w:gridCol w:w="813"/>
        <w:gridCol w:w="1026"/>
        <w:gridCol w:w="1170"/>
        <w:gridCol w:w="5046"/>
      </w:tblGrid>
      <w:tr w:rsidR="00237493" w:rsidRPr="005516CD" w14:paraId="730A8DA6" w14:textId="77777777" w:rsidTr="00FB5829">
        <w:tc>
          <w:tcPr>
            <w:tcW w:w="955" w:type="dxa"/>
          </w:tcPr>
          <w:p w14:paraId="413CBA26" w14:textId="77777777" w:rsidR="00237493" w:rsidRPr="005516CD" w:rsidRDefault="00B8455D" w:rsidP="00237493">
            <w:pPr>
              <w:keepNext/>
              <w:keepLines/>
              <w:tabs>
                <w:tab w:val="left" w:pos="2410"/>
              </w:tabs>
              <w:rPr>
                <w:rStyle w:val="Hyperlink2"/>
                <w:rFonts w:asciiTheme="majorHAnsi" w:hAnsiTheme="majorHAnsi" w:cstheme="majorHAnsi"/>
                <w:b/>
                <w:sz w:val="20"/>
                <w:szCs w:val="20"/>
              </w:rPr>
            </w:pPr>
            <w:bookmarkStart w:id="86" w:name="_Hlk8054743"/>
            <w:r w:rsidRPr="005516CD">
              <w:rPr>
                <w:rStyle w:val="Hyperlink60"/>
                <w:rFonts w:asciiTheme="majorHAnsi" w:hAnsiTheme="majorHAnsi" w:cstheme="majorHAnsi"/>
                <w:b/>
                <w:sz w:val="20"/>
                <w:szCs w:val="20"/>
              </w:rPr>
              <w:t>F</w:t>
            </w:r>
          </w:p>
        </w:tc>
        <w:tc>
          <w:tcPr>
            <w:tcW w:w="813" w:type="dxa"/>
          </w:tcPr>
          <w:p w14:paraId="51BE0E0F" w14:textId="77777777" w:rsidR="00237493" w:rsidRPr="005516CD" w:rsidRDefault="00237493" w:rsidP="00237493">
            <w:pPr>
              <w:keepNext/>
              <w:keepLines/>
              <w:tabs>
                <w:tab w:val="left" w:pos="2410"/>
              </w:tabs>
              <w:rPr>
                <w:rStyle w:val="Hyperlink2"/>
                <w:rFonts w:asciiTheme="majorHAnsi" w:hAnsiTheme="majorHAnsi" w:cstheme="majorHAnsi"/>
                <w:b/>
                <w:sz w:val="20"/>
                <w:szCs w:val="20"/>
              </w:rPr>
            </w:pPr>
            <w:r w:rsidRPr="005516CD">
              <w:rPr>
                <w:rStyle w:val="Hyperlink60"/>
                <w:rFonts w:asciiTheme="majorHAnsi" w:hAnsiTheme="majorHAnsi" w:cstheme="majorHAnsi"/>
                <w:b/>
                <w:sz w:val="20"/>
                <w:szCs w:val="20"/>
              </w:rPr>
              <w:t>Type</w:t>
            </w:r>
          </w:p>
        </w:tc>
        <w:tc>
          <w:tcPr>
            <w:tcW w:w="1026" w:type="dxa"/>
          </w:tcPr>
          <w:p w14:paraId="032E2F84" w14:textId="77777777" w:rsidR="00237493" w:rsidRPr="005516CD" w:rsidRDefault="00237493" w:rsidP="00237493">
            <w:pPr>
              <w:keepNext/>
              <w:keepLines/>
              <w:tabs>
                <w:tab w:val="left" w:pos="2410"/>
              </w:tabs>
              <w:rPr>
                <w:rStyle w:val="Hyperlink2"/>
                <w:rFonts w:asciiTheme="majorHAnsi" w:hAnsiTheme="majorHAnsi" w:cstheme="majorHAnsi"/>
                <w:b/>
                <w:sz w:val="20"/>
                <w:szCs w:val="20"/>
              </w:rPr>
            </w:pPr>
            <w:r w:rsidRPr="005516CD">
              <w:rPr>
                <w:rStyle w:val="Hyperlink60"/>
                <w:rFonts w:asciiTheme="majorHAnsi" w:hAnsiTheme="majorHAnsi" w:cstheme="majorHAnsi"/>
                <w:b/>
                <w:sz w:val="20"/>
                <w:szCs w:val="20"/>
              </w:rPr>
              <w:t>Amount</w:t>
            </w:r>
          </w:p>
        </w:tc>
        <w:tc>
          <w:tcPr>
            <w:tcW w:w="6216" w:type="dxa"/>
            <w:gridSpan w:val="2"/>
          </w:tcPr>
          <w:p w14:paraId="1DE19B2B" w14:textId="77777777" w:rsidR="00237493" w:rsidRPr="005516CD" w:rsidRDefault="00237493" w:rsidP="00237493">
            <w:pPr>
              <w:keepNext/>
              <w:keepLines/>
              <w:tabs>
                <w:tab w:val="left" w:pos="2410"/>
              </w:tabs>
              <w:rPr>
                <w:rStyle w:val="Hyperlink2"/>
                <w:rFonts w:asciiTheme="majorHAnsi" w:hAnsiTheme="majorHAnsi" w:cstheme="majorHAnsi"/>
                <w:b/>
                <w:sz w:val="20"/>
                <w:szCs w:val="20"/>
              </w:rPr>
            </w:pPr>
            <w:r w:rsidRPr="005516CD">
              <w:rPr>
                <w:rStyle w:val="Hyperlink60"/>
                <w:rFonts w:asciiTheme="majorHAnsi" w:hAnsiTheme="majorHAnsi" w:cstheme="majorHAnsi"/>
                <w:b/>
                <w:sz w:val="20"/>
                <w:szCs w:val="20"/>
              </w:rPr>
              <w:t>Planned Activities/Outputs</w:t>
            </w:r>
          </w:p>
        </w:tc>
      </w:tr>
      <w:tr w:rsidR="00E2563C" w:rsidRPr="005516CD" w14:paraId="3E508DD6" w14:textId="77777777" w:rsidTr="00E2563C">
        <w:tc>
          <w:tcPr>
            <w:tcW w:w="955" w:type="dxa"/>
            <w:vMerge w:val="restart"/>
          </w:tcPr>
          <w:p w14:paraId="76E8FFA7"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rPr>
              <w:t>FAO</w:t>
            </w:r>
          </w:p>
        </w:tc>
        <w:tc>
          <w:tcPr>
            <w:tcW w:w="813" w:type="dxa"/>
            <w:vMerge w:val="restart"/>
          </w:tcPr>
          <w:p w14:paraId="63A4AEAA"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rPr>
              <w:t>Cash</w:t>
            </w:r>
          </w:p>
        </w:tc>
        <w:tc>
          <w:tcPr>
            <w:tcW w:w="1026" w:type="dxa"/>
            <w:vMerge w:val="restart"/>
          </w:tcPr>
          <w:p w14:paraId="3FCD997B" w14:textId="17C8A879" w:rsidR="00E2563C" w:rsidRPr="005516CD" w:rsidRDefault="00E2563C" w:rsidP="00E2563C">
            <w:pPr>
              <w:rPr>
                <w:rFonts w:ascii="Calibri" w:eastAsia="Times New Roman" w:hAnsi="Calibri" w:cs="Calibri"/>
                <w:sz w:val="20"/>
                <w:szCs w:val="20"/>
              </w:rPr>
            </w:pPr>
            <w:r w:rsidRPr="005516CD">
              <w:rPr>
                <w:rFonts w:ascii="Calibri" w:hAnsi="Calibri" w:cs="Calibri"/>
                <w:sz w:val="20"/>
                <w:szCs w:val="20"/>
              </w:rPr>
              <w:t>1,821,57</w:t>
            </w:r>
            <w:r w:rsidR="00B83A86">
              <w:rPr>
                <w:rFonts w:ascii="Calibri" w:hAnsi="Calibri" w:cs="Calibri"/>
                <w:sz w:val="20"/>
                <w:szCs w:val="20"/>
              </w:rPr>
              <w:t>2</w:t>
            </w:r>
          </w:p>
          <w:p w14:paraId="4D85E8D6"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1170" w:type="dxa"/>
          </w:tcPr>
          <w:p w14:paraId="25423BD3"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b/>
                <w:sz w:val="20"/>
                <w:szCs w:val="20"/>
                <w:lang w:val="en-US"/>
              </w:rPr>
              <w:t>Amount</w:t>
            </w:r>
          </w:p>
        </w:tc>
        <w:tc>
          <w:tcPr>
            <w:tcW w:w="5046" w:type="dxa"/>
          </w:tcPr>
          <w:p w14:paraId="78FDDE92"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b/>
                <w:sz w:val="20"/>
                <w:szCs w:val="20"/>
                <w:lang w:val="en-US"/>
              </w:rPr>
              <w:t>Activity</w:t>
            </w:r>
          </w:p>
        </w:tc>
      </w:tr>
      <w:tr w:rsidR="003B1981" w:rsidRPr="005516CD" w14:paraId="4526888A" w14:textId="77777777" w:rsidTr="00FB5829">
        <w:tc>
          <w:tcPr>
            <w:tcW w:w="955" w:type="dxa"/>
            <w:vMerge/>
          </w:tcPr>
          <w:p w14:paraId="335E1BE4"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813" w:type="dxa"/>
            <w:vMerge/>
          </w:tcPr>
          <w:p w14:paraId="3C60C8CE"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1026" w:type="dxa"/>
            <w:vMerge/>
          </w:tcPr>
          <w:p w14:paraId="68044B8B"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6216" w:type="dxa"/>
            <w:gridSpan w:val="2"/>
          </w:tcPr>
          <w:p w14:paraId="07D302FE" w14:textId="77777777" w:rsidR="003B1981" w:rsidRPr="005516CD" w:rsidRDefault="003B1981" w:rsidP="00237493">
            <w:pPr>
              <w:keepNext/>
              <w:keepLines/>
              <w:tabs>
                <w:tab w:val="left" w:pos="2410"/>
              </w:tabs>
              <w:rPr>
                <w:rFonts w:asciiTheme="majorHAnsi" w:hAnsiTheme="majorHAnsi" w:cstheme="majorHAnsi"/>
                <w:sz w:val="20"/>
                <w:szCs w:val="20"/>
                <w:lang w:val="en-US"/>
              </w:rPr>
            </w:pPr>
            <w:r w:rsidRPr="005516CD">
              <w:rPr>
                <w:rFonts w:asciiTheme="majorHAnsi" w:hAnsiTheme="majorHAnsi" w:cstheme="majorHAnsi"/>
                <w:b/>
                <w:sz w:val="20"/>
                <w:szCs w:val="20"/>
                <w:lang w:val="en-US"/>
              </w:rPr>
              <w:t>Component 1</w:t>
            </w:r>
          </w:p>
        </w:tc>
      </w:tr>
      <w:tr w:rsidR="00E2563C" w:rsidRPr="005516CD" w14:paraId="4679B671" w14:textId="77777777" w:rsidTr="00FB5829">
        <w:tc>
          <w:tcPr>
            <w:tcW w:w="955" w:type="dxa"/>
            <w:vMerge/>
          </w:tcPr>
          <w:p w14:paraId="7250EDCC"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813" w:type="dxa"/>
            <w:vMerge/>
          </w:tcPr>
          <w:p w14:paraId="25BF98E2"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026" w:type="dxa"/>
            <w:vMerge/>
          </w:tcPr>
          <w:p w14:paraId="4258CDA0"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170" w:type="dxa"/>
          </w:tcPr>
          <w:p w14:paraId="63D53D74" w14:textId="77777777" w:rsidR="00E2563C" w:rsidRPr="005516CD" w:rsidRDefault="00E2563C" w:rsidP="00FB5829">
            <w:pPr>
              <w:keepNext/>
              <w:keepLines/>
              <w:tabs>
                <w:tab w:val="left" w:pos="2410"/>
              </w:tabs>
              <w:jc w:val="right"/>
              <w:rPr>
                <w:rStyle w:val="Hyperlink2"/>
                <w:rFonts w:asciiTheme="majorHAnsi" w:hAnsiTheme="majorHAnsi" w:cstheme="majorHAnsi"/>
                <w:b/>
                <w:sz w:val="20"/>
                <w:szCs w:val="20"/>
              </w:rPr>
            </w:pPr>
            <w:r w:rsidRPr="005516CD">
              <w:rPr>
                <w:rFonts w:ascii="Calibri" w:hAnsi="Calibri" w:cs="Calibri"/>
                <w:sz w:val="20"/>
                <w:szCs w:val="20"/>
              </w:rPr>
              <w:t>123,890</w:t>
            </w:r>
          </w:p>
        </w:tc>
        <w:tc>
          <w:tcPr>
            <w:tcW w:w="5046" w:type="dxa"/>
          </w:tcPr>
          <w:p w14:paraId="06A36C2D"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lang w:val="en-US"/>
              </w:rPr>
              <w:t>TCP/HAI/3701: support to preparation of funding proposal for Green Climate Fund</w:t>
            </w:r>
          </w:p>
        </w:tc>
      </w:tr>
      <w:tr w:rsidR="00E2563C" w:rsidRPr="005516CD" w14:paraId="27E1C39E" w14:textId="77777777" w:rsidTr="00FB5829">
        <w:tc>
          <w:tcPr>
            <w:tcW w:w="955" w:type="dxa"/>
            <w:vMerge/>
          </w:tcPr>
          <w:p w14:paraId="4658DA74"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813" w:type="dxa"/>
            <w:vMerge/>
          </w:tcPr>
          <w:p w14:paraId="59C15FF8"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026" w:type="dxa"/>
            <w:vMerge/>
          </w:tcPr>
          <w:p w14:paraId="6A8B8009"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170" w:type="dxa"/>
          </w:tcPr>
          <w:p w14:paraId="04BBDC66" w14:textId="77777777" w:rsidR="00E2563C" w:rsidRPr="005516CD" w:rsidRDefault="00E2563C" w:rsidP="00FB5829">
            <w:pPr>
              <w:keepNext/>
              <w:keepLines/>
              <w:tabs>
                <w:tab w:val="left" w:pos="2410"/>
              </w:tabs>
              <w:jc w:val="right"/>
              <w:rPr>
                <w:rStyle w:val="Hyperlink2"/>
                <w:rFonts w:asciiTheme="majorHAnsi" w:hAnsiTheme="majorHAnsi" w:cstheme="majorHAnsi"/>
                <w:b/>
                <w:sz w:val="20"/>
                <w:szCs w:val="20"/>
              </w:rPr>
            </w:pPr>
            <w:r w:rsidRPr="005516CD">
              <w:rPr>
                <w:rFonts w:ascii="Calibri" w:hAnsi="Calibri" w:cs="Calibri"/>
                <w:sz w:val="20"/>
                <w:szCs w:val="20"/>
              </w:rPr>
              <w:t>257,396</w:t>
            </w:r>
          </w:p>
        </w:tc>
        <w:tc>
          <w:tcPr>
            <w:tcW w:w="5046" w:type="dxa"/>
          </w:tcPr>
          <w:p w14:paraId="3602E396"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lang w:val="en-US"/>
              </w:rPr>
              <w:t>TCP/HAI/3603: technical assistance to the institutionalization and application of Farmer Field School and Conservation Agriculture approaches in MARNDR</w:t>
            </w:r>
          </w:p>
        </w:tc>
      </w:tr>
      <w:tr w:rsidR="00E2563C" w:rsidRPr="005516CD" w14:paraId="5FE4A3B6" w14:textId="77777777" w:rsidTr="00FB5829">
        <w:tc>
          <w:tcPr>
            <w:tcW w:w="955" w:type="dxa"/>
            <w:vMerge/>
          </w:tcPr>
          <w:p w14:paraId="1B1A3AE0"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813" w:type="dxa"/>
            <w:vMerge/>
          </w:tcPr>
          <w:p w14:paraId="585158DF"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026" w:type="dxa"/>
            <w:vMerge/>
          </w:tcPr>
          <w:p w14:paraId="43CB5760"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170" w:type="dxa"/>
          </w:tcPr>
          <w:p w14:paraId="6AE3DB15" w14:textId="77777777" w:rsidR="00E2563C" w:rsidRPr="005516CD" w:rsidRDefault="00E2563C" w:rsidP="00FB5829">
            <w:pPr>
              <w:keepNext/>
              <w:keepLines/>
              <w:tabs>
                <w:tab w:val="left" w:pos="2410"/>
              </w:tabs>
              <w:jc w:val="right"/>
              <w:rPr>
                <w:rStyle w:val="Hyperlink2"/>
                <w:rFonts w:asciiTheme="majorHAnsi" w:hAnsiTheme="majorHAnsi" w:cstheme="majorHAnsi"/>
                <w:b/>
                <w:sz w:val="20"/>
                <w:szCs w:val="20"/>
              </w:rPr>
            </w:pPr>
            <w:r w:rsidRPr="005516CD">
              <w:rPr>
                <w:rFonts w:ascii="Calibri" w:hAnsi="Calibri" w:cs="Calibri"/>
                <w:sz w:val="20"/>
                <w:szCs w:val="20"/>
              </w:rPr>
              <w:t>604,739</w:t>
            </w:r>
          </w:p>
        </w:tc>
        <w:tc>
          <w:tcPr>
            <w:tcW w:w="5046" w:type="dxa"/>
          </w:tcPr>
          <w:p w14:paraId="4258B355"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lang w:val="en-US"/>
              </w:rPr>
              <w:t xml:space="preserve">OSRO/RLA/801/EC: capacity building to increase food security and </w:t>
            </w:r>
            <w:proofErr w:type="spellStart"/>
            <w:r w:rsidRPr="005516CD">
              <w:rPr>
                <w:rFonts w:asciiTheme="majorHAnsi" w:hAnsiTheme="majorHAnsi" w:cstheme="majorHAnsi"/>
                <w:sz w:val="20"/>
                <w:szCs w:val="20"/>
                <w:lang w:val="en-US"/>
              </w:rPr>
              <w:t>rought</w:t>
            </w:r>
            <w:proofErr w:type="spellEnd"/>
            <w:r w:rsidRPr="005516CD">
              <w:rPr>
                <w:rFonts w:asciiTheme="majorHAnsi" w:hAnsiTheme="majorHAnsi" w:cstheme="majorHAnsi"/>
                <w:sz w:val="20"/>
                <w:szCs w:val="20"/>
                <w:lang w:val="en-US"/>
              </w:rPr>
              <w:t xml:space="preserve"> resilience</w:t>
            </w:r>
          </w:p>
        </w:tc>
      </w:tr>
      <w:tr w:rsidR="003B1981" w:rsidRPr="005516CD" w14:paraId="12DA00F1" w14:textId="77777777" w:rsidTr="00FB5829">
        <w:tc>
          <w:tcPr>
            <w:tcW w:w="955" w:type="dxa"/>
            <w:vMerge/>
          </w:tcPr>
          <w:p w14:paraId="6169632B"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813" w:type="dxa"/>
            <w:vMerge/>
          </w:tcPr>
          <w:p w14:paraId="230E5199"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1026" w:type="dxa"/>
            <w:vMerge/>
          </w:tcPr>
          <w:p w14:paraId="775D206A"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6216" w:type="dxa"/>
            <w:gridSpan w:val="2"/>
          </w:tcPr>
          <w:p w14:paraId="4AB16770"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b/>
                <w:sz w:val="20"/>
                <w:szCs w:val="20"/>
                <w:lang w:val="en-US"/>
              </w:rPr>
              <w:t>Component 2</w:t>
            </w:r>
          </w:p>
        </w:tc>
      </w:tr>
      <w:tr w:rsidR="00E2563C" w:rsidRPr="005516CD" w14:paraId="03A0F07D" w14:textId="77777777" w:rsidTr="00FB5829">
        <w:tc>
          <w:tcPr>
            <w:tcW w:w="955" w:type="dxa"/>
            <w:vMerge/>
          </w:tcPr>
          <w:p w14:paraId="5062DB71"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813" w:type="dxa"/>
            <w:vMerge/>
          </w:tcPr>
          <w:p w14:paraId="7B89593C"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026" w:type="dxa"/>
            <w:vMerge/>
          </w:tcPr>
          <w:p w14:paraId="5F31552C"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170" w:type="dxa"/>
          </w:tcPr>
          <w:p w14:paraId="029D54ED" w14:textId="77777777" w:rsidR="00E2563C" w:rsidRPr="005516CD" w:rsidRDefault="00E2563C" w:rsidP="00FB5829">
            <w:pPr>
              <w:keepNext/>
              <w:keepLines/>
              <w:tabs>
                <w:tab w:val="left" w:pos="2410"/>
              </w:tabs>
              <w:jc w:val="right"/>
              <w:rPr>
                <w:rStyle w:val="Hyperlink2"/>
                <w:rFonts w:asciiTheme="majorHAnsi" w:hAnsiTheme="majorHAnsi" w:cstheme="majorHAnsi"/>
                <w:b/>
                <w:sz w:val="20"/>
                <w:szCs w:val="20"/>
              </w:rPr>
            </w:pPr>
            <w:r w:rsidRPr="005516CD">
              <w:rPr>
                <w:rFonts w:ascii="Calibri" w:hAnsi="Calibri" w:cs="Calibri"/>
                <w:sz w:val="20"/>
                <w:szCs w:val="20"/>
              </w:rPr>
              <w:t>197,997</w:t>
            </w:r>
          </w:p>
        </w:tc>
        <w:tc>
          <w:tcPr>
            <w:tcW w:w="5046" w:type="dxa"/>
          </w:tcPr>
          <w:p w14:paraId="68CFB6B3"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lang w:val="en-US"/>
              </w:rPr>
              <w:t>TCP/SLC/3704: advancing disaster risk reduction measures</w:t>
            </w:r>
          </w:p>
        </w:tc>
      </w:tr>
      <w:tr w:rsidR="00E2563C" w:rsidRPr="005516CD" w14:paraId="260441BE" w14:textId="77777777" w:rsidTr="00FB5829">
        <w:tc>
          <w:tcPr>
            <w:tcW w:w="955" w:type="dxa"/>
            <w:vMerge/>
          </w:tcPr>
          <w:p w14:paraId="50368E67"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813" w:type="dxa"/>
            <w:vMerge/>
          </w:tcPr>
          <w:p w14:paraId="5801D896"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026" w:type="dxa"/>
            <w:vMerge/>
          </w:tcPr>
          <w:p w14:paraId="59DEE428"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170" w:type="dxa"/>
          </w:tcPr>
          <w:p w14:paraId="56E3C16D" w14:textId="77777777" w:rsidR="00E2563C" w:rsidRPr="005516CD" w:rsidRDefault="00E2563C" w:rsidP="00FB5829">
            <w:pPr>
              <w:keepNext/>
              <w:keepLines/>
              <w:tabs>
                <w:tab w:val="left" w:pos="2410"/>
              </w:tabs>
              <w:jc w:val="right"/>
              <w:rPr>
                <w:rStyle w:val="Hyperlink2"/>
                <w:rFonts w:asciiTheme="majorHAnsi" w:hAnsiTheme="majorHAnsi" w:cstheme="majorHAnsi"/>
                <w:b/>
                <w:sz w:val="20"/>
                <w:szCs w:val="20"/>
              </w:rPr>
            </w:pPr>
            <w:r w:rsidRPr="005516CD">
              <w:rPr>
                <w:rFonts w:ascii="Calibri" w:hAnsi="Calibri" w:cs="Calibri"/>
                <w:sz w:val="20"/>
                <w:szCs w:val="20"/>
              </w:rPr>
              <w:t>276,630</w:t>
            </w:r>
          </w:p>
        </w:tc>
        <w:tc>
          <w:tcPr>
            <w:tcW w:w="5046" w:type="dxa"/>
          </w:tcPr>
          <w:p w14:paraId="7A8045D7"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lang w:val="en-US"/>
              </w:rPr>
              <w:t>TCP/RLA/3606: strengthening technical and institutional capacities for sustainable use of natural resources, CCA and risk management</w:t>
            </w:r>
          </w:p>
        </w:tc>
      </w:tr>
      <w:tr w:rsidR="003B1981" w:rsidRPr="005516CD" w14:paraId="14C52055" w14:textId="77777777" w:rsidTr="00FB5829">
        <w:tc>
          <w:tcPr>
            <w:tcW w:w="955" w:type="dxa"/>
            <w:vMerge/>
          </w:tcPr>
          <w:p w14:paraId="0C5ADA96"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813" w:type="dxa"/>
            <w:vMerge/>
          </w:tcPr>
          <w:p w14:paraId="148067B0"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1026" w:type="dxa"/>
            <w:vMerge/>
          </w:tcPr>
          <w:p w14:paraId="1D169173"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6216" w:type="dxa"/>
            <w:gridSpan w:val="2"/>
          </w:tcPr>
          <w:p w14:paraId="05D69956"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b/>
                <w:sz w:val="20"/>
                <w:szCs w:val="20"/>
                <w:lang w:val="en-US"/>
              </w:rPr>
              <w:t>Component 3</w:t>
            </w:r>
          </w:p>
        </w:tc>
      </w:tr>
      <w:tr w:rsidR="00E2563C" w:rsidRPr="005516CD" w14:paraId="28E2959C" w14:textId="77777777" w:rsidTr="00FB5829">
        <w:tc>
          <w:tcPr>
            <w:tcW w:w="955" w:type="dxa"/>
            <w:vMerge/>
          </w:tcPr>
          <w:p w14:paraId="6976172C"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813" w:type="dxa"/>
            <w:vMerge/>
          </w:tcPr>
          <w:p w14:paraId="7263D8F6"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026" w:type="dxa"/>
            <w:vMerge/>
          </w:tcPr>
          <w:p w14:paraId="7B87375F"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170" w:type="dxa"/>
          </w:tcPr>
          <w:p w14:paraId="0D6427D5" w14:textId="34291E7A" w:rsidR="00E2563C" w:rsidRPr="005516CD" w:rsidRDefault="00E2563C" w:rsidP="00FB5829">
            <w:pPr>
              <w:keepNext/>
              <w:keepLines/>
              <w:tabs>
                <w:tab w:val="left" w:pos="2410"/>
              </w:tabs>
              <w:jc w:val="right"/>
              <w:rPr>
                <w:rStyle w:val="Hyperlink2"/>
                <w:rFonts w:asciiTheme="majorHAnsi" w:hAnsiTheme="majorHAnsi" w:cstheme="majorHAnsi"/>
                <w:b/>
                <w:sz w:val="20"/>
                <w:szCs w:val="20"/>
              </w:rPr>
            </w:pPr>
            <w:r w:rsidRPr="005516CD">
              <w:rPr>
                <w:rFonts w:ascii="Calibri" w:hAnsi="Calibri" w:cs="Calibri"/>
                <w:sz w:val="20"/>
                <w:szCs w:val="20"/>
              </w:rPr>
              <w:t>113,14</w:t>
            </w:r>
            <w:r w:rsidR="00B83A86">
              <w:rPr>
                <w:rFonts w:ascii="Calibri" w:hAnsi="Calibri" w:cs="Calibri"/>
                <w:sz w:val="20"/>
                <w:szCs w:val="20"/>
              </w:rPr>
              <w:t>3</w:t>
            </w:r>
          </w:p>
        </w:tc>
        <w:tc>
          <w:tcPr>
            <w:tcW w:w="5046" w:type="dxa"/>
          </w:tcPr>
          <w:p w14:paraId="5658D4A5"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lang w:val="en-US"/>
              </w:rPr>
              <w:t xml:space="preserve">TCP/HAI/3606: strengthening of MARNDR technical assistance services in </w:t>
            </w:r>
            <w:proofErr w:type="spellStart"/>
            <w:r w:rsidRPr="005516CD">
              <w:rPr>
                <w:rFonts w:asciiTheme="majorHAnsi" w:hAnsiTheme="majorHAnsi" w:cstheme="majorHAnsi"/>
                <w:sz w:val="20"/>
                <w:szCs w:val="20"/>
                <w:lang w:val="en-US"/>
              </w:rPr>
              <w:t>Département</w:t>
            </w:r>
            <w:proofErr w:type="spellEnd"/>
            <w:r w:rsidRPr="005516CD">
              <w:rPr>
                <w:rFonts w:asciiTheme="majorHAnsi" w:hAnsiTheme="majorHAnsi" w:cstheme="majorHAnsi"/>
                <w:sz w:val="20"/>
                <w:szCs w:val="20"/>
                <w:lang w:val="en-US"/>
              </w:rPr>
              <w:t xml:space="preserve"> du Sud</w:t>
            </w:r>
          </w:p>
        </w:tc>
      </w:tr>
      <w:tr w:rsidR="00E2563C" w:rsidRPr="005516CD" w14:paraId="0ED4964D" w14:textId="77777777" w:rsidTr="00FB5829">
        <w:tc>
          <w:tcPr>
            <w:tcW w:w="955" w:type="dxa"/>
            <w:vMerge/>
          </w:tcPr>
          <w:p w14:paraId="17924915"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813" w:type="dxa"/>
            <w:vMerge/>
          </w:tcPr>
          <w:p w14:paraId="620A6213"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026" w:type="dxa"/>
            <w:vMerge/>
          </w:tcPr>
          <w:p w14:paraId="43615CA0"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170" w:type="dxa"/>
          </w:tcPr>
          <w:p w14:paraId="092B4B48" w14:textId="77777777" w:rsidR="00E2563C" w:rsidRPr="005516CD" w:rsidRDefault="00E2563C" w:rsidP="00FB5829">
            <w:pPr>
              <w:keepNext/>
              <w:keepLines/>
              <w:tabs>
                <w:tab w:val="left" w:pos="2410"/>
              </w:tabs>
              <w:jc w:val="right"/>
              <w:rPr>
                <w:rStyle w:val="Hyperlink2"/>
                <w:rFonts w:asciiTheme="majorHAnsi" w:hAnsiTheme="majorHAnsi" w:cstheme="majorHAnsi"/>
                <w:b/>
                <w:sz w:val="20"/>
                <w:szCs w:val="20"/>
              </w:rPr>
            </w:pPr>
            <w:r w:rsidRPr="005516CD">
              <w:rPr>
                <w:rFonts w:ascii="Calibri" w:hAnsi="Calibri" w:cs="Calibri"/>
                <w:sz w:val="20"/>
                <w:szCs w:val="20"/>
              </w:rPr>
              <w:t>197,997</w:t>
            </w:r>
          </w:p>
        </w:tc>
        <w:tc>
          <w:tcPr>
            <w:tcW w:w="5046" w:type="dxa"/>
          </w:tcPr>
          <w:p w14:paraId="5CF3C4DF"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lang w:val="en-US"/>
              </w:rPr>
              <w:t xml:space="preserve">TCP/HAI/3605: Support to fruit sector in Grande </w:t>
            </w:r>
            <w:proofErr w:type="spellStart"/>
            <w:r w:rsidRPr="005516CD">
              <w:rPr>
                <w:rFonts w:asciiTheme="majorHAnsi" w:hAnsiTheme="majorHAnsi" w:cstheme="majorHAnsi"/>
                <w:sz w:val="20"/>
                <w:szCs w:val="20"/>
                <w:lang w:val="en-US"/>
              </w:rPr>
              <w:t>Anse</w:t>
            </w:r>
            <w:proofErr w:type="spellEnd"/>
            <w:r w:rsidRPr="005516CD">
              <w:rPr>
                <w:rFonts w:asciiTheme="majorHAnsi" w:hAnsiTheme="majorHAnsi" w:cstheme="majorHAnsi"/>
                <w:sz w:val="20"/>
                <w:szCs w:val="20"/>
                <w:lang w:val="en-US"/>
              </w:rPr>
              <w:t xml:space="preserve"> and Sud Departments</w:t>
            </w:r>
          </w:p>
        </w:tc>
      </w:tr>
      <w:tr w:rsidR="003B1981" w:rsidRPr="005516CD" w14:paraId="43F8A50F" w14:textId="77777777" w:rsidTr="00FB5829">
        <w:tc>
          <w:tcPr>
            <w:tcW w:w="955" w:type="dxa"/>
            <w:vMerge/>
          </w:tcPr>
          <w:p w14:paraId="0C96C20C"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813" w:type="dxa"/>
            <w:vMerge/>
          </w:tcPr>
          <w:p w14:paraId="0E9EF112"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1026" w:type="dxa"/>
            <w:vMerge/>
          </w:tcPr>
          <w:p w14:paraId="0293078D"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6216" w:type="dxa"/>
            <w:gridSpan w:val="2"/>
          </w:tcPr>
          <w:p w14:paraId="5D954EB0"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b/>
                <w:sz w:val="20"/>
                <w:szCs w:val="20"/>
                <w:lang w:val="en-US"/>
              </w:rPr>
              <w:t>Project Management Costs</w:t>
            </w:r>
          </w:p>
        </w:tc>
      </w:tr>
      <w:tr w:rsidR="00E2563C" w:rsidRPr="005516CD" w14:paraId="437B872E" w14:textId="77777777" w:rsidTr="00E2563C">
        <w:tc>
          <w:tcPr>
            <w:tcW w:w="955" w:type="dxa"/>
            <w:vMerge/>
          </w:tcPr>
          <w:p w14:paraId="34E1093E"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813" w:type="dxa"/>
            <w:vMerge/>
          </w:tcPr>
          <w:p w14:paraId="382C4C5E"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1026" w:type="dxa"/>
            <w:vMerge/>
          </w:tcPr>
          <w:p w14:paraId="167A7882"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p>
        </w:tc>
        <w:tc>
          <w:tcPr>
            <w:tcW w:w="1170" w:type="dxa"/>
          </w:tcPr>
          <w:p w14:paraId="736DDC34" w14:textId="26B895F7" w:rsidR="00E2563C" w:rsidRPr="005516CD" w:rsidRDefault="00E2563C" w:rsidP="00FB5829">
            <w:pPr>
              <w:keepNext/>
              <w:keepLines/>
              <w:tabs>
                <w:tab w:val="left" w:pos="2410"/>
              </w:tabs>
              <w:jc w:val="right"/>
              <w:rPr>
                <w:rFonts w:ascii="Calibri" w:eastAsia="Times New Roman" w:hAnsi="Calibri" w:cs="Calibri"/>
                <w:sz w:val="20"/>
                <w:szCs w:val="20"/>
              </w:rPr>
            </w:pPr>
            <w:r w:rsidRPr="005516CD">
              <w:rPr>
                <w:rFonts w:ascii="Calibri" w:hAnsi="Calibri" w:cs="Calibri"/>
                <w:sz w:val="20"/>
                <w:szCs w:val="20"/>
              </w:rPr>
              <w:t>49,78</w:t>
            </w:r>
            <w:r w:rsidR="00480448">
              <w:rPr>
                <w:rFonts w:ascii="Calibri" w:hAnsi="Calibri" w:cs="Calibri"/>
                <w:sz w:val="20"/>
                <w:szCs w:val="20"/>
              </w:rPr>
              <w:t>0</w:t>
            </w:r>
          </w:p>
          <w:p w14:paraId="58A5B3F2" w14:textId="77777777" w:rsidR="003B1981" w:rsidRPr="005516CD" w:rsidRDefault="003B1981" w:rsidP="00237493">
            <w:pPr>
              <w:keepNext/>
              <w:keepLines/>
              <w:tabs>
                <w:tab w:val="left" w:pos="2410"/>
              </w:tabs>
              <w:rPr>
                <w:rFonts w:asciiTheme="majorHAnsi" w:hAnsiTheme="majorHAnsi" w:cstheme="majorHAnsi"/>
                <w:sz w:val="20"/>
                <w:szCs w:val="20"/>
                <w:lang w:val="en-US"/>
              </w:rPr>
            </w:pPr>
          </w:p>
        </w:tc>
        <w:tc>
          <w:tcPr>
            <w:tcW w:w="5046" w:type="dxa"/>
          </w:tcPr>
          <w:p w14:paraId="67F52AE5" w14:textId="77777777" w:rsidR="003B1981" w:rsidRPr="005516CD" w:rsidRDefault="003B1981" w:rsidP="00237493">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lang w:val="en-US"/>
              </w:rPr>
              <w:t xml:space="preserve">OSRO/RLA/801/EC: capacity building to increase food security and </w:t>
            </w:r>
            <w:proofErr w:type="spellStart"/>
            <w:r w:rsidRPr="005516CD">
              <w:rPr>
                <w:rFonts w:asciiTheme="majorHAnsi" w:hAnsiTheme="majorHAnsi" w:cstheme="majorHAnsi"/>
                <w:sz w:val="20"/>
                <w:szCs w:val="20"/>
                <w:lang w:val="en-US"/>
              </w:rPr>
              <w:t>rought</w:t>
            </w:r>
            <w:proofErr w:type="spellEnd"/>
            <w:r w:rsidRPr="005516CD">
              <w:rPr>
                <w:rFonts w:asciiTheme="majorHAnsi" w:hAnsiTheme="majorHAnsi" w:cstheme="majorHAnsi"/>
                <w:sz w:val="20"/>
                <w:szCs w:val="20"/>
                <w:lang w:val="en-US"/>
              </w:rPr>
              <w:t xml:space="preserve"> resilience</w:t>
            </w:r>
          </w:p>
        </w:tc>
      </w:tr>
      <w:tr w:rsidR="00E2563C" w:rsidRPr="005516CD" w14:paraId="275603F7" w14:textId="77777777" w:rsidTr="00FB5829">
        <w:tc>
          <w:tcPr>
            <w:tcW w:w="955" w:type="dxa"/>
            <w:vMerge w:val="restart"/>
          </w:tcPr>
          <w:p w14:paraId="74FDD071"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r w:rsidRPr="005516CD">
              <w:rPr>
                <w:rFonts w:asciiTheme="majorHAnsi" w:hAnsiTheme="majorHAnsi" w:cstheme="majorHAnsi"/>
                <w:sz w:val="20"/>
                <w:szCs w:val="20"/>
              </w:rPr>
              <w:t>UNDP</w:t>
            </w:r>
          </w:p>
        </w:tc>
        <w:tc>
          <w:tcPr>
            <w:tcW w:w="813" w:type="dxa"/>
            <w:vMerge w:val="restart"/>
          </w:tcPr>
          <w:p w14:paraId="48326BFF" w14:textId="77777777" w:rsidR="00E2563C" w:rsidRPr="005516CD" w:rsidRDefault="00E2563C" w:rsidP="00E2563C">
            <w:pPr>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Cash</w:t>
            </w:r>
          </w:p>
        </w:tc>
        <w:tc>
          <w:tcPr>
            <w:tcW w:w="1026" w:type="dxa"/>
            <w:vMerge w:val="restart"/>
          </w:tcPr>
          <w:p w14:paraId="5165F3AC" w14:textId="77777777" w:rsidR="00E2563C" w:rsidRPr="005516CD" w:rsidRDefault="00E2563C" w:rsidP="00E2563C">
            <w:pPr>
              <w:rPr>
                <w:rFonts w:ascii="Calibri" w:eastAsia="Times New Roman" w:hAnsi="Calibri" w:cs="Calibri"/>
                <w:sz w:val="20"/>
                <w:szCs w:val="20"/>
              </w:rPr>
            </w:pPr>
            <w:r w:rsidRPr="005516CD">
              <w:rPr>
                <w:rFonts w:ascii="Calibri" w:hAnsi="Calibri" w:cs="Calibri"/>
                <w:sz w:val="20"/>
                <w:szCs w:val="20"/>
              </w:rPr>
              <w:t>2,206,252</w:t>
            </w:r>
          </w:p>
          <w:p w14:paraId="4F41E5C0" w14:textId="77777777" w:rsidR="00E2563C" w:rsidRPr="005516CD" w:rsidRDefault="00E2563C" w:rsidP="00E2563C">
            <w:pPr>
              <w:keepNext/>
              <w:keepLines/>
              <w:tabs>
                <w:tab w:val="left" w:pos="2410"/>
              </w:tabs>
              <w:rPr>
                <w:rStyle w:val="Hyperlink2"/>
                <w:rFonts w:asciiTheme="majorHAnsi" w:hAnsiTheme="majorHAnsi" w:cstheme="majorHAnsi"/>
                <w:b/>
                <w:sz w:val="20"/>
                <w:szCs w:val="20"/>
              </w:rPr>
            </w:pPr>
          </w:p>
        </w:tc>
        <w:tc>
          <w:tcPr>
            <w:tcW w:w="1170" w:type="dxa"/>
          </w:tcPr>
          <w:p w14:paraId="2E17CF8B" w14:textId="77777777" w:rsidR="00E2563C" w:rsidRPr="005516CD" w:rsidRDefault="00E2563C" w:rsidP="00FB5829">
            <w:pPr>
              <w:keepNext/>
              <w:keepLines/>
              <w:tabs>
                <w:tab w:val="left" w:pos="2410"/>
              </w:tabs>
              <w:jc w:val="right"/>
              <w:rPr>
                <w:rFonts w:asciiTheme="majorHAnsi" w:hAnsiTheme="majorHAnsi" w:cstheme="majorHAnsi"/>
                <w:sz w:val="20"/>
                <w:szCs w:val="20"/>
                <w:lang w:val="en-US"/>
              </w:rPr>
            </w:pPr>
            <w:r w:rsidRPr="005516CD">
              <w:rPr>
                <w:rFonts w:ascii="Calibri" w:hAnsi="Calibri" w:cs="Calibri"/>
                <w:sz w:val="20"/>
                <w:szCs w:val="20"/>
              </w:rPr>
              <w:t>1,414,264</w:t>
            </w:r>
          </w:p>
        </w:tc>
        <w:tc>
          <w:tcPr>
            <w:tcW w:w="5046" w:type="dxa"/>
          </w:tcPr>
          <w:p w14:paraId="6281C456" w14:textId="77777777" w:rsidR="00E2563C" w:rsidRPr="005516CD" w:rsidRDefault="00E2563C" w:rsidP="00E2563C">
            <w:pPr>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NAP/GCF: National Adaptation Planning,</w:t>
            </w:r>
            <w:r w:rsidRPr="005516CD">
              <w:rPr>
                <w:rFonts w:asciiTheme="majorHAnsi" w:hAnsiTheme="majorHAnsi" w:cstheme="majorHAnsi"/>
                <w:sz w:val="20"/>
                <w:szCs w:val="20"/>
              </w:rPr>
              <w:t xml:space="preserve"> with an implementation period between 2019 and 2023, aims to </w:t>
            </w:r>
            <w:r w:rsidRPr="005516CD">
              <w:rPr>
                <w:rFonts w:asciiTheme="majorHAnsi" w:hAnsiTheme="majorHAnsi" w:cstheme="majorHAnsi"/>
                <w:color w:val="000000" w:themeColor="text1"/>
                <w:sz w:val="20"/>
                <w:szCs w:val="20"/>
              </w:rPr>
              <w:t>strengthen institutional and technical capacities for an effective integration of CCA into national and sub-national coordination, planning and budgeting process</w:t>
            </w:r>
            <w:r w:rsidRPr="005516CD">
              <w:rPr>
                <w:rFonts w:asciiTheme="majorHAnsi" w:hAnsiTheme="majorHAnsi" w:cstheme="majorHAnsi"/>
                <w:sz w:val="20"/>
                <w:szCs w:val="20"/>
                <w:lang w:val="en-US"/>
              </w:rPr>
              <w:t xml:space="preserve"> and will therefore contribute to knowledge management and learning. </w:t>
            </w:r>
          </w:p>
        </w:tc>
      </w:tr>
      <w:tr w:rsidR="00E2563C" w:rsidRPr="005516CD" w14:paraId="7D96B189" w14:textId="77777777" w:rsidTr="00FB5829">
        <w:tc>
          <w:tcPr>
            <w:tcW w:w="955" w:type="dxa"/>
            <w:vMerge/>
          </w:tcPr>
          <w:p w14:paraId="29E2E3B6" w14:textId="77777777" w:rsidR="00E2563C" w:rsidRPr="005516CD" w:rsidRDefault="00E2563C" w:rsidP="00E2563C">
            <w:pPr>
              <w:keepNext/>
              <w:keepLines/>
              <w:tabs>
                <w:tab w:val="left" w:pos="2410"/>
              </w:tabs>
              <w:rPr>
                <w:rFonts w:asciiTheme="majorHAnsi" w:hAnsiTheme="majorHAnsi" w:cstheme="majorHAnsi"/>
                <w:sz w:val="20"/>
                <w:szCs w:val="20"/>
              </w:rPr>
            </w:pPr>
          </w:p>
        </w:tc>
        <w:tc>
          <w:tcPr>
            <w:tcW w:w="813" w:type="dxa"/>
            <w:vMerge/>
          </w:tcPr>
          <w:p w14:paraId="004693D0" w14:textId="77777777" w:rsidR="00E2563C" w:rsidRPr="005516CD" w:rsidRDefault="00E2563C" w:rsidP="00E2563C">
            <w:pPr>
              <w:jc w:val="both"/>
              <w:rPr>
                <w:rFonts w:asciiTheme="majorHAnsi" w:hAnsiTheme="majorHAnsi" w:cstheme="majorHAnsi"/>
                <w:color w:val="000000" w:themeColor="text1"/>
                <w:sz w:val="20"/>
                <w:szCs w:val="20"/>
              </w:rPr>
            </w:pPr>
          </w:p>
        </w:tc>
        <w:tc>
          <w:tcPr>
            <w:tcW w:w="1026" w:type="dxa"/>
            <w:vMerge/>
          </w:tcPr>
          <w:p w14:paraId="2EA14C1C" w14:textId="77777777" w:rsidR="00E2563C" w:rsidRPr="005516CD" w:rsidRDefault="00E2563C" w:rsidP="00E2563C">
            <w:pPr>
              <w:keepNext/>
              <w:keepLines/>
              <w:tabs>
                <w:tab w:val="left" w:pos="2410"/>
              </w:tabs>
              <w:rPr>
                <w:rFonts w:asciiTheme="majorHAnsi" w:hAnsiTheme="majorHAnsi" w:cstheme="majorHAnsi"/>
                <w:sz w:val="20"/>
                <w:szCs w:val="20"/>
              </w:rPr>
            </w:pPr>
          </w:p>
        </w:tc>
        <w:tc>
          <w:tcPr>
            <w:tcW w:w="1170" w:type="dxa"/>
          </w:tcPr>
          <w:p w14:paraId="7CF194D4" w14:textId="77777777" w:rsidR="00E2563C" w:rsidRPr="005516CD" w:rsidRDefault="00E2563C" w:rsidP="00FB5829">
            <w:pPr>
              <w:keepNext/>
              <w:keepLines/>
              <w:tabs>
                <w:tab w:val="left" w:pos="2410"/>
              </w:tabs>
              <w:jc w:val="right"/>
              <w:rPr>
                <w:rFonts w:asciiTheme="majorHAnsi" w:hAnsiTheme="majorHAnsi" w:cstheme="majorHAnsi"/>
                <w:sz w:val="20"/>
                <w:szCs w:val="20"/>
                <w:lang w:val="en-US"/>
              </w:rPr>
            </w:pPr>
            <w:r w:rsidRPr="005516CD">
              <w:rPr>
                <w:rFonts w:ascii="Calibri" w:hAnsi="Calibri" w:cs="Calibri"/>
                <w:sz w:val="20"/>
                <w:szCs w:val="20"/>
              </w:rPr>
              <w:t>678,847</w:t>
            </w:r>
          </w:p>
        </w:tc>
        <w:tc>
          <w:tcPr>
            <w:tcW w:w="5046" w:type="dxa"/>
          </w:tcPr>
          <w:p w14:paraId="5AE77C41" w14:textId="77777777" w:rsidR="00E2563C" w:rsidRPr="005516CD" w:rsidRDefault="00E2563C" w:rsidP="00E2563C">
            <w:pPr>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The SDG project aims at strengthening SDG achievement and advocacy in Haiti at local and national level.</w:t>
            </w:r>
          </w:p>
        </w:tc>
      </w:tr>
      <w:tr w:rsidR="00E2563C" w:rsidRPr="005516CD" w14:paraId="201A0A5A" w14:textId="77777777" w:rsidTr="00FB5829">
        <w:tc>
          <w:tcPr>
            <w:tcW w:w="955" w:type="dxa"/>
            <w:vMerge/>
          </w:tcPr>
          <w:p w14:paraId="1925D280" w14:textId="77777777" w:rsidR="00E2563C" w:rsidRPr="005516CD" w:rsidRDefault="00E2563C" w:rsidP="00E2563C">
            <w:pPr>
              <w:keepNext/>
              <w:keepLines/>
              <w:tabs>
                <w:tab w:val="left" w:pos="2410"/>
              </w:tabs>
              <w:rPr>
                <w:rFonts w:asciiTheme="majorHAnsi" w:hAnsiTheme="majorHAnsi" w:cstheme="majorHAnsi"/>
                <w:sz w:val="20"/>
                <w:szCs w:val="20"/>
              </w:rPr>
            </w:pPr>
          </w:p>
        </w:tc>
        <w:tc>
          <w:tcPr>
            <w:tcW w:w="813" w:type="dxa"/>
            <w:vMerge/>
          </w:tcPr>
          <w:p w14:paraId="5B094A8C" w14:textId="77777777" w:rsidR="00E2563C" w:rsidRPr="005516CD" w:rsidRDefault="00E2563C" w:rsidP="00E2563C">
            <w:pPr>
              <w:jc w:val="both"/>
              <w:rPr>
                <w:rFonts w:asciiTheme="majorHAnsi" w:hAnsiTheme="majorHAnsi" w:cstheme="majorHAnsi"/>
                <w:color w:val="000000" w:themeColor="text1"/>
                <w:sz w:val="20"/>
                <w:szCs w:val="20"/>
              </w:rPr>
            </w:pPr>
          </w:p>
        </w:tc>
        <w:tc>
          <w:tcPr>
            <w:tcW w:w="1026" w:type="dxa"/>
            <w:vMerge/>
          </w:tcPr>
          <w:p w14:paraId="0E7DB2BB" w14:textId="77777777" w:rsidR="00E2563C" w:rsidRPr="005516CD" w:rsidRDefault="00E2563C" w:rsidP="00E2563C">
            <w:pPr>
              <w:keepNext/>
              <w:keepLines/>
              <w:tabs>
                <w:tab w:val="left" w:pos="2410"/>
              </w:tabs>
              <w:rPr>
                <w:rFonts w:asciiTheme="majorHAnsi" w:hAnsiTheme="majorHAnsi" w:cstheme="majorHAnsi"/>
                <w:sz w:val="20"/>
                <w:szCs w:val="20"/>
              </w:rPr>
            </w:pPr>
          </w:p>
        </w:tc>
        <w:tc>
          <w:tcPr>
            <w:tcW w:w="1170" w:type="dxa"/>
          </w:tcPr>
          <w:p w14:paraId="073E698F" w14:textId="77777777" w:rsidR="00E2563C" w:rsidRPr="005516CD" w:rsidRDefault="00E2563C" w:rsidP="00FB5829">
            <w:pPr>
              <w:keepNext/>
              <w:keepLines/>
              <w:tabs>
                <w:tab w:val="left" w:pos="2410"/>
              </w:tabs>
              <w:jc w:val="right"/>
              <w:rPr>
                <w:rFonts w:asciiTheme="majorHAnsi" w:hAnsiTheme="majorHAnsi" w:cstheme="majorHAnsi"/>
                <w:sz w:val="20"/>
                <w:szCs w:val="20"/>
                <w:lang w:val="en-US"/>
              </w:rPr>
            </w:pPr>
            <w:r w:rsidRPr="005516CD">
              <w:rPr>
                <w:rFonts w:ascii="Calibri" w:hAnsi="Calibri" w:cs="Calibri"/>
                <w:sz w:val="20"/>
                <w:szCs w:val="20"/>
              </w:rPr>
              <w:t>113,141</w:t>
            </w:r>
          </w:p>
        </w:tc>
        <w:tc>
          <w:tcPr>
            <w:tcW w:w="5046" w:type="dxa"/>
          </w:tcPr>
          <w:p w14:paraId="00643A37" w14:textId="77777777" w:rsidR="00E2563C" w:rsidRPr="005516CD" w:rsidRDefault="00E2563C" w:rsidP="00E2563C">
            <w:pPr>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Support to project management</w:t>
            </w:r>
          </w:p>
        </w:tc>
      </w:tr>
      <w:tr w:rsidR="00935C53" w:rsidRPr="005516CD" w14:paraId="2D0C03BB" w14:textId="77777777" w:rsidTr="00FB5829">
        <w:tc>
          <w:tcPr>
            <w:tcW w:w="955" w:type="dxa"/>
          </w:tcPr>
          <w:p w14:paraId="220BE548" w14:textId="77777777" w:rsidR="00935C53" w:rsidRPr="005516CD" w:rsidRDefault="00935C53" w:rsidP="00237493">
            <w:pPr>
              <w:keepNext/>
              <w:keepLines/>
              <w:tabs>
                <w:tab w:val="left" w:pos="2410"/>
              </w:tabs>
              <w:rPr>
                <w:rFonts w:asciiTheme="majorHAnsi" w:hAnsiTheme="majorHAnsi" w:cstheme="majorHAnsi"/>
                <w:sz w:val="20"/>
                <w:szCs w:val="20"/>
              </w:rPr>
            </w:pPr>
            <w:r w:rsidRPr="005516CD">
              <w:rPr>
                <w:rFonts w:asciiTheme="majorHAnsi" w:hAnsiTheme="majorHAnsi" w:cstheme="majorHAnsi"/>
                <w:sz w:val="20"/>
                <w:szCs w:val="20"/>
              </w:rPr>
              <w:t>IDB</w:t>
            </w:r>
          </w:p>
        </w:tc>
        <w:tc>
          <w:tcPr>
            <w:tcW w:w="813" w:type="dxa"/>
          </w:tcPr>
          <w:p w14:paraId="3D67C111" w14:textId="77777777" w:rsidR="00935C53" w:rsidRPr="005516CD" w:rsidRDefault="00935C53" w:rsidP="009F16FC">
            <w:pPr>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Cash</w:t>
            </w:r>
          </w:p>
        </w:tc>
        <w:tc>
          <w:tcPr>
            <w:tcW w:w="2196" w:type="dxa"/>
            <w:gridSpan w:val="2"/>
          </w:tcPr>
          <w:p w14:paraId="50666EB5" w14:textId="77777777" w:rsidR="00E2563C" w:rsidRPr="005516CD" w:rsidRDefault="00E2563C" w:rsidP="00E2563C">
            <w:pPr>
              <w:rPr>
                <w:rFonts w:ascii="Calibri" w:eastAsia="Times New Roman" w:hAnsi="Calibri" w:cs="Calibri"/>
                <w:sz w:val="20"/>
                <w:szCs w:val="20"/>
              </w:rPr>
            </w:pPr>
            <w:r w:rsidRPr="005516CD">
              <w:rPr>
                <w:rFonts w:ascii="Calibri" w:hAnsi="Calibri" w:cs="Calibri"/>
                <w:sz w:val="20"/>
                <w:szCs w:val="20"/>
              </w:rPr>
              <w:t>43,479,737</w:t>
            </w:r>
          </w:p>
          <w:p w14:paraId="04B2052D" w14:textId="77777777" w:rsidR="00935C53" w:rsidRPr="005516CD" w:rsidRDefault="00935C53" w:rsidP="00237493">
            <w:pPr>
              <w:keepNext/>
              <w:keepLines/>
              <w:tabs>
                <w:tab w:val="left" w:pos="2410"/>
              </w:tabs>
              <w:rPr>
                <w:rFonts w:asciiTheme="majorHAnsi" w:hAnsiTheme="majorHAnsi" w:cstheme="majorHAnsi"/>
                <w:sz w:val="20"/>
                <w:szCs w:val="20"/>
                <w:lang w:val="en-US"/>
              </w:rPr>
            </w:pPr>
          </w:p>
        </w:tc>
        <w:tc>
          <w:tcPr>
            <w:tcW w:w="5046" w:type="dxa"/>
          </w:tcPr>
          <w:p w14:paraId="3C7D46A5" w14:textId="77777777" w:rsidR="00935C53" w:rsidRPr="005516CD" w:rsidRDefault="00935C53" w:rsidP="009F16FC">
            <w:pPr>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The PITAG project (Agricultural and Agroforestry Technological Innovation Program) will increase agricultural productivity for small farmers in selected areas of the North, Northeast and Artibonite departments, through applied research and training for the development and adaptation of sustainable agricultural technologies, and the Promotion of sustainable agricultural technologies.</w:t>
            </w:r>
          </w:p>
        </w:tc>
      </w:tr>
      <w:tr w:rsidR="001C38EA" w:rsidRPr="005516CD" w14:paraId="452F1A93" w14:textId="77777777" w:rsidTr="00FB5829">
        <w:tc>
          <w:tcPr>
            <w:tcW w:w="1768" w:type="dxa"/>
            <w:gridSpan w:val="2"/>
          </w:tcPr>
          <w:p w14:paraId="40F7E3F7" w14:textId="77777777" w:rsidR="001C38EA" w:rsidRPr="005516CD" w:rsidRDefault="001C38EA" w:rsidP="00FB5829">
            <w:pPr>
              <w:jc w:val="right"/>
              <w:rPr>
                <w:rFonts w:asciiTheme="majorHAnsi" w:hAnsiTheme="majorHAnsi" w:cstheme="majorHAnsi"/>
                <w:b/>
                <w:color w:val="000000" w:themeColor="text1"/>
                <w:sz w:val="20"/>
                <w:szCs w:val="20"/>
              </w:rPr>
            </w:pPr>
            <w:r w:rsidRPr="005516CD">
              <w:rPr>
                <w:rFonts w:asciiTheme="majorHAnsi" w:hAnsiTheme="majorHAnsi" w:cstheme="majorHAnsi"/>
                <w:b/>
                <w:color w:val="000000" w:themeColor="text1"/>
                <w:sz w:val="20"/>
                <w:szCs w:val="20"/>
              </w:rPr>
              <w:t>Total:</w:t>
            </w:r>
          </w:p>
        </w:tc>
        <w:tc>
          <w:tcPr>
            <w:tcW w:w="2196" w:type="dxa"/>
            <w:gridSpan w:val="2"/>
          </w:tcPr>
          <w:p w14:paraId="00F15C11" w14:textId="77777777" w:rsidR="001C38EA" w:rsidRPr="005516CD" w:rsidRDefault="001C38EA" w:rsidP="00E2563C">
            <w:pPr>
              <w:rPr>
                <w:rFonts w:ascii="Calibri" w:hAnsi="Calibri" w:cs="Calibri"/>
                <w:b/>
                <w:sz w:val="20"/>
                <w:szCs w:val="20"/>
              </w:rPr>
            </w:pPr>
            <w:r w:rsidRPr="005516CD">
              <w:rPr>
                <w:rFonts w:ascii="Calibri" w:hAnsi="Calibri" w:cs="Calibri"/>
                <w:b/>
                <w:sz w:val="20"/>
                <w:szCs w:val="20"/>
              </w:rPr>
              <w:t>47,507,561</w:t>
            </w:r>
          </w:p>
        </w:tc>
        <w:tc>
          <w:tcPr>
            <w:tcW w:w="5046" w:type="dxa"/>
          </w:tcPr>
          <w:p w14:paraId="4665A9C7" w14:textId="77777777" w:rsidR="001C38EA" w:rsidRPr="005516CD" w:rsidRDefault="001C38EA" w:rsidP="009F16FC">
            <w:pPr>
              <w:jc w:val="both"/>
              <w:rPr>
                <w:rFonts w:asciiTheme="majorHAnsi" w:hAnsiTheme="majorHAnsi" w:cstheme="majorHAnsi"/>
                <w:b/>
                <w:color w:val="000000" w:themeColor="text1"/>
                <w:sz w:val="20"/>
                <w:szCs w:val="20"/>
              </w:rPr>
            </w:pPr>
          </w:p>
        </w:tc>
      </w:tr>
      <w:bookmarkEnd w:id="86"/>
    </w:tbl>
    <w:p w14:paraId="3B1B5231" w14:textId="77777777" w:rsidR="00E45267" w:rsidRPr="005516CD" w:rsidRDefault="00E45267" w:rsidP="00085462">
      <w:pPr>
        <w:pStyle w:val="Body"/>
        <w:widowControl w:val="0"/>
        <w:spacing w:after="0"/>
        <w:jc w:val="center"/>
        <w:rPr>
          <w:rStyle w:val="Hyperlink2"/>
        </w:rPr>
      </w:pPr>
    </w:p>
    <w:p w14:paraId="222D0502" w14:textId="1AB43219" w:rsidR="00E45267" w:rsidRPr="005516CD" w:rsidRDefault="00E45267" w:rsidP="00AC6B85">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Budget Revision and Tolerance</w:t>
      </w:r>
      <w:r w:rsidRPr="005516CD">
        <w:rPr>
          <w:rFonts w:asciiTheme="majorHAnsi" w:hAnsiTheme="majorHAnsi" w:cstheme="majorHAnsi"/>
          <w:sz w:val="20"/>
          <w:szCs w:val="20"/>
          <w:lang w:val="en-US"/>
        </w:rPr>
        <w:t xml:space="preserve">:  As per UNDP requirements outlined in the UNDP POPP, the Project Board will agree on a budget tolerance level for each plan under the overall annual work plan allowing the project </w:t>
      </w:r>
      <w:r w:rsidR="00201734">
        <w:rPr>
          <w:rFonts w:asciiTheme="majorHAnsi" w:hAnsiTheme="majorHAnsi" w:cstheme="majorHAnsi"/>
          <w:sz w:val="20"/>
          <w:szCs w:val="20"/>
          <w:lang w:val="en-US"/>
        </w:rPr>
        <w:t>O</w:t>
      </w:r>
      <w:r w:rsidR="00201734" w:rsidRPr="005516CD">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 xml:space="preserve">to expend up to the tolerance level beyond the approved project budget amount for the year without requiring a revision from the Project Board. Should the following deviations occur, the Project </w:t>
      </w:r>
      <w:r w:rsidR="00201734">
        <w:rPr>
          <w:rFonts w:asciiTheme="majorHAnsi" w:hAnsiTheme="majorHAnsi" w:cstheme="majorHAnsi"/>
          <w:sz w:val="20"/>
          <w:szCs w:val="20"/>
          <w:lang w:val="en-US"/>
        </w:rPr>
        <w:t xml:space="preserve">Officer </w:t>
      </w:r>
      <w:r w:rsidR="00D56A94" w:rsidRPr="005516CD">
        <w:rPr>
          <w:rFonts w:asciiTheme="majorHAnsi" w:hAnsiTheme="majorHAnsi" w:cstheme="majorHAnsi"/>
          <w:sz w:val="20"/>
          <w:szCs w:val="20"/>
          <w:lang w:val="en-US"/>
        </w:rPr>
        <w:t xml:space="preserve"> </w:t>
      </w:r>
      <w:r w:rsidRPr="005516CD">
        <w:rPr>
          <w:rFonts w:asciiTheme="majorHAnsi" w:hAnsiTheme="majorHAnsi" w:cstheme="majorHAnsi"/>
          <w:sz w:val="20"/>
          <w:szCs w:val="20"/>
          <w:lang w:val="en-US"/>
        </w:rPr>
        <w:t xml:space="preserve">and UNDP Country Office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 </w:t>
      </w:r>
    </w:p>
    <w:p w14:paraId="3425E416" w14:textId="77777777" w:rsidR="00E45267" w:rsidRPr="005516CD" w:rsidRDefault="00E45267" w:rsidP="00AC6B85">
      <w:pPr>
        <w:numPr>
          <w:ilvl w:val="0"/>
          <w:numId w:val="87"/>
        </w:numPr>
        <w:tabs>
          <w:tab w:val="clear" w:pos="720"/>
          <w:tab w:val="num" w:pos="-284"/>
          <w:tab w:val="left" w:pos="426"/>
        </w:tabs>
        <w:spacing w:after="120"/>
        <w:ind w:left="0" w:right="96" w:firstLine="0"/>
        <w:jc w:val="both"/>
        <w:rPr>
          <w:rStyle w:val="None"/>
          <w:rFonts w:asciiTheme="majorHAnsi" w:hAnsiTheme="majorHAnsi" w:cstheme="majorHAnsi"/>
          <w:sz w:val="20"/>
          <w:szCs w:val="20"/>
          <w:u w:val="single"/>
        </w:rPr>
      </w:pPr>
      <w:r w:rsidRPr="005516CD">
        <w:rPr>
          <w:rFonts w:asciiTheme="majorHAnsi" w:hAnsiTheme="majorHAnsi" w:cstheme="majorHAnsi"/>
          <w:sz w:val="20"/>
          <w:szCs w:val="20"/>
          <w:lang w:val="en-US"/>
        </w:rPr>
        <w:t xml:space="preserve">Any over expenditure </w:t>
      </w:r>
      <w:r w:rsidRPr="005516CD">
        <w:rPr>
          <w:rStyle w:val="Hyperlink2"/>
          <w:rFonts w:asciiTheme="majorHAnsi" w:hAnsiTheme="majorHAnsi" w:cstheme="majorHAnsi"/>
          <w:color w:val="auto"/>
          <w:sz w:val="20"/>
          <w:szCs w:val="20"/>
        </w:rPr>
        <w:t>incurred</w:t>
      </w:r>
      <w:r w:rsidRPr="005516CD">
        <w:rPr>
          <w:rFonts w:asciiTheme="majorHAnsi" w:hAnsiTheme="majorHAnsi" w:cstheme="majorHAnsi"/>
          <w:sz w:val="20"/>
          <w:szCs w:val="20"/>
          <w:lang w:val="en-US"/>
        </w:rPr>
        <w:t xml:space="preserve"> beyond the available GEF grant amount will be absorbed by non-GEF resources (e.g. UNDP TRAC or cash co-financing).</w:t>
      </w:r>
      <w:r w:rsidRPr="005516CD">
        <w:rPr>
          <w:rStyle w:val="None"/>
          <w:rFonts w:asciiTheme="majorHAnsi" w:hAnsiTheme="majorHAnsi" w:cstheme="majorHAnsi"/>
          <w:sz w:val="20"/>
          <w:szCs w:val="20"/>
          <w:u w:val="single"/>
        </w:rPr>
        <w:t xml:space="preserve"> </w:t>
      </w:r>
    </w:p>
    <w:p w14:paraId="2CABE8F9" w14:textId="77777777" w:rsidR="00E45267" w:rsidRPr="005516CD" w:rsidRDefault="00E45267" w:rsidP="00AC6B85">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Refund to Donor:</w:t>
      </w:r>
      <w:r w:rsidRPr="005516CD">
        <w:rPr>
          <w:rFonts w:asciiTheme="majorHAnsi" w:hAnsiTheme="majorHAnsi" w:cstheme="majorHAnsi"/>
          <w:sz w:val="20"/>
          <w:szCs w:val="20"/>
          <w:lang w:val="en-US"/>
        </w:rPr>
        <w:t xml:space="preserve">  Should a refund of unspent funds to the GEF be necessary, this will be managed directly by the UNDP-GEF Unit in New York. </w:t>
      </w:r>
    </w:p>
    <w:p w14:paraId="5A156F26" w14:textId="77777777" w:rsidR="00E45267" w:rsidRPr="005516CD" w:rsidRDefault="00E45267" w:rsidP="00AC6B85">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Project Closure</w:t>
      </w:r>
      <w:r w:rsidRPr="005516CD">
        <w:rPr>
          <w:rFonts w:asciiTheme="majorHAnsi" w:hAnsiTheme="majorHAnsi" w:cstheme="majorHAnsi"/>
          <w:sz w:val="20"/>
          <w:szCs w:val="20"/>
          <w:lang w:val="en-US"/>
        </w:rPr>
        <w:t xml:space="preserve">:  Project closure will be </w:t>
      </w:r>
      <w:r w:rsidRPr="005516CD">
        <w:rPr>
          <w:rStyle w:val="Hyperlink2"/>
          <w:rFonts w:asciiTheme="majorHAnsi" w:hAnsiTheme="majorHAnsi" w:cstheme="majorHAnsi"/>
          <w:color w:val="auto"/>
          <w:sz w:val="20"/>
          <w:szCs w:val="20"/>
          <w:lang w:val="en-US"/>
        </w:rPr>
        <w:t>conducted</w:t>
      </w:r>
      <w:r w:rsidRPr="005516CD">
        <w:rPr>
          <w:rFonts w:asciiTheme="majorHAnsi" w:hAnsiTheme="majorHAnsi" w:cstheme="majorHAnsi"/>
          <w:sz w:val="20"/>
          <w:szCs w:val="20"/>
          <w:lang w:val="en-US"/>
        </w:rPr>
        <w:t xml:space="preserve"> as per UNDP requirements outlined in the UNDP POPP.</w:t>
      </w:r>
      <w:r w:rsidRPr="005516CD">
        <w:rPr>
          <w:rStyle w:val="None"/>
          <w:rFonts w:asciiTheme="majorHAnsi" w:eastAsia="Arial" w:hAnsiTheme="majorHAnsi" w:cstheme="majorHAnsi"/>
          <w:sz w:val="20"/>
          <w:szCs w:val="20"/>
          <w:vertAlign w:val="superscript"/>
        </w:rPr>
        <w:footnoteReference w:id="81"/>
      </w:r>
      <w:r w:rsidRPr="005516CD">
        <w:rPr>
          <w:rFonts w:asciiTheme="majorHAnsi" w:hAnsiTheme="majorHAnsi" w:cstheme="majorHAnsi"/>
          <w:sz w:val="20"/>
          <w:szCs w:val="20"/>
          <w:lang w:val="en-US"/>
        </w:rPr>
        <w:t xml:space="preserve"> On an exceptional basis only, a no-cost extension beyond the initial duration of the project will be sought from in-country UNDP colleagues and then the UNDP-GEF Executive Coordinator. </w:t>
      </w:r>
    </w:p>
    <w:p w14:paraId="0355E4B8" w14:textId="77777777" w:rsidR="00E45267" w:rsidRPr="005516CD" w:rsidRDefault="00E45267" w:rsidP="00AC6B85">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Operational completion</w:t>
      </w:r>
      <w:r w:rsidRPr="005516CD">
        <w:rPr>
          <w:rFonts w:asciiTheme="majorHAnsi" w:hAnsiTheme="majorHAnsi" w:cstheme="majorHAnsi"/>
          <w:sz w:val="20"/>
          <w:szCs w:val="20"/>
          <w:lang w:val="en-US"/>
        </w:rPr>
        <w:t xml:space="preserve">: The project will be operationally completed when the last GEF-financed inputs have been provided and the related activities have been completed. This includes the final clearance of the Terminal Evaluation Report (that will be available in English) and the corresponding management response, and the end-of-project review Project Board meeting. The Implementing Partner through a Project Board decision will notify the UNDP Country Office when operational closure has been completed. At this time, the relevant parties will have already agreed and confirmed in writing on the arrangements for the disposal of any equipment that is still the property of UNDP. </w:t>
      </w:r>
    </w:p>
    <w:p w14:paraId="11340724" w14:textId="77777777" w:rsidR="00DE6C73" w:rsidRPr="005516CD" w:rsidRDefault="00DE6C73" w:rsidP="0083064E">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rPr>
      </w:pPr>
      <w:bookmarkStart w:id="87" w:name="_Hlk8052865"/>
      <w:r w:rsidRPr="005516CD">
        <w:rPr>
          <w:rFonts w:asciiTheme="majorHAnsi" w:hAnsiTheme="majorHAnsi" w:cstheme="majorHAnsi"/>
          <w:sz w:val="20"/>
          <w:szCs w:val="20"/>
          <w:lang w:val="en-US"/>
        </w:rPr>
        <w:t>Transfer</w:t>
      </w:r>
      <w:r w:rsidRPr="005516CD">
        <w:rPr>
          <w:rFonts w:asciiTheme="majorHAnsi" w:hAnsiTheme="majorHAnsi" w:cstheme="majorHAnsi"/>
          <w:sz w:val="20"/>
          <w:szCs w:val="20"/>
          <w:u w:val="single"/>
        </w:rPr>
        <w:t xml:space="preserve"> or disposal of assets</w:t>
      </w:r>
      <w:r w:rsidRPr="005516CD">
        <w:rPr>
          <w:rFonts w:asciiTheme="majorHAnsi" w:hAnsiTheme="majorHAnsi" w:cstheme="majorHAnsi"/>
          <w:sz w:val="20"/>
          <w:szCs w:val="20"/>
        </w:rPr>
        <w:t xml:space="preserve">: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w:t>
      </w:r>
      <w:r w:rsidR="00642005" w:rsidRPr="005516CD">
        <w:rPr>
          <w:rFonts w:asciiTheme="majorHAnsi" w:hAnsiTheme="majorHAnsi" w:cstheme="majorHAnsi"/>
          <w:sz w:val="20"/>
          <w:szCs w:val="20"/>
        </w:rPr>
        <w:t>It is highly recommended that assets are transferred to the technical direc</w:t>
      </w:r>
      <w:r w:rsidR="009162ED" w:rsidRPr="005516CD">
        <w:rPr>
          <w:rFonts w:asciiTheme="majorHAnsi" w:hAnsiTheme="majorHAnsi" w:cstheme="majorHAnsi"/>
          <w:sz w:val="20"/>
          <w:szCs w:val="20"/>
        </w:rPr>
        <w:t xml:space="preserve">torate that was in charge of the project </w:t>
      </w:r>
      <w:proofErr w:type="gramStart"/>
      <w:r w:rsidR="009162ED" w:rsidRPr="005516CD">
        <w:rPr>
          <w:rFonts w:asciiTheme="majorHAnsi" w:hAnsiTheme="majorHAnsi" w:cstheme="majorHAnsi"/>
          <w:sz w:val="20"/>
          <w:szCs w:val="20"/>
        </w:rPr>
        <w:t>technical  implementation</w:t>
      </w:r>
      <w:proofErr w:type="gramEnd"/>
      <w:r w:rsidR="009162ED" w:rsidRPr="005516CD">
        <w:rPr>
          <w:rFonts w:asciiTheme="majorHAnsi" w:hAnsiTheme="majorHAnsi" w:cstheme="majorHAnsi"/>
          <w:sz w:val="20"/>
          <w:szCs w:val="20"/>
        </w:rPr>
        <w:t xml:space="preserve">. </w:t>
      </w:r>
      <w:r w:rsidRPr="005516CD">
        <w:rPr>
          <w:rFonts w:asciiTheme="majorHAnsi" w:hAnsiTheme="majorHAnsi" w:cstheme="majorHAnsi"/>
          <w:sz w:val="20"/>
          <w:szCs w:val="20"/>
        </w:rPr>
        <w:t xml:space="preserve">Assets may be transferred to the government for project activities managed by a national institution at any time during the life of a project. In all cases of transfer, a transfer document must be prepared and kept on file. </w:t>
      </w:r>
    </w:p>
    <w:bookmarkEnd w:id="87"/>
    <w:p w14:paraId="1402AE92" w14:textId="77777777" w:rsidR="00E45267" w:rsidRPr="005516CD" w:rsidRDefault="00E45267" w:rsidP="00AC6B85">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Style w:val="None"/>
          <w:rFonts w:asciiTheme="majorHAnsi" w:hAnsiTheme="majorHAnsi" w:cstheme="majorHAnsi"/>
          <w:sz w:val="20"/>
          <w:szCs w:val="20"/>
          <w:u w:val="single"/>
        </w:rPr>
        <w:t>Financial completion</w:t>
      </w:r>
      <w:r w:rsidRPr="005516CD">
        <w:rPr>
          <w:rFonts w:asciiTheme="majorHAnsi" w:hAnsiTheme="majorHAnsi" w:cstheme="majorHAnsi"/>
          <w:sz w:val="20"/>
          <w:szCs w:val="20"/>
          <w:lang w:val="en-US"/>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45EFDD3F" w14:textId="77777777" w:rsidR="00E45267" w:rsidRPr="005516CD" w:rsidRDefault="00E45267" w:rsidP="00AC6B85">
      <w:pPr>
        <w:numPr>
          <w:ilvl w:val="0"/>
          <w:numId w:val="87"/>
        </w:numPr>
        <w:tabs>
          <w:tab w:val="clear" w:pos="720"/>
          <w:tab w:val="num" w:pos="-284"/>
          <w:tab w:val="left" w:pos="426"/>
        </w:tabs>
        <w:spacing w:after="120"/>
        <w:ind w:left="0" w:right="96" w:firstLine="0"/>
        <w:jc w:val="both"/>
        <w:rPr>
          <w:rFonts w:asciiTheme="majorHAnsi" w:hAnsiTheme="majorHAnsi" w:cstheme="majorHAnsi"/>
          <w:sz w:val="20"/>
          <w:szCs w:val="20"/>
          <w:lang w:val="en-US"/>
        </w:rPr>
      </w:pPr>
      <w:r w:rsidRPr="005516CD">
        <w:rPr>
          <w:rFonts w:asciiTheme="majorHAnsi" w:hAnsiTheme="majorHAnsi" w:cstheme="majorHAnsi"/>
          <w:sz w:val="20"/>
          <w:szCs w:val="20"/>
          <w:lang w:val="en-US"/>
        </w:rPr>
        <w:t>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1E079B4C" w14:textId="77777777" w:rsidR="001771FE" w:rsidRPr="005516CD" w:rsidRDefault="001771FE" w:rsidP="007B146B">
      <w:pPr>
        <w:pStyle w:val="Body"/>
        <w:spacing w:after="0"/>
        <w:jc w:val="left"/>
        <w:rPr>
          <w:rFonts w:asciiTheme="majorHAnsi" w:hAnsiTheme="majorHAnsi" w:cstheme="majorHAnsi"/>
          <w:color w:val="auto"/>
        </w:rPr>
        <w:sectPr w:rsidR="001771FE" w:rsidRPr="005516CD">
          <w:headerReference w:type="even" r:id="rId76"/>
          <w:headerReference w:type="default" r:id="rId77"/>
          <w:footerReference w:type="default" r:id="rId78"/>
          <w:headerReference w:type="first" r:id="rId79"/>
          <w:footerReference w:type="first" r:id="rId80"/>
          <w:pgSz w:w="11900" w:h="16840"/>
          <w:pgMar w:top="1440" w:right="1440" w:bottom="1440" w:left="1440" w:header="708" w:footer="432" w:gutter="0"/>
          <w:cols w:space="720"/>
        </w:sectPr>
      </w:pPr>
    </w:p>
    <w:p w14:paraId="24DD6B2F" w14:textId="77777777" w:rsidR="001771FE" w:rsidRPr="005516CD" w:rsidRDefault="00045B04" w:rsidP="003B2210">
      <w:pPr>
        <w:pStyle w:val="Heading2"/>
        <w:numPr>
          <w:ilvl w:val="0"/>
          <w:numId w:val="164"/>
        </w:numPr>
        <w:spacing w:after="120"/>
        <w:rPr>
          <w:rFonts w:ascii="Calibri" w:eastAsia="Calibri" w:hAnsi="Calibri" w:cs="Calibri"/>
          <w:caps/>
          <w:sz w:val="22"/>
          <w:lang w:val="en-US"/>
        </w:rPr>
      </w:pPr>
      <w:bookmarkStart w:id="88" w:name="_Toc8933102"/>
      <w:bookmarkEnd w:id="79"/>
      <w:r w:rsidRPr="005516CD">
        <w:rPr>
          <w:rFonts w:ascii="Calibri" w:eastAsia="Calibri" w:hAnsi="Calibri" w:cs="Calibri"/>
          <w:caps/>
          <w:sz w:val="22"/>
          <w:lang w:val="en-US"/>
        </w:rPr>
        <w:t>Total Budget and Workplan</w:t>
      </w:r>
      <w:bookmarkEnd w:id="88"/>
    </w:p>
    <w:tbl>
      <w:tblPr>
        <w:tblW w:w="15168"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083"/>
        <w:gridCol w:w="4147"/>
        <w:gridCol w:w="3638"/>
        <w:gridCol w:w="4300"/>
      </w:tblGrid>
      <w:tr w:rsidR="00302513" w:rsidRPr="005516CD" w14:paraId="12A8B7D2" w14:textId="77777777" w:rsidTr="00A6443E">
        <w:trPr>
          <w:cantSplit/>
        </w:trPr>
        <w:tc>
          <w:tcPr>
            <w:tcW w:w="15168" w:type="dxa"/>
            <w:gridSpan w:val="4"/>
            <w:shd w:val="clear" w:color="auto" w:fill="D9D9D9"/>
            <w:noWrap/>
            <w:vAlign w:val="bottom"/>
          </w:tcPr>
          <w:p w14:paraId="1F2612B7" w14:textId="77777777" w:rsidR="00302513" w:rsidRPr="005516CD" w:rsidRDefault="00302513" w:rsidP="007B146B">
            <w:pPr>
              <w:rPr>
                <w:rFonts w:asciiTheme="majorHAnsi" w:hAnsiTheme="majorHAnsi"/>
                <w:b/>
                <w:bCs/>
                <w:szCs w:val="22"/>
              </w:rPr>
            </w:pPr>
            <w:r w:rsidRPr="005516CD">
              <w:rPr>
                <w:rFonts w:asciiTheme="majorHAnsi" w:hAnsiTheme="majorHAnsi"/>
                <w:b/>
                <w:bCs/>
                <w:szCs w:val="22"/>
              </w:rPr>
              <w:t>Total Budget and Work Plan</w:t>
            </w:r>
          </w:p>
        </w:tc>
      </w:tr>
      <w:tr w:rsidR="00302513" w:rsidRPr="005516CD" w14:paraId="684A6671" w14:textId="77777777" w:rsidTr="00A6443E">
        <w:trPr>
          <w:cantSplit/>
        </w:trPr>
        <w:tc>
          <w:tcPr>
            <w:tcW w:w="3083" w:type="dxa"/>
            <w:shd w:val="clear" w:color="auto" w:fill="auto"/>
            <w:noWrap/>
            <w:vAlign w:val="bottom"/>
          </w:tcPr>
          <w:p w14:paraId="6DA0B5BF" w14:textId="77777777" w:rsidR="00302513" w:rsidRPr="005516CD" w:rsidRDefault="00302513" w:rsidP="007B146B">
            <w:pPr>
              <w:rPr>
                <w:rFonts w:asciiTheme="majorHAnsi" w:hAnsiTheme="majorHAnsi"/>
                <w:b/>
                <w:bCs/>
                <w:szCs w:val="22"/>
              </w:rPr>
            </w:pPr>
            <w:r w:rsidRPr="005516CD">
              <w:rPr>
                <w:rFonts w:asciiTheme="majorHAnsi" w:hAnsiTheme="majorHAnsi" w:cs="Arial"/>
                <w:bCs/>
                <w:color w:val="000000"/>
                <w:sz w:val="18"/>
                <w:szCs w:val="16"/>
                <w:lang w:eastAsia="zh-CN"/>
              </w:rPr>
              <w:t>Atlas</w:t>
            </w:r>
            <w:r w:rsidRPr="005516CD">
              <w:rPr>
                <w:rStyle w:val="FootnoteReference"/>
                <w:rFonts w:asciiTheme="majorHAnsi" w:hAnsiTheme="majorHAnsi"/>
                <w:bCs/>
                <w:szCs w:val="16"/>
                <w:lang w:eastAsia="zh-CN"/>
              </w:rPr>
              <w:footnoteReference w:id="82"/>
            </w:r>
            <w:r w:rsidRPr="005516CD">
              <w:rPr>
                <w:rFonts w:asciiTheme="majorHAnsi" w:hAnsiTheme="majorHAnsi" w:cs="Arial"/>
                <w:bCs/>
                <w:color w:val="000000"/>
                <w:sz w:val="18"/>
                <w:szCs w:val="16"/>
                <w:lang w:eastAsia="zh-CN"/>
              </w:rPr>
              <w:t xml:space="preserve"> Proposal or Award ID:  </w:t>
            </w:r>
          </w:p>
        </w:tc>
        <w:tc>
          <w:tcPr>
            <w:tcW w:w="4147" w:type="dxa"/>
            <w:shd w:val="clear" w:color="auto" w:fill="auto"/>
            <w:vAlign w:val="bottom"/>
          </w:tcPr>
          <w:p w14:paraId="49696502" w14:textId="77777777" w:rsidR="00302513" w:rsidRPr="005516CD" w:rsidRDefault="00BF2D86" w:rsidP="007B146B">
            <w:pPr>
              <w:jc w:val="both"/>
              <w:rPr>
                <w:rFonts w:asciiTheme="majorHAnsi" w:eastAsia="Times New Roman" w:hAnsiTheme="majorHAnsi" w:cstheme="majorHAnsi"/>
                <w:color w:val="000000"/>
                <w:sz w:val="18"/>
                <w:szCs w:val="18"/>
              </w:rPr>
            </w:pPr>
            <w:r w:rsidRPr="005516CD">
              <w:rPr>
                <w:rFonts w:asciiTheme="majorHAnsi" w:eastAsia="Times New Roman" w:hAnsiTheme="majorHAnsi" w:cstheme="majorHAnsi"/>
                <w:color w:val="000000"/>
                <w:sz w:val="18"/>
                <w:szCs w:val="18"/>
              </w:rPr>
              <w:t>00118747</w:t>
            </w:r>
          </w:p>
        </w:tc>
        <w:tc>
          <w:tcPr>
            <w:tcW w:w="3638" w:type="dxa"/>
            <w:shd w:val="clear" w:color="auto" w:fill="auto"/>
            <w:vAlign w:val="center"/>
          </w:tcPr>
          <w:p w14:paraId="6B54EB0B" w14:textId="77777777" w:rsidR="00302513" w:rsidRPr="005516CD" w:rsidRDefault="00302513" w:rsidP="007B146B">
            <w:pPr>
              <w:jc w:val="both"/>
              <w:rPr>
                <w:rFonts w:asciiTheme="majorHAnsi" w:eastAsia="Times New Roman" w:hAnsiTheme="majorHAnsi" w:cstheme="majorHAnsi"/>
                <w:color w:val="000000"/>
                <w:sz w:val="18"/>
                <w:szCs w:val="18"/>
              </w:rPr>
            </w:pPr>
            <w:r w:rsidRPr="005516CD">
              <w:rPr>
                <w:rFonts w:asciiTheme="majorHAnsi" w:eastAsia="Times New Roman" w:hAnsiTheme="majorHAnsi" w:cstheme="majorHAnsi"/>
                <w:color w:val="000000"/>
                <w:sz w:val="18"/>
                <w:szCs w:val="18"/>
              </w:rPr>
              <w:t>Atlas Primary Output Project ID:</w:t>
            </w:r>
          </w:p>
        </w:tc>
        <w:tc>
          <w:tcPr>
            <w:tcW w:w="4300" w:type="dxa"/>
            <w:shd w:val="clear" w:color="auto" w:fill="auto"/>
            <w:vAlign w:val="bottom"/>
          </w:tcPr>
          <w:p w14:paraId="33CA05B9" w14:textId="77777777" w:rsidR="00302513" w:rsidRPr="005516CD" w:rsidRDefault="00BF2D86" w:rsidP="007B146B">
            <w:pPr>
              <w:jc w:val="both"/>
              <w:rPr>
                <w:rFonts w:asciiTheme="majorHAnsi" w:eastAsia="Times New Roman" w:hAnsiTheme="majorHAnsi" w:cstheme="majorHAnsi"/>
                <w:color w:val="000000"/>
                <w:sz w:val="18"/>
                <w:szCs w:val="18"/>
              </w:rPr>
            </w:pPr>
            <w:r w:rsidRPr="005516CD">
              <w:rPr>
                <w:rFonts w:asciiTheme="majorHAnsi" w:eastAsia="Times New Roman" w:hAnsiTheme="majorHAnsi" w:cstheme="majorHAnsi"/>
                <w:color w:val="000000"/>
                <w:sz w:val="18"/>
                <w:szCs w:val="18"/>
              </w:rPr>
              <w:t>00115449</w:t>
            </w:r>
          </w:p>
        </w:tc>
      </w:tr>
      <w:tr w:rsidR="00302513" w:rsidRPr="005516CD" w14:paraId="6D389652" w14:textId="77777777" w:rsidTr="00A6443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tcPr>
          <w:p w14:paraId="0948EDE5" w14:textId="77777777" w:rsidR="00302513" w:rsidRPr="005516CD" w:rsidRDefault="00302513" w:rsidP="007B146B">
            <w:pPr>
              <w:rPr>
                <w:rFonts w:asciiTheme="majorHAnsi" w:hAnsiTheme="majorHAnsi" w:cs="Arial"/>
                <w:bCs/>
                <w:color w:val="000000"/>
                <w:sz w:val="18"/>
                <w:szCs w:val="16"/>
                <w:lang w:eastAsia="zh-CN"/>
              </w:rPr>
            </w:pPr>
            <w:r w:rsidRPr="005516CD">
              <w:rPr>
                <w:rFonts w:asciiTheme="majorHAnsi" w:hAnsiTheme="majorHAnsi" w:cs="Arial"/>
                <w:bCs/>
                <w:color w:val="000000"/>
                <w:sz w:val="18"/>
                <w:szCs w:val="16"/>
                <w:lang w:eastAsia="zh-CN"/>
              </w:rPr>
              <w:t>Atlas Proposal or Award Title:</w:t>
            </w:r>
          </w:p>
        </w:tc>
        <w:tc>
          <w:tcPr>
            <w:tcW w:w="12085" w:type="dxa"/>
            <w:gridSpan w:val="3"/>
            <w:tcBorders>
              <w:top w:val="single" w:sz="4" w:space="0" w:color="auto"/>
              <w:left w:val="nil"/>
              <w:bottom w:val="single" w:sz="4" w:space="0" w:color="auto"/>
              <w:right w:val="single" w:sz="4" w:space="0" w:color="000000"/>
            </w:tcBorders>
            <w:shd w:val="clear" w:color="auto" w:fill="auto"/>
            <w:noWrap/>
            <w:vAlign w:val="center"/>
          </w:tcPr>
          <w:p w14:paraId="4DDB32CC" w14:textId="77777777" w:rsidR="00302513" w:rsidRPr="005516CD" w:rsidRDefault="00761D6B" w:rsidP="007B146B">
            <w:pPr>
              <w:jc w:val="both"/>
              <w:rPr>
                <w:rFonts w:asciiTheme="majorHAnsi" w:eastAsia="Times New Roman" w:hAnsiTheme="majorHAnsi" w:cstheme="majorHAnsi"/>
                <w:color w:val="000000"/>
                <w:sz w:val="18"/>
                <w:szCs w:val="18"/>
              </w:rPr>
            </w:pPr>
            <w:r w:rsidRPr="005516CD">
              <w:rPr>
                <w:rFonts w:asciiTheme="majorHAnsi" w:eastAsia="Times New Roman" w:hAnsiTheme="majorHAnsi" w:cstheme="majorHAnsi"/>
                <w:color w:val="000000"/>
                <w:sz w:val="18"/>
                <w:szCs w:val="18"/>
              </w:rPr>
              <w:t xml:space="preserve">Sustainable management of wooded production landscapes for biodiversity conservation  </w:t>
            </w:r>
          </w:p>
        </w:tc>
      </w:tr>
      <w:tr w:rsidR="00302513" w:rsidRPr="005516CD" w14:paraId="3937723B" w14:textId="77777777" w:rsidTr="00A6443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hideMark/>
          </w:tcPr>
          <w:p w14:paraId="2EEBBC4E" w14:textId="77777777" w:rsidR="00302513" w:rsidRPr="005516CD" w:rsidRDefault="00302513" w:rsidP="007B146B">
            <w:pPr>
              <w:rPr>
                <w:rFonts w:asciiTheme="majorHAnsi" w:hAnsiTheme="majorHAnsi" w:cs="Arial"/>
                <w:bCs/>
                <w:color w:val="000000"/>
                <w:sz w:val="18"/>
                <w:szCs w:val="16"/>
                <w:lang w:eastAsia="zh-CN"/>
              </w:rPr>
            </w:pPr>
            <w:r w:rsidRPr="005516CD">
              <w:rPr>
                <w:rFonts w:asciiTheme="majorHAnsi" w:hAnsiTheme="majorHAnsi" w:cs="Arial"/>
                <w:bCs/>
                <w:color w:val="000000"/>
                <w:sz w:val="18"/>
                <w:szCs w:val="16"/>
                <w:lang w:eastAsia="zh-CN"/>
              </w:rPr>
              <w:t>Atlas Business Unit:</w:t>
            </w:r>
          </w:p>
        </w:tc>
        <w:tc>
          <w:tcPr>
            <w:tcW w:w="1208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4A3C132" w14:textId="77777777" w:rsidR="00302513" w:rsidRPr="005516CD" w:rsidRDefault="00DC0A21" w:rsidP="007B146B">
            <w:pPr>
              <w:jc w:val="both"/>
              <w:rPr>
                <w:rFonts w:asciiTheme="majorHAnsi" w:eastAsia="Times New Roman" w:hAnsiTheme="majorHAnsi" w:cstheme="majorHAnsi"/>
                <w:color w:val="000000"/>
                <w:sz w:val="18"/>
                <w:szCs w:val="18"/>
              </w:rPr>
            </w:pPr>
            <w:r w:rsidRPr="005516CD">
              <w:rPr>
                <w:rFonts w:asciiTheme="majorHAnsi" w:eastAsia="Times New Roman" w:hAnsiTheme="majorHAnsi" w:cstheme="majorHAnsi"/>
                <w:color w:val="000000"/>
                <w:sz w:val="18"/>
                <w:szCs w:val="18"/>
              </w:rPr>
              <w:t>HTI10</w:t>
            </w:r>
          </w:p>
        </w:tc>
      </w:tr>
      <w:tr w:rsidR="00302513" w:rsidRPr="005516CD" w14:paraId="4976B51E" w14:textId="77777777" w:rsidTr="00A6443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hideMark/>
          </w:tcPr>
          <w:p w14:paraId="1F261DD3" w14:textId="77777777" w:rsidR="00302513" w:rsidRPr="005516CD" w:rsidRDefault="00302513" w:rsidP="007B146B">
            <w:pPr>
              <w:rPr>
                <w:rFonts w:asciiTheme="majorHAnsi" w:hAnsiTheme="majorHAnsi" w:cs="Arial"/>
                <w:bCs/>
                <w:color w:val="000000"/>
                <w:sz w:val="18"/>
                <w:szCs w:val="16"/>
                <w:lang w:eastAsia="zh-CN"/>
              </w:rPr>
            </w:pPr>
            <w:r w:rsidRPr="005516CD">
              <w:rPr>
                <w:rFonts w:asciiTheme="majorHAnsi" w:hAnsiTheme="majorHAnsi" w:cs="Arial"/>
                <w:bCs/>
                <w:color w:val="000000"/>
                <w:sz w:val="18"/>
                <w:szCs w:val="16"/>
                <w:lang w:eastAsia="zh-CN"/>
              </w:rPr>
              <w:t>Atlas Primary Output Project Title:</w:t>
            </w:r>
          </w:p>
        </w:tc>
        <w:tc>
          <w:tcPr>
            <w:tcW w:w="1208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452D9B5" w14:textId="77777777" w:rsidR="00302513" w:rsidRPr="005516CD" w:rsidRDefault="00761D6B" w:rsidP="007B146B">
            <w:pPr>
              <w:jc w:val="both"/>
              <w:rPr>
                <w:rFonts w:asciiTheme="majorHAnsi" w:eastAsia="Times New Roman" w:hAnsiTheme="majorHAnsi" w:cstheme="majorHAnsi"/>
                <w:color w:val="000000"/>
                <w:sz w:val="18"/>
                <w:szCs w:val="18"/>
              </w:rPr>
            </w:pPr>
            <w:r w:rsidRPr="005516CD">
              <w:rPr>
                <w:rFonts w:asciiTheme="majorHAnsi" w:eastAsia="Times New Roman" w:hAnsiTheme="majorHAnsi" w:cstheme="majorHAnsi"/>
                <w:color w:val="000000"/>
                <w:sz w:val="18"/>
                <w:szCs w:val="18"/>
              </w:rPr>
              <w:t xml:space="preserve">Sustainable management of wooded production landscapes for biodiversity conservation  </w:t>
            </w:r>
          </w:p>
        </w:tc>
      </w:tr>
      <w:tr w:rsidR="00302513" w:rsidRPr="005516CD" w14:paraId="1CD37FA1" w14:textId="77777777" w:rsidTr="00A6443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noWrap/>
            <w:vAlign w:val="center"/>
            <w:hideMark/>
          </w:tcPr>
          <w:p w14:paraId="6A0F1ADC" w14:textId="77777777" w:rsidR="00302513" w:rsidRPr="005516CD" w:rsidRDefault="00302513" w:rsidP="007B146B">
            <w:pPr>
              <w:rPr>
                <w:rFonts w:asciiTheme="majorHAnsi" w:hAnsiTheme="majorHAnsi" w:cs="Arial"/>
                <w:bCs/>
                <w:color w:val="000000"/>
                <w:sz w:val="18"/>
                <w:szCs w:val="16"/>
                <w:lang w:eastAsia="zh-CN"/>
              </w:rPr>
            </w:pPr>
            <w:r w:rsidRPr="005516CD">
              <w:rPr>
                <w:rFonts w:asciiTheme="majorHAnsi" w:hAnsiTheme="majorHAnsi" w:cs="Arial"/>
                <w:bCs/>
                <w:color w:val="000000"/>
                <w:sz w:val="18"/>
                <w:szCs w:val="16"/>
                <w:lang w:eastAsia="zh-CN"/>
              </w:rPr>
              <w:t>UNDP-GEF PIMS No.:</w:t>
            </w:r>
          </w:p>
        </w:tc>
        <w:tc>
          <w:tcPr>
            <w:tcW w:w="12085" w:type="dxa"/>
            <w:gridSpan w:val="3"/>
            <w:tcBorders>
              <w:top w:val="single" w:sz="4" w:space="0" w:color="auto"/>
              <w:left w:val="nil"/>
              <w:bottom w:val="single" w:sz="4" w:space="0" w:color="auto"/>
              <w:right w:val="single" w:sz="4" w:space="0" w:color="auto"/>
            </w:tcBorders>
            <w:shd w:val="clear" w:color="auto" w:fill="auto"/>
            <w:noWrap/>
            <w:vAlign w:val="center"/>
            <w:hideMark/>
          </w:tcPr>
          <w:p w14:paraId="60865764" w14:textId="77777777" w:rsidR="00302513" w:rsidRPr="005516CD" w:rsidRDefault="00302513" w:rsidP="007B146B">
            <w:pPr>
              <w:jc w:val="both"/>
              <w:rPr>
                <w:rFonts w:asciiTheme="majorHAnsi" w:eastAsia="Times New Roman" w:hAnsiTheme="majorHAnsi" w:cstheme="majorHAnsi"/>
                <w:color w:val="000000"/>
                <w:sz w:val="18"/>
                <w:szCs w:val="18"/>
              </w:rPr>
            </w:pPr>
            <w:r w:rsidRPr="005516CD">
              <w:rPr>
                <w:rFonts w:asciiTheme="majorHAnsi" w:eastAsia="Times New Roman" w:hAnsiTheme="majorHAnsi" w:cstheme="majorHAnsi"/>
                <w:color w:val="000000"/>
                <w:sz w:val="18"/>
                <w:szCs w:val="18"/>
              </w:rPr>
              <w:t>5</w:t>
            </w:r>
            <w:r w:rsidR="00761D6B" w:rsidRPr="005516CD">
              <w:rPr>
                <w:rFonts w:asciiTheme="majorHAnsi" w:eastAsia="Times New Roman" w:hAnsiTheme="majorHAnsi" w:cstheme="majorHAnsi"/>
                <w:color w:val="000000"/>
                <w:sz w:val="18"/>
                <w:szCs w:val="18"/>
              </w:rPr>
              <w:t>765</w:t>
            </w:r>
          </w:p>
        </w:tc>
      </w:tr>
      <w:tr w:rsidR="00302513" w:rsidRPr="005516CD" w14:paraId="5DB180B9" w14:textId="77777777" w:rsidTr="00A6443E">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083" w:type="dxa"/>
            <w:tcBorders>
              <w:top w:val="nil"/>
              <w:left w:val="single" w:sz="4" w:space="0" w:color="auto"/>
              <w:bottom w:val="single" w:sz="4" w:space="0" w:color="auto"/>
              <w:right w:val="single" w:sz="4" w:space="0" w:color="auto"/>
            </w:tcBorders>
            <w:shd w:val="clear" w:color="auto" w:fill="auto"/>
            <w:vAlign w:val="center"/>
            <w:hideMark/>
          </w:tcPr>
          <w:p w14:paraId="78D41754" w14:textId="77777777" w:rsidR="00302513" w:rsidRPr="005516CD" w:rsidRDefault="00302513" w:rsidP="007B146B">
            <w:pPr>
              <w:rPr>
                <w:rFonts w:asciiTheme="majorHAnsi" w:hAnsiTheme="majorHAnsi" w:cs="Arial"/>
                <w:bCs/>
                <w:color w:val="000000"/>
                <w:sz w:val="18"/>
                <w:szCs w:val="16"/>
                <w:lang w:eastAsia="zh-CN"/>
              </w:rPr>
            </w:pPr>
            <w:r w:rsidRPr="005516CD">
              <w:rPr>
                <w:rFonts w:asciiTheme="majorHAnsi" w:hAnsiTheme="majorHAnsi" w:cs="Arial"/>
                <w:bCs/>
                <w:color w:val="000000"/>
                <w:sz w:val="18"/>
                <w:szCs w:val="16"/>
                <w:lang w:eastAsia="zh-CN"/>
              </w:rPr>
              <w:t>Implementing Partner:</w:t>
            </w:r>
          </w:p>
        </w:tc>
        <w:tc>
          <w:tcPr>
            <w:tcW w:w="12085"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B8FFB88" w14:textId="77777777" w:rsidR="00302513" w:rsidRPr="005516CD" w:rsidRDefault="00302513" w:rsidP="007B146B">
            <w:pPr>
              <w:rPr>
                <w:rFonts w:asciiTheme="majorHAnsi" w:hAnsiTheme="majorHAnsi" w:cs="Arial"/>
                <w:bCs/>
                <w:color w:val="000000"/>
                <w:sz w:val="18"/>
                <w:szCs w:val="16"/>
                <w:lang w:eastAsia="zh-CN"/>
              </w:rPr>
            </w:pPr>
            <w:r w:rsidRPr="005516CD">
              <w:rPr>
                <w:rFonts w:asciiTheme="majorHAnsi" w:hAnsiTheme="majorHAnsi" w:cs="Arial"/>
                <w:bCs/>
                <w:color w:val="000000"/>
                <w:sz w:val="18"/>
                <w:szCs w:val="16"/>
                <w:lang w:eastAsia="zh-CN"/>
              </w:rPr>
              <w:t xml:space="preserve">Ministry of Environment </w:t>
            </w:r>
          </w:p>
        </w:tc>
      </w:tr>
    </w:tbl>
    <w:p w14:paraId="1C197269" w14:textId="77777777" w:rsidR="00502133" w:rsidRPr="005516CD" w:rsidRDefault="003D1ADD" w:rsidP="007B146B">
      <w:pPr>
        <w:pStyle w:val="Body"/>
        <w:rPr>
          <w:b/>
          <w:color w:val="auto"/>
        </w:rPr>
      </w:pPr>
      <w:r w:rsidRPr="005516CD">
        <w:rPr>
          <w:b/>
          <w:color w:val="auto"/>
        </w:rPr>
        <w:t>UNDP Budget</w:t>
      </w:r>
    </w:p>
    <w:tbl>
      <w:tblPr>
        <w:tblW w:w="15277" w:type="dxa"/>
        <w:tblInd w:w="-577" w:type="dxa"/>
        <w:tblCellMar>
          <w:left w:w="70" w:type="dxa"/>
          <w:right w:w="70" w:type="dxa"/>
        </w:tblCellMar>
        <w:tblLook w:val="04A0" w:firstRow="1" w:lastRow="0" w:firstColumn="1" w:lastColumn="0" w:noHBand="0" w:noVBand="1"/>
      </w:tblPr>
      <w:tblGrid>
        <w:gridCol w:w="2111"/>
        <w:gridCol w:w="1189"/>
        <w:gridCol w:w="761"/>
        <w:gridCol w:w="281"/>
        <w:gridCol w:w="327"/>
        <w:gridCol w:w="434"/>
        <w:gridCol w:w="558"/>
        <w:gridCol w:w="50"/>
        <w:gridCol w:w="992"/>
        <w:gridCol w:w="1061"/>
        <w:gridCol w:w="1047"/>
        <w:gridCol w:w="160"/>
        <w:gridCol w:w="815"/>
        <w:gridCol w:w="989"/>
        <w:gridCol w:w="992"/>
        <w:gridCol w:w="1115"/>
        <w:gridCol w:w="1157"/>
        <w:gridCol w:w="1238"/>
      </w:tblGrid>
      <w:tr w:rsidR="005055AD" w:rsidRPr="007631AE" w14:paraId="62BFB372" w14:textId="77777777" w:rsidTr="002E2C5F">
        <w:trPr>
          <w:trHeight w:val="705"/>
        </w:trPr>
        <w:tc>
          <w:tcPr>
            <w:tcW w:w="2111"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14:paraId="1BABE5CA"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 xml:space="preserve">GEF </w:t>
            </w:r>
            <w:proofErr w:type="spellStart"/>
            <w:r w:rsidRPr="008244FA">
              <w:rPr>
                <w:rFonts w:asciiTheme="majorHAnsi" w:eastAsia="Times New Roman" w:hAnsiTheme="majorHAnsi" w:cstheme="majorHAnsi"/>
                <w:b/>
                <w:bCs/>
                <w:color w:val="000000"/>
                <w:sz w:val="18"/>
                <w:szCs w:val="18"/>
                <w:lang w:val="fr-FR" w:eastAsia="fr-FR"/>
              </w:rPr>
              <w:t>Outcome</w:t>
            </w:r>
            <w:proofErr w:type="spellEnd"/>
            <w:r w:rsidRPr="008244FA">
              <w:rPr>
                <w:rFonts w:asciiTheme="majorHAnsi" w:eastAsia="Times New Roman" w:hAnsiTheme="majorHAnsi" w:cstheme="majorHAnsi"/>
                <w:b/>
                <w:bCs/>
                <w:color w:val="000000"/>
                <w:sz w:val="18"/>
                <w:szCs w:val="18"/>
                <w:lang w:val="fr-FR" w:eastAsia="fr-FR"/>
              </w:rPr>
              <w:t>/ Atlas Activity</w:t>
            </w:r>
          </w:p>
        </w:tc>
        <w:tc>
          <w:tcPr>
            <w:tcW w:w="1189"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14:paraId="2C9B36AC"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proofErr w:type="spellStart"/>
            <w:r w:rsidRPr="008244FA">
              <w:rPr>
                <w:rFonts w:asciiTheme="majorHAnsi" w:eastAsia="Times New Roman" w:hAnsiTheme="majorHAnsi" w:cstheme="majorHAnsi"/>
                <w:b/>
                <w:bCs/>
                <w:color w:val="000000"/>
                <w:sz w:val="18"/>
                <w:szCs w:val="18"/>
                <w:lang w:val="fr-FR" w:eastAsia="fr-FR"/>
              </w:rPr>
              <w:t>Implementing</w:t>
            </w:r>
            <w:proofErr w:type="spellEnd"/>
            <w:r w:rsidRPr="008244FA">
              <w:rPr>
                <w:rFonts w:asciiTheme="majorHAnsi" w:eastAsia="Times New Roman" w:hAnsiTheme="majorHAnsi" w:cstheme="majorHAnsi"/>
                <w:b/>
                <w:bCs/>
                <w:color w:val="000000"/>
                <w:sz w:val="18"/>
                <w:szCs w:val="18"/>
                <w:lang w:val="fr-FR" w:eastAsia="fr-FR"/>
              </w:rPr>
              <w:t xml:space="preserve"> Agent</w:t>
            </w:r>
          </w:p>
        </w:tc>
        <w:tc>
          <w:tcPr>
            <w:tcW w:w="761"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14:paraId="19BC91EA"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Fund ID</w:t>
            </w:r>
          </w:p>
        </w:tc>
        <w:tc>
          <w:tcPr>
            <w:tcW w:w="608" w:type="dxa"/>
            <w:gridSpan w:val="2"/>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14:paraId="72367F91"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proofErr w:type="spellStart"/>
            <w:r w:rsidRPr="008244FA">
              <w:rPr>
                <w:rFonts w:asciiTheme="majorHAnsi" w:eastAsia="Times New Roman" w:hAnsiTheme="majorHAnsi" w:cstheme="majorHAnsi"/>
                <w:b/>
                <w:bCs/>
                <w:color w:val="000000"/>
                <w:sz w:val="18"/>
                <w:szCs w:val="18"/>
                <w:lang w:val="fr-FR" w:eastAsia="fr-FR"/>
              </w:rPr>
              <w:t>Donor</w:t>
            </w:r>
            <w:proofErr w:type="spellEnd"/>
            <w:r w:rsidRPr="008244FA">
              <w:rPr>
                <w:rFonts w:asciiTheme="majorHAnsi" w:eastAsia="Times New Roman" w:hAnsiTheme="majorHAnsi" w:cstheme="majorHAnsi"/>
                <w:b/>
                <w:bCs/>
                <w:color w:val="000000"/>
                <w:sz w:val="18"/>
                <w:szCs w:val="18"/>
                <w:lang w:val="fr-FR" w:eastAsia="fr-FR"/>
              </w:rPr>
              <w:t xml:space="preserve"> </w:t>
            </w:r>
            <w:proofErr w:type="spellStart"/>
            <w:r w:rsidRPr="008244FA">
              <w:rPr>
                <w:rFonts w:asciiTheme="majorHAnsi" w:eastAsia="Times New Roman" w:hAnsiTheme="majorHAnsi" w:cstheme="majorHAnsi"/>
                <w:b/>
                <w:bCs/>
                <w:color w:val="000000"/>
                <w:sz w:val="18"/>
                <w:szCs w:val="18"/>
                <w:lang w:val="fr-FR" w:eastAsia="fr-FR"/>
              </w:rPr>
              <w:t>name</w:t>
            </w:r>
            <w:proofErr w:type="spellEnd"/>
          </w:p>
        </w:tc>
        <w:tc>
          <w:tcPr>
            <w:tcW w:w="992" w:type="dxa"/>
            <w:gridSpan w:val="2"/>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14:paraId="2FC8DB68"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Atlas Code</w:t>
            </w:r>
          </w:p>
        </w:tc>
        <w:tc>
          <w:tcPr>
            <w:tcW w:w="2103" w:type="dxa"/>
            <w:gridSpan w:val="3"/>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14:paraId="4795F6D4" w14:textId="77777777" w:rsidR="005055AD" w:rsidRPr="008244FA" w:rsidRDefault="005055AD" w:rsidP="007631AE">
            <w:pPr>
              <w:jc w:val="center"/>
              <w:rPr>
                <w:rFonts w:asciiTheme="majorHAnsi" w:eastAsia="Times New Roman" w:hAnsiTheme="majorHAnsi" w:cstheme="majorHAnsi"/>
                <w:b/>
                <w:bCs/>
                <w:color w:val="000000"/>
                <w:sz w:val="18"/>
                <w:szCs w:val="18"/>
                <w:lang w:eastAsia="fr-FR"/>
              </w:rPr>
            </w:pPr>
            <w:r w:rsidRPr="008244FA">
              <w:rPr>
                <w:rFonts w:asciiTheme="majorHAnsi" w:eastAsia="Times New Roman" w:hAnsiTheme="majorHAnsi" w:cstheme="majorHAnsi"/>
                <w:b/>
                <w:bCs/>
                <w:color w:val="000000"/>
                <w:sz w:val="18"/>
                <w:szCs w:val="18"/>
                <w:lang w:eastAsia="fr-FR"/>
              </w:rPr>
              <w:t>ERP/ATLAS Budget Description/ Input</w:t>
            </w:r>
          </w:p>
        </w:tc>
        <w:tc>
          <w:tcPr>
            <w:tcW w:w="1047" w:type="dxa"/>
            <w:tcBorders>
              <w:top w:val="single" w:sz="8" w:space="0" w:color="auto"/>
              <w:left w:val="nil"/>
              <w:bottom w:val="single" w:sz="8" w:space="0" w:color="auto"/>
              <w:right w:val="single" w:sz="8" w:space="0" w:color="auto"/>
            </w:tcBorders>
            <w:shd w:val="clear" w:color="000000" w:fill="C0C0C0"/>
            <w:noWrap/>
            <w:vAlign w:val="center"/>
            <w:hideMark/>
          </w:tcPr>
          <w:p w14:paraId="5F2AF8E2"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proofErr w:type="spellStart"/>
            <w:r w:rsidRPr="008244FA">
              <w:rPr>
                <w:rFonts w:asciiTheme="majorHAnsi" w:eastAsia="Times New Roman" w:hAnsiTheme="majorHAnsi" w:cstheme="majorHAnsi"/>
                <w:b/>
                <w:bCs/>
                <w:color w:val="000000"/>
                <w:sz w:val="18"/>
                <w:szCs w:val="18"/>
                <w:lang w:val="fr-FR" w:eastAsia="fr-FR"/>
              </w:rPr>
              <w:t>Year</w:t>
            </w:r>
            <w:proofErr w:type="spellEnd"/>
            <w:r w:rsidRPr="008244FA">
              <w:rPr>
                <w:rFonts w:asciiTheme="majorHAnsi" w:eastAsia="Times New Roman" w:hAnsiTheme="majorHAnsi" w:cstheme="majorHAnsi"/>
                <w:b/>
                <w:bCs/>
                <w:color w:val="000000"/>
                <w:sz w:val="18"/>
                <w:szCs w:val="18"/>
                <w:lang w:val="fr-FR" w:eastAsia="fr-FR"/>
              </w:rPr>
              <w:t xml:space="preserve"> 1</w:t>
            </w:r>
          </w:p>
        </w:tc>
        <w:tc>
          <w:tcPr>
            <w:tcW w:w="975" w:type="dxa"/>
            <w:gridSpan w:val="2"/>
            <w:tcBorders>
              <w:top w:val="single" w:sz="8" w:space="0" w:color="auto"/>
              <w:left w:val="nil"/>
              <w:bottom w:val="single" w:sz="8" w:space="0" w:color="auto"/>
              <w:right w:val="single" w:sz="8" w:space="0" w:color="auto"/>
            </w:tcBorders>
            <w:shd w:val="clear" w:color="000000" w:fill="C0C0C0"/>
            <w:noWrap/>
            <w:vAlign w:val="center"/>
            <w:hideMark/>
          </w:tcPr>
          <w:p w14:paraId="0E9AD617"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proofErr w:type="spellStart"/>
            <w:r w:rsidRPr="008244FA">
              <w:rPr>
                <w:rFonts w:asciiTheme="majorHAnsi" w:eastAsia="Times New Roman" w:hAnsiTheme="majorHAnsi" w:cstheme="majorHAnsi"/>
                <w:b/>
                <w:bCs/>
                <w:color w:val="000000"/>
                <w:sz w:val="18"/>
                <w:szCs w:val="18"/>
                <w:lang w:val="fr-FR" w:eastAsia="fr-FR"/>
              </w:rPr>
              <w:t>Year</w:t>
            </w:r>
            <w:proofErr w:type="spellEnd"/>
            <w:r w:rsidRPr="008244FA">
              <w:rPr>
                <w:rFonts w:asciiTheme="majorHAnsi" w:eastAsia="Times New Roman" w:hAnsiTheme="majorHAnsi" w:cstheme="majorHAnsi"/>
                <w:b/>
                <w:bCs/>
                <w:color w:val="000000"/>
                <w:sz w:val="18"/>
                <w:szCs w:val="18"/>
                <w:lang w:val="fr-FR" w:eastAsia="fr-FR"/>
              </w:rPr>
              <w:t xml:space="preserve"> 2</w:t>
            </w:r>
          </w:p>
        </w:tc>
        <w:tc>
          <w:tcPr>
            <w:tcW w:w="989" w:type="dxa"/>
            <w:tcBorders>
              <w:top w:val="single" w:sz="8" w:space="0" w:color="auto"/>
              <w:left w:val="nil"/>
              <w:bottom w:val="single" w:sz="8" w:space="0" w:color="auto"/>
              <w:right w:val="single" w:sz="8" w:space="0" w:color="auto"/>
            </w:tcBorders>
            <w:shd w:val="clear" w:color="000000" w:fill="C0C0C0"/>
            <w:noWrap/>
            <w:vAlign w:val="center"/>
            <w:hideMark/>
          </w:tcPr>
          <w:p w14:paraId="6513D79E"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proofErr w:type="spellStart"/>
            <w:r w:rsidRPr="008244FA">
              <w:rPr>
                <w:rFonts w:asciiTheme="majorHAnsi" w:eastAsia="Times New Roman" w:hAnsiTheme="majorHAnsi" w:cstheme="majorHAnsi"/>
                <w:b/>
                <w:bCs/>
                <w:color w:val="000000"/>
                <w:sz w:val="18"/>
                <w:szCs w:val="18"/>
                <w:lang w:val="fr-FR" w:eastAsia="fr-FR"/>
              </w:rPr>
              <w:t>Year</w:t>
            </w:r>
            <w:proofErr w:type="spellEnd"/>
            <w:r w:rsidRPr="008244FA">
              <w:rPr>
                <w:rFonts w:asciiTheme="majorHAnsi" w:eastAsia="Times New Roman" w:hAnsiTheme="majorHAnsi" w:cstheme="majorHAnsi"/>
                <w:b/>
                <w:bCs/>
                <w:color w:val="000000"/>
                <w:sz w:val="18"/>
                <w:szCs w:val="18"/>
                <w:lang w:val="fr-FR" w:eastAsia="fr-FR"/>
              </w:rPr>
              <w:t xml:space="preserve"> 3</w:t>
            </w:r>
          </w:p>
        </w:tc>
        <w:tc>
          <w:tcPr>
            <w:tcW w:w="992" w:type="dxa"/>
            <w:tcBorders>
              <w:top w:val="single" w:sz="8" w:space="0" w:color="auto"/>
              <w:left w:val="nil"/>
              <w:bottom w:val="single" w:sz="8" w:space="0" w:color="auto"/>
              <w:right w:val="single" w:sz="8" w:space="0" w:color="auto"/>
            </w:tcBorders>
            <w:shd w:val="clear" w:color="000000" w:fill="C0C0C0"/>
            <w:noWrap/>
            <w:vAlign w:val="center"/>
            <w:hideMark/>
          </w:tcPr>
          <w:p w14:paraId="4543A922"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proofErr w:type="spellStart"/>
            <w:r w:rsidRPr="008244FA">
              <w:rPr>
                <w:rFonts w:asciiTheme="majorHAnsi" w:eastAsia="Times New Roman" w:hAnsiTheme="majorHAnsi" w:cstheme="majorHAnsi"/>
                <w:b/>
                <w:bCs/>
                <w:color w:val="000000"/>
                <w:sz w:val="18"/>
                <w:szCs w:val="18"/>
                <w:lang w:val="fr-FR" w:eastAsia="fr-FR"/>
              </w:rPr>
              <w:t>Year</w:t>
            </w:r>
            <w:proofErr w:type="spellEnd"/>
            <w:r w:rsidRPr="008244FA">
              <w:rPr>
                <w:rFonts w:asciiTheme="majorHAnsi" w:eastAsia="Times New Roman" w:hAnsiTheme="majorHAnsi" w:cstheme="majorHAnsi"/>
                <w:b/>
                <w:bCs/>
                <w:color w:val="000000"/>
                <w:sz w:val="18"/>
                <w:szCs w:val="18"/>
                <w:lang w:val="fr-FR" w:eastAsia="fr-FR"/>
              </w:rPr>
              <w:t xml:space="preserve"> 4</w:t>
            </w:r>
          </w:p>
        </w:tc>
        <w:tc>
          <w:tcPr>
            <w:tcW w:w="1115" w:type="dxa"/>
            <w:tcBorders>
              <w:top w:val="single" w:sz="8" w:space="0" w:color="auto"/>
              <w:left w:val="nil"/>
              <w:bottom w:val="single" w:sz="8" w:space="0" w:color="auto"/>
              <w:right w:val="single" w:sz="8" w:space="0" w:color="auto"/>
            </w:tcBorders>
            <w:shd w:val="clear" w:color="000000" w:fill="C0C0C0"/>
            <w:vAlign w:val="center"/>
            <w:hideMark/>
          </w:tcPr>
          <w:p w14:paraId="4FBC43EF"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proofErr w:type="spellStart"/>
            <w:r w:rsidRPr="008244FA">
              <w:rPr>
                <w:rFonts w:asciiTheme="majorHAnsi" w:eastAsia="Times New Roman" w:hAnsiTheme="majorHAnsi" w:cstheme="majorHAnsi"/>
                <w:b/>
                <w:bCs/>
                <w:color w:val="000000"/>
                <w:sz w:val="18"/>
                <w:szCs w:val="18"/>
                <w:lang w:val="fr-FR" w:eastAsia="fr-FR"/>
              </w:rPr>
              <w:t>Year</w:t>
            </w:r>
            <w:proofErr w:type="spellEnd"/>
            <w:r w:rsidRPr="008244FA">
              <w:rPr>
                <w:rFonts w:asciiTheme="majorHAnsi" w:eastAsia="Times New Roman" w:hAnsiTheme="majorHAnsi" w:cstheme="majorHAnsi"/>
                <w:b/>
                <w:bCs/>
                <w:color w:val="000000"/>
                <w:sz w:val="18"/>
                <w:szCs w:val="18"/>
                <w:lang w:val="fr-FR" w:eastAsia="fr-FR"/>
              </w:rPr>
              <w:t xml:space="preserve"> 5</w:t>
            </w:r>
          </w:p>
        </w:tc>
        <w:tc>
          <w:tcPr>
            <w:tcW w:w="1157" w:type="dxa"/>
            <w:tcBorders>
              <w:top w:val="single" w:sz="8" w:space="0" w:color="auto"/>
              <w:left w:val="nil"/>
              <w:bottom w:val="single" w:sz="8" w:space="0" w:color="auto"/>
              <w:right w:val="single" w:sz="8" w:space="0" w:color="auto"/>
            </w:tcBorders>
            <w:shd w:val="clear" w:color="000000" w:fill="C0C0C0"/>
            <w:noWrap/>
            <w:vAlign w:val="center"/>
            <w:hideMark/>
          </w:tcPr>
          <w:p w14:paraId="048705B7"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Total</w:t>
            </w:r>
          </w:p>
        </w:tc>
        <w:tc>
          <w:tcPr>
            <w:tcW w:w="1238" w:type="dxa"/>
            <w:vMerge w:val="restart"/>
            <w:tcBorders>
              <w:top w:val="single" w:sz="8" w:space="0" w:color="auto"/>
              <w:left w:val="single" w:sz="8" w:space="0" w:color="auto"/>
              <w:bottom w:val="single" w:sz="8" w:space="0" w:color="000000"/>
              <w:right w:val="single" w:sz="8" w:space="0" w:color="auto"/>
            </w:tcBorders>
            <w:shd w:val="clear" w:color="000000" w:fill="C0C0C0"/>
            <w:vAlign w:val="center"/>
            <w:hideMark/>
          </w:tcPr>
          <w:p w14:paraId="4AF2E172" w14:textId="77777777" w:rsidR="005055AD" w:rsidRPr="008244FA" w:rsidRDefault="005055AD" w:rsidP="007631AE">
            <w:pPr>
              <w:jc w:val="center"/>
              <w:rPr>
                <w:rFonts w:ascii="Calibri" w:eastAsia="Times New Roman" w:hAnsi="Calibri" w:cs="Calibri"/>
                <w:b/>
                <w:bCs/>
                <w:color w:val="000000"/>
                <w:sz w:val="20"/>
                <w:szCs w:val="20"/>
                <w:lang w:eastAsia="fr-FR"/>
              </w:rPr>
            </w:pPr>
            <w:r w:rsidRPr="008244FA">
              <w:rPr>
                <w:rFonts w:ascii="Calibri" w:eastAsia="Times New Roman" w:hAnsi="Calibri" w:cs="Calibri"/>
                <w:b/>
                <w:bCs/>
                <w:color w:val="000000"/>
                <w:sz w:val="20"/>
                <w:szCs w:val="20"/>
                <w:lang w:eastAsia="fr-FR"/>
              </w:rPr>
              <w:t>Budget Notes (see table below)</w:t>
            </w:r>
          </w:p>
        </w:tc>
      </w:tr>
      <w:tr w:rsidR="005055AD" w:rsidRPr="007631AE" w14:paraId="22272E0C" w14:textId="77777777" w:rsidTr="002E2C5F">
        <w:trPr>
          <w:trHeight w:val="315"/>
        </w:trPr>
        <w:tc>
          <w:tcPr>
            <w:tcW w:w="2111" w:type="dxa"/>
            <w:vMerge/>
            <w:tcBorders>
              <w:top w:val="single" w:sz="8" w:space="0" w:color="auto"/>
              <w:left w:val="single" w:sz="8" w:space="0" w:color="auto"/>
              <w:bottom w:val="single" w:sz="8" w:space="0" w:color="000000"/>
              <w:right w:val="single" w:sz="8" w:space="0" w:color="auto"/>
            </w:tcBorders>
            <w:vAlign w:val="center"/>
            <w:hideMark/>
          </w:tcPr>
          <w:p w14:paraId="6F53FEDE" w14:textId="77777777" w:rsidR="005055AD" w:rsidRPr="008244FA" w:rsidRDefault="005055AD" w:rsidP="007631AE">
            <w:pPr>
              <w:rPr>
                <w:rFonts w:asciiTheme="majorHAnsi" w:eastAsia="Times New Roman" w:hAnsiTheme="majorHAnsi" w:cstheme="majorHAnsi"/>
                <w:b/>
                <w:bCs/>
                <w:color w:val="000000"/>
                <w:sz w:val="18"/>
                <w:szCs w:val="18"/>
                <w:lang w:eastAsia="fr-FR"/>
              </w:rPr>
            </w:pPr>
          </w:p>
        </w:tc>
        <w:tc>
          <w:tcPr>
            <w:tcW w:w="1189" w:type="dxa"/>
            <w:vMerge/>
            <w:tcBorders>
              <w:top w:val="single" w:sz="8" w:space="0" w:color="auto"/>
              <w:left w:val="single" w:sz="8" w:space="0" w:color="auto"/>
              <w:bottom w:val="single" w:sz="8" w:space="0" w:color="000000"/>
              <w:right w:val="single" w:sz="8" w:space="0" w:color="auto"/>
            </w:tcBorders>
            <w:vAlign w:val="center"/>
            <w:hideMark/>
          </w:tcPr>
          <w:p w14:paraId="04657E6B" w14:textId="77777777" w:rsidR="005055AD" w:rsidRPr="008244FA" w:rsidRDefault="005055AD" w:rsidP="007631AE">
            <w:pPr>
              <w:rPr>
                <w:rFonts w:asciiTheme="majorHAnsi" w:eastAsia="Times New Roman" w:hAnsiTheme="majorHAnsi" w:cstheme="majorHAnsi"/>
                <w:b/>
                <w:bCs/>
                <w:color w:val="000000"/>
                <w:sz w:val="18"/>
                <w:szCs w:val="18"/>
                <w:lang w:eastAsia="fr-FR"/>
              </w:rPr>
            </w:pPr>
          </w:p>
        </w:tc>
        <w:tc>
          <w:tcPr>
            <w:tcW w:w="761" w:type="dxa"/>
            <w:vMerge/>
            <w:tcBorders>
              <w:top w:val="single" w:sz="8" w:space="0" w:color="auto"/>
              <w:left w:val="single" w:sz="8" w:space="0" w:color="auto"/>
              <w:bottom w:val="single" w:sz="8" w:space="0" w:color="000000"/>
              <w:right w:val="single" w:sz="8" w:space="0" w:color="auto"/>
            </w:tcBorders>
            <w:vAlign w:val="center"/>
            <w:hideMark/>
          </w:tcPr>
          <w:p w14:paraId="1A11BA10" w14:textId="77777777" w:rsidR="005055AD" w:rsidRPr="008244FA" w:rsidRDefault="005055AD" w:rsidP="007631AE">
            <w:pPr>
              <w:rPr>
                <w:rFonts w:asciiTheme="majorHAnsi" w:eastAsia="Times New Roman" w:hAnsiTheme="majorHAnsi" w:cstheme="majorHAnsi"/>
                <w:b/>
                <w:bCs/>
                <w:color w:val="000000"/>
                <w:sz w:val="18"/>
                <w:szCs w:val="18"/>
                <w:lang w:eastAsia="fr-FR"/>
              </w:rPr>
            </w:pPr>
          </w:p>
        </w:tc>
        <w:tc>
          <w:tcPr>
            <w:tcW w:w="608" w:type="dxa"/>
            <w:gridSpan w:val="2"/>
            <w:vMerge/>
            <w:tcBorders>
              <w:top w:val="single" w:sz="8" w:space="0" w:color="auto"/>
              <w:left w:val="single" w:sz="8" w:space="0" w:color="auto"/>
              <w:bottom w:val="single" w:sz="8" w:space="0" w:color="000000"/>
              <w:right w:val="single" w:sz="8" w:space="0" w:color="auto"/>
            </w:tcBorders>
            <w:vAlign w:val="center"/>
            <w:hideMark/>
          </w:tcPr>
          <w:p w14:paraId="351BAA17" w14:textId="77777777" w:rsidR="005055AD" w:rsidRPr="008244FA" w:rsidRDefault="005055AD" w:rsidP="007631AE">
            <w:pPr>
              <w:rPr>
                <w:rFonts w:asciiTheme="majorHAnsi" w:eastAsia="Times New Roman" w:hAnsiTheme="majorHAnsi" w:cstheme="majorHAnsi"/>
                <w:b/>
                <w:bCs/>
                <w:color w:val="000000"/>
                <w:sz w:val="18"/>
                <w:szCs w:val="18"/>
                <w:lang w:eastAsia="fr-FR"/>
              </w:rPr>
            </w:pPr>
          </w:p>
        </w:tc>
        <w:tc>
          <w:tcPr>
            <w:tcW w:w="992" w:type="dxa"/>
            <w:gridSpan w:val="2"/>
            <w:vMerge/>
            <w:tcBorders>
              <w:top w:val="single" w:sz="8" w:space="0" w:color="auto"/>
              <w:left w:val="single" w:sz="8" w:space="0" w:color="auto"/>
              <w:bottom w:val="single" w:sz="8" w:space="0" w:color="000000"/>
              <w:right w:val="single" w:sz="8" w:space="0" w:color="auto"/>
            </w:tcBorders>
            <w:vAlign w:val="center"/>
            <w:hideMark/>
          </w:tcPr>
          <w:p w14:paraId="015909A1" w14:textId="77777777" w:rsidR="005055AD" w:rsidRPr="008244FA" w:rsidRDefault="005055AD" w:rsidP="007631AE">
            <w:pPr>
              <w:rPr>
                <w:rFonts w:asciiTheme="majorHAnsi" w:eastAsia="Times New Roman" w:hAnsiTheme="majorHAnsi" w:cstheme="majorHAnsi"/>
                <w:b/>
                <w:bCs/>
                <w:color w:val="000000"/>
                <w:sz w:val="18"/>
                <w:szCs w:val="18"/>
                <w:lang w:eastAsia="fr-FR"/>
              </w:rPr>
            </w:pPr>
          </w:p>
        </w:tc>
        <w:tc>
          <w:tcPr>
            <w:tcW w:w="2103" w:type="dxa"/>
            <w:gridSpan w:val="3"/>
            <w:vMerge/>
            <w:tcBorders>
              <w:top w:val="single" w:sz="8" w:space="0" w:color="auto"/>
              <w:left w:val="single" w:sz="8" w:space="0" w:color="auto"/>
              <w:bottom w:val="single" w:sz="8" w:space="0" w:color="000000"/>
              <w:right w:val="single" w:sz="8" w:space="0" w:color="auto"/>
            </w:tcBorders>
            <w:vAlign w:val="center"/>
            <w:hideMark/>
          </w:tcPr>
          <w:p w14:paraId="4FD30DB9" w14:textId="77777777" w:rsidR="005055AD" w:rsidRPr="008244FA" w:rsidRDefault="005055AD" w:rsidP="007631AE">
            <w:pPr>
              <w:rPr>
                <w:rFonts w:asciiTheme="majorHAnsi" w:eastAsia="Times New Roman" w:hAnsiTheme="majorHAnsi" w:cstheme="majorHAnsi"/>
                <w:b/>
                <w:bCs/>
                <w:color w:val="000000"/>
                <w:sz w:val="18"/>
                <w:szCs w:val="18"/>
                <w:lang w:eastAsia="fr-FR"/>
              </w:rPr>
            </w:pPr>
          </w:p>
        </w:tc>
        <w:tc>
          <w:tcPr>
            <w:tcW w:w="1047" w:type="dxa"/>
            <w:tcBorders>
              <w:top w:val="nil"/>
              <w:left w:val="nil"/>
              <w:bottom w:val="single" w:sz="8" w:space="0" w:color="auto"/>
              <w:right w:val="single" w:sz="8" w:space="0" w:color="auto"/>
            </w:tcBorders>
            <w:shd w:val="clear" w:color="000000" w:fill="C0C0C0"/>
            <w:noWrap/>
            <w:vAlign w:val="center"/>
            <w:hideMark/>
          </w:tcPr>
          <w:p w14:paraId="6EC260CD"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US$</w:t>
            </w:r>
          </w:p>
        </w:tc>
        <w:tc>
          <w:tcPr>
            <w:tcW w:w="975" w:type="dxa"/>
            <w:gridSpan w:val="2"/>
            <w:tcBorders>
              <w:top w:val="nil"/>
              <w:left w:val="nil"/>
              <w:bottom w:val="single" w:sz="8" w:space="0" w:color="auto"/>
              <w:right w:val="single" w:sz="8" w:space="0" w:color="auto"/>
            </w:tcBorders>
            <w:shd w:val="clear" w:color="000000" w:fill="C0C0C0"/>
            <w:noWrap/>
            <w:vAlign w:val="center"/>
            <w:hideMark/>
          </w:tcPr>
          <w:p w14:paraId="320881AC"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US$</w:t>
            </w:r>
          </w:p>
        </w:tc>
        <w:tc>
          <w:tcPr>
            <w:tcW w:w="989" w:type="dxa"/>
            <w:tcBorders>
              <w:top w:val="nil"/>
              <w:left w:val="nil"/>
              <w:bottom w:val="single" w:sz="8" w:space="0" w:color="auto"/>
              <w:right w:val="single" w:sz="8" w:space="0" w:color="auto"/>
            </w:tcBorders>
            <w:shd w:val="clear" w:color="000000" w:fill="C0C0C0"/>
            <w:noWrap/>
            <w:vAlign w:val="center"/>
            <w:hideMark/>
          </w:tcPr>
          <w:p w14:paraId="0B637E3A"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US$</w:t>
            </w:r>
          </w:p>
        </w:tc>
        <w:tc>
          <w:tcPr>
            <w:tcW w:w="992" w:type="dxa"/>
            <w:tcBorders>
              <w:top w:val="nil"/>
              <w:left w:val="nil"/>
              <w:bottom w:val="single" w:sz="8" w:space="0" w:color="auto"/>
              <w:right w:val="single" w:sz="8" w:space="0" w:color="auto"/>
            </w:tcBorders>
            <w:shd w:val="clear" w:color="000000" w:fill="C0C0C0"/>
            <w:noWrap/>
            <w:vAlign w:val="center"/>
            <w:hideMark/>
          </w:tcPr>
          <w:p w14:paraId="02EE2947"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US$</w:t>
            </w:r>
          </w:p>
        </w:tc>
        <w:tc>
          <w:tcPr>
            <w:tcW w:w="1115" w:type="dxa"/>
            <w:tcBorders>
              <w:top w:val="nil"/>
              <w:left w:val="nil"/>
              <w:bottom w:val="single" w:sz="8" w:space="0" w:color="auto"/>
              <w:right w:val="single" w:sz="8" w:space="0" w:color="auto"/>
            </w:tcBorders>
            <w:shd w:val="clear" w:color="000000" w:fill="C0C0C0"/>
            <w:vAlign w:val="center"/>
            <w:hideMark/>
          </w:tcPr>
          <w:p w14:paraId="05B230BC"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US$</w:t>
            </w:r>
          </w:p>
        </w:tc>
        <w:tc>
          <w:tcPr>
            <w:tcW w:w="1157" w:type="dxa"/>
            <w:tcBorders>
              <w:top w:val="nil"/>
              <w:left w:val="nil"/>
              <w:bottom w:val="single" w:sz="8" w:space="0" w:color="auto"/>
              <w:right w:val="single" w:sz="8" w:space="0" w:color="auto"/>
            </w:tcBorders>
            <w:shd w:val="clear" w:color="000000" w:fill="C0C0C0"/>
            <w:noWrap/>
            <w:vAlign w:val="center"/>
            <w:hideMark/>
          </w:tcPr>
          <w:p w14:paraId="200448A9" w14:textId="77777777" w:rsidR="005055AD" w:rsidRPr="008244FA" w:rsidRDefault="005055AD" w:rsidP="007631A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US$</w:t>
            </w:r>
          </w:p>
        </w:tc>
        <w:tc>
          <w:tcPr>
            <w:tcW w:w="1238" w:type="dxa"/>
            <w:vMerge/>
            <w:tcBorders>
              <w:top w:val="single" w:sz="8" w:space="0" w:color="auto"/>
              <w:left w:val="single" w:sz="8" w:space="0" w:color="auto"/>
              <w:bottom w:val="single" w:sz="8" w:space="0" w:color="000000"/>
              <w:right w:val="single" w:sz="8" w:space="0" w:color="auto"/>
            </w:tcBorders>
            <w:vAlign w:val="center"/>
            <w:hideMark/>
          </w:tcPr>
          <w:p w14:paraId="5F6433E1" w14:textId="77777777" w:rsidR="005055AD" w:rsidRPr="007631AE" w:rsidRDefault="005055AD" w:rsidP="007631AE">
            <w:pPr>
              <w:rPr>
                <w:rFonts w:ascii="Calibri" w:eastAsia="Times New Roman" w:hAnsi="Calibri" w:cs="Calibri"/>
                <w:b/>
                <w:bCs/>
                <w:color w:val="000000"/>
                <w:sz w:val="20"/>
                <w:szCs w:val="20"/>
                <w:lang w:val="fr-FR" w:eastAsia="fr-FR"/>
              </w:rPr>
            </w:pPr>
          </w:p>
        </w:tc>
      </w:tr>
      <w:tr w:rsidR="005055AD" w:rsidRPr="007631AE" w14:paraId="0A71F748" w14:textId="77777777" w:rsidTr="002E2C5F">
        <w:trPr>
          <w:trHeight w:val="315"/>
        </w:trPr>
        <w:tc>
          <w:tcPr>
            <w:tcW w:w="2111" w:type="dxa"/>
            <w:vMerge w:val="restart"/>
            <w:tcBorders>
              <w:top w:val="nil"/>
              <w:left w:val="single" w:sz="8" w:space="0" w:color="auto"/>
              <w:bottom w:val="nil"/>
              <w:right w:val="single" w:sz="8" w:space="0" w:color="auto"/>
            </w:tcBorders>
            <w:shd w:val="clear" w:color="auto" w:fill="auto"/>
            <w:vAlign w:val="center"/>
            <w:hideMark/>
          </w:tcPr>
          <w:p w14:paraId="541E4259" w14:textId="332416D6" w:rsidR="005055AD" w:rsidRPr="008244FA" w:rsidRDefault="005055AD" w:rsidP="007631AE">
            <w:pPr>
              <w:ind w:right="97"/>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 xml:space="preserve">COMPONENT/OUTCOME 1 </w:t>
            </w:r>
          </w:p>
        </w:tc>
        <w:tc>
          <w:tcPr>
            <w:tcW w:w="1189" w:type="dxa"/>
            <w:vMerge w:val="restart"/>
            <w:tcBorders>
              <w:top w:val="nil"/>
              <w:left w:val="single" w:sz="8" w:space="0" w:color="auto"/>
              <w:bottom w:val="single" w:sz="8" w:space="0" w:color="000000"/>
              <w:right w:val="single" w:sz="8" w:space="0" w:color="auto"/>
            </w:tcBorders>
            <w:shd w:val="clear" w:color="auto" w:fill="auto"/>
            <w:vAlign w:val="center"/>
            <w:hideMark/>
          </w:tcPr>
          <w:p w14:paraId="27E42ED2"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Ministry of </w:t>
            </w:r>
            <w:proofErr w:type="spellStart"/>
            <w:r w:rsidRPr="008244FA">
              <w:rPr>
                <w:rFonts w:asciiTheme="majorHAnsi" w:eastAsia="Times New Roman" w:hAnsiTheme="majorHAnsi" w:cstheme="majorHAnsi"/>
                <w:color w:val="000000"/>
                <w:sz w:val="18"/>
                <w:szCs w:val="18"/>
                <w:lang w:val="fr-FR" w:eastAsia="fr-FR"/>
              </w:rPr>
              <w:t>Environment</w:t>
            </w:r>
            <w:proofErr w:type="spellEnd"/>
          </w:p>
        </w:tc>
        <w:tc>
          <w:tcPr>
            <w:tcW w:w="761" w:type="dxa"/>
            <w:vMerge w:val="restart"/>
            <w:tcBorders>
              <w:top w:val="nil"/>
              <w:left w:val="single" w:sz="8" w:space="0" w:color="auto"/>
              <w:bottom w:val="single" w:sz="8" w:space="0" w:color="000000"/>
              <w:right w:val="single" w:sz="8" w:space="0" w:color="auto"/>
            </w:tcBorders>
            <w:shd w:val="clear" w:color="auto" w:fill="auto"/>
            <w:vAlign w:val="center"/>
            <w:hideMark/>
          </w:tcPr>
          <w:p w14:paraId="22FDCAA5"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62000</w:t>
            </w:r>
          </w:p>
        </w:tc>
        <w:tc>
          <w:tcPr>
            <w:tcW w:w="608"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14:paraId="7D53DB1A"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GEFTF</w:t>
            </w:r>
          </w:p>
        </w:tc>
        <w:tc>
          <w:tcPr>
            <w:tcW w:w="992" w:type="dxa"/>
            <w:gridSpan w:val="2"/>
            <w:tcBorders>
              <w:top w:val="nil"/>
              <w:left w:val="nil"/>
              <w:bottom w:val="single" w:sz="4" w:space="0" w:color="auto"/>
              <w:right w:val="single" w:sz="8" w:space="0" w:color="auto"/>
            </w:tcBorders>
            <w:shd w:val="clear" w:color="auto" w:fill="auto"/>
            <w:vAlign w:val="center"/>
            <w:hideMark/>
          </w:tcPr>
          <w:p w14:paraId="1509795F"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71200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2781EDFB" w14:textId="77777777" w:rsidR="005055AD" w:rsidRPr="008244FA" w:rsidRDefault="005055AD" w:rsidP="007631AE">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International Consultants </w:t>
            </w:r>
          </w:p>
        </w:tc>
        <w:tc>
          <w:tcPr>
            <w:tcW w:w="1047" w:type="dxa"/>
            <w:tcBorders>
              <w:top w:val="nil"/>
              <w:left w:val="nil"/>
              <w:bottom w:val="single" w:sz="8" w:space="0" w:color="auto"/>
              <w:right w:val="single" w:sz="8" w:space="0" w:color="auto"/>
            </w:tcBorders>
            <w:shd w:val="clear" w:color="000000" w:fill="FFFFFF"/>
            <w:noWrap/>
            <w:vAlign w:val="center"/>
            <w:hideMark/>
          </w:tcPr>
          <w:p w14:paraId="3E938010"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45,000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3BA4C366"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989" w:type="dxa"/>
            <w:tcBorders>
              <w:top w:val="nil"/>
              <w:left w:val="nil"/>
              <w:bottom w:val="single" w:sz="8" w:space="0" w:color="auto"/>
              <w:right w:val="single" w:sz="8" w:space="0" w:color="auto"/>
            </w:tcBorders>
            <w:shd w:val="clear" w:color="000000" w:fill="FFFFFF"/>
            <w:noWrap/>
            <w:vAlign w:val="center"/>
            <w:hideMark/>
          </w:tcPr>
          <w:p w14:paraId="3AE8F4E0"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992" w:type="dxa"/>
            <w:tcBorders>
              <w:top w:val="nil"/>
              <w:left w:val="nil"/>
              <w:bottom w:val="single" w:sz="8" w:space="0" w:color="auto"/>
              <w:right w:val="single" w:sz="8" w:space="0" w:color="auto"/>
            </w:tcBorders>
            <w:shd w:val="clear" w:color="000000" w:fill="FFFFFF"/>
            <w:noWrap/>
            <w:vAlign w:val="center"/>
            <w:hideMark/>
          </w:tcPr>
          <w:p w14:paraId="16070088"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1115" w:type="dxa"/>
            <w:tcBorders>
              <w:top w:val="nil"/>
              <w:left w:val="nil"/>
              <w:bottom w:val="single" w:sz="8" w:space="0" w:color="auto"/>
              <w:right w:val="single" w:sz="8" w:space="0" w:color="auto"/>
            </w:tcBorders>
            <w:shd w:val="clear" w:color="000000" w:fill="FFFFFF"/>
            <w:noWrap/>
            <w:vAlign w:val="center"/>
            <w:hideMark/>
          </w:tcPr>
          <w:p w14:paraId="25AC1C01"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1157" w:type="dxa"/>
            <w:tcBorders>
              <w:top w:val="nil"/>
              <w:left w:val="nil"/>
              <w:bottom w:val="single" w:sz="8" w:space="0" w:color="auto"/>
              <w:right w:val="single" w:sz="8" w:space="0" w:color="auto"/>
            </w:tcBorders>
            <w:shd w:val="clear" w:color="000000" w:fill="FFFFFF"/>
            <w:noWrap/>
            <w:vAlign w:val="center"/>
            <w:hideMark/>
          </w:tcPr>
          <w:p w14:paraId="56BB077D"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45,000</w:t>
            </w:r>
          </w:p>
        </w:tc>
        <w:tc>
          <w:tcPr>
            <w:tcW w:w="1238" w:type="dxa"/>
            <w:tcBorders>
              <w:top w:val="nil"/>
              <w:left w:val="nil"/>
              <w:bottom w:val="single" w:sz="8" w:space="0" w:color="auto"/>
              <w:right w:val="single" w:sz="8" w:space="0" w:color="auto"/>
            </w:tcBorders>
            <w:shd w:val="clear" w:color="000000" w:fill="FFFFFF"/>
            <w:vAlign w:val="center"/>
            <w:hideMark/>
          </w:tcPr>
          <w:p w14:paraId="601B17EE"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w:t>
            </w:r>
          </w:p>
        </w:tc>
      </w:tr>
      <w:tr w:rsidR="005055AD" w:rsidRPr="007631AE" w14:paraId="2B9DDEB4"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51283542" w14:textId="77777777" w:rsidR="005055AD" w:rsidRPr="008244FA" w:rsidRDefault="005055AD" w:rsidP="007631AE">
            <w:pPr>
              <w:rPr>
                <w:rFonts w:asciiTheme="majorHAnsi" w:eastAsia="Times New Roman" w:hAnsiTheme="majorHAnsi" w:cstheme="majorHAnsi"/>
                <w:b/>
                <w:bCs/>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0E901659"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0950CDA5"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7BEDDD59"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6F519830"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71300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28486931" w14:textId="77777777" w:rsidR="005055AD" w:rsidRPr="008244FA" w:rsidRDefault="005055AD" w:rsidP="007631AE">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Local Consultants </w:t>
            </w:r>
          </w:p>
        </w:tc>
        <w:tc>
          <w:tcPr>
            <w:tcW w:w="1047" w:type="dxa"/>
            <w:tcBorders>
              <w:top w:val="nil"/>
              <w:left w:val="nil"/>
              <w:bottom w:val="single" w:sz="8" w:space="0" w:color="auto"/>
              <w:right w:val="single" w:sz="8" w:space="0" w:color="auto"/>
            </w:tcBorders>
            <w:shd w:val="clear" w:color="000000" w:fill="FFFFFF"/>
            <w:noWrap/>
            <w:vAlign w:val="center"/>
            <w:hideMark/>
          </w:tcPr>
          <w:p w14:paraId="7CF84B19"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43,200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5C65F72A"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989" w:type="dxa"/>
            <w:tcBorders>
              <w:top w:val="nil"/>
              <w:left w:val="nil"/>
              <w:bottom w:val="single" w:sz="8" w:space="0" w:color="auto"/>
              <w:right w:val="single" w:sz="8" w:space="0" w:color="auto"/>
            </w:tcBorders>
            <w:shd w:val="clear" w:color="000000" w:fill="FFFFFF"/>
            <w:noWrap/>
            <w:vAlign w:val="center"/>
            <w:hideMark/>
          </w:tcPr>
          <w:p w14:paraId="4EC7F47A"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12,000</w:t>
            </w:r>
          </w:p>
        </w:tc>
        <w:tc>
          <w:tcPr>
            <w:tcW w:w="992" w:type="dxa"/>
            <w:tcBorders>
              <w:top w:val="nil"/>
              <w:left w:val="nil"/>
              <w:bottom w:val="single" w:sz="8" w:space="0" w:color="auto"/>
              <w:right w:val="single" w:sz="8" w:space="0" w:color="auto"/>
            </w:tcBorders>
            <w:shd w:val="clear" w:color="000000" w:fill="FFFFFF"/>
            <w:noWrap/>
            <w:vAlign w:val="center"/>
            <w:hideMark/>
          </w:tcPr>
          <w:p w14:paraId="67FACD93"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1115" w:type="dxa"/>
            <w:tcBorders>
              <w:top w:val="nil"/>
              <w:left w:val="nil"/>
              <w:bottom w:val="single" w:sz="8" w:space="0" w:color="auto"/>
              <w:right w:val="single" w:sz="8" w:space="0" w:color="auto"/>
            </w:tcBorders>
            <w:shd w:val="clear" w:color="000000" w:fill="FFFFFF"/>
            <w:noWrap/>
            <w:vAlign w:val="center"/>
            <w:hideMark/>
          </w:tcPr>
          <w:p w14:paraId="1BAD77C4"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1157" w:type="dxa"/>
            <w:tcBorders>
              <w:top w:val="nil"/>
              <w:left w:val="nil"/>
              <w:bottom w:val="single" w:sz="8" w:space="0" w:color="auto"/>
              <w:right w:val="single" w:sz="8" w:space="0" w:color="auto"/>
            </w:tcBorders>
            <w:shd w:val="clear" w:color="000000" w:fill="FFFFFF"/>
            <w:noWrap/>
            <w:vAlign w:val="center"/>
            <w:hideMark/>
          </w:tcPr>
          <w:p w14:paraId="68D85B3D"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55,200</w:t>
            </w:r>
          </w:p>
        </w:tc>
        <w:tc>
          <w:tcPr>
            <w:tcW w:w="1238" w:type="dxa"/>
            <w:tcBorders>
              <w:top w:val="nil"/>
              <w:left w:val="nil"/>
              <w:bottom w:val="single" w:sz="8" w:space="0" w:color="auto"/>
              <w:right w:val="single" w:sz="8" w:space="0" w:color="auto"/>
            </w:tcBorders>
            <w:shd w:val="clear" w:color="000000" w:fill="FFFFFF"/>
            <w:vAlign w:val="center"/>
            <w:hideMark/>
          </w:tcPr>
          <w:p w14:paraId="4F312679"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w:t>
            </w:r>
          </w:p>
        </w:tc>
      </w:tr>
      <w:tr w:rsidR="005055AD" w:rsidRPr="007631AE" w14:paraId="304BC421" w14:textId="77777777" w:rsidTr="002E2C5F">
        <w:trPr>
          <w:trHeight w:val="323"/>
        </w:trPr>
        <w:tc>
          <w:tcPr>
            <w:tcW w:w="2111" w:type="dxa"/>
            <w:vMerge w:val="restart"/>
            <w:tcBorders>
              <w:top w:val="nil"/>
              <w:left w:val="single" w:sz="8" w:space="0" w:color="auto"/>
              <w:bottom w:val="single" w:sz="8" w:space="0" w:color="000000"/>
              <w:right w:val="single" w:sz="8" w:space="0" w:color="auto"/>
            </w:tcBorders>
            <w:shd w:val="clear" w:color="auto" w:fill="auto"/>
            <w:vAlign w:val="center"/>
            <w:hideMark/>
          </w:tcPr>
          <w:p w14:paraId="627564B3" w14:textId="28F4F946" w:rsidR="005055AD" w:rsidRPr="008244FA" w:rsidRDefault="005055AD" w:rsidP="007631AE">
            <w:pPr>
              <w:jc w:val="center"/>
              <w:rPr>
                <w:rFonts w:asciiTheme="majorHAnsi" w:eastAsia="Times New Roman" w:hAnsiTheme="majorHAnsi" w:cstheme="majorHAnsi"/>
                <w:color w:val="000000"/>
                <w:sz w:val="18"/>
                <w:szCs w:val="18"/>
                <w:lang w:eastAsia="fr-FR"/>
              </w:rPr>
            </w:pPr>
            <w:bookmarkStart w:id="89" w:name="RANGE!A6"/>
            <w:r w:rsidRPr="008244FA">
              <w:rPr>
                <w:rFonts w:asciiTheme="majorHAnsi" w:eastAsia="Times New Roman" w:hAnsiTheme="majorHAnsi" w:cstheme="majorHAnsi"/>
                <w:color w:val="000000"/>
                <w:sz w:val="18"/>
                <w:szCs w:val="18"/>
                <w:lang w:eastAsia="fr-FR"/>
              </w:rPr>
              <w:t>Creation of enabling conditions for application and scaling-up of landscape management model</w:t>
            </w:r>
            <w:bookmarkEnd w:id="89"/>
          </w:p>
        </w:tc>
        <w:tc>
          <w:tcPr>
            <w:tcW w:w="1189" w:type="dxa"/>
            <w:vMerge/>
            <w:tcBorders>
              <w:top w:val="nil"/>
              <w:left w:val="single" w:sz="8" w:space="0" w:color="auto"/>
              <w:bottom w:val="single" w:sz="8" w:space="0" w:color="000000"/>
              <w:right w:val="single" w:sz="8" w:space="0" w:color="auto"/>
            </w:tcBorders>
            <w:vAlign w:val="center"/>
            <w:hideMark/>
          </w:tcPr>
          <w:p w14:paraId="4CA5018A" w14:textId="77777777" w:rsidR="005055AD" w:rsidRPr="008244FA" w:rsidRDefault="005055AD" w:rsidP="007631AE">
            <w:pPr>
              <w:rPr>
                <w:rFonts w:asciiTheme="majorHAnsi" w:eastAsia="Times New Roman" w:hAnsiTheme="majorHAnsi" w:cstheme="majorHAnsi"/>
                <w:color w:val="000000"/>
                <w:sz w:val="18"/>
                <w:szCs w:val="18"/>
                <w:lang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3121DA32" w14:textId="77777777" w:rsidR="005055AD" w:rsidRPr="008244FA" w:rsidRDefault="005055AD" w:rsidP="007631AE">
            <w:pPr>
              <w:rPr>
                <w:rFonts w:asciiTheme="majorHAnsi" w:eastAsia="Times New Roman" w:hAnsiTheme="majorHAnsi" w:cstheme="majorHAnsi"/>
                <w:color w:val="000000"/>
                <w:sz w:val="18"/>
                <w:szCs w:val="18"/>
                <w:lang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7ABC81E8" w14:textId="77777777" w:rsidR="005055AD" w:rsidRPr="008244FA" w:rsidRDefault="005055AD" w:rsidP="007631AE">
            <w:pPr>
              <w:rPr>
                <w:rFonts w:asciiTheme="majorHAnsi" w:eastAsia="Times New Roman" w:hAnsiTheme="majorHAnsi" w:cstheme="majorHAnsi"/>
                <w:color w:val="000000"/>
                <w:sz w:val="18"/>
                <w:szCs w:val="18"/>
                <w:lang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2CD0A801"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71400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5BC9F89E" w14:textId="77777777" w:rsidR="005055AD" w:rsidRPr="008244FA" w:rsidRDefault="005055AD" w:rsidP="007631AE">
            <w:pPr>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Individual</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000000" w:fill="FFFFFF"/>
            <w:noWrap/>
            <w:vAlign w:val="center"/>
            <w:hideMark/>
          </w:tcPr>
          <w:p w14:paraId="6E539F76"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48,000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19195872"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48,000</w:t>
            </w:r>
          </w:p>
        </w:tc>
        <w:tc>
          <w:tcPr>
            <w:tcW w:w="989" w:type="dxa"/>
            <w:tcBorders>
              <w:top w:val="nil"/>
              <w:left w:val="nil"/>
              <w:bottom w:val="single" w:sz="8" w:space="0" w:color="auto"/>
              <w:right w:val="single" w:sz="8" w:space="0" w:color="auto"/>
            </w:tcBorders>
            <w:shd w:val="clear" w:color="000000" w:fill="FFFFFF"/>
            <w:noWrap/>
            <w:vAlign w:val="center"/>
            <w:hideMark/>
          </w:tcPr>
          <w:p w14:paraId="7C62DA83"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48,000</w:t>
            </w:r>
          </w:p>
        </w:tc>
        <w:tc>
          <w:tcPr>
            <w:tcW w:w="992" w:type="dxa"/>
            <w:tcBorders>
              <w:top w:val="nil"/>
              <w:left w:val="nil"/>
              <w:bottom w:val="single" w:sz="8" w:space="0" w:color="auto"/>
              <w:right w:val="single" w:sz="8" w:space="0" w:color="auto"/>
            </w:tcBorders>
            <w:shd w:val="clear" w:color="000000" w:fill="FFFFFF"/>
            <w:noWrap/>
            <w:vAlign w:val="center"/>
            <w:hideMark/>
          </w:tcPr>
          <w:p w14:paraId="7765D044"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48,000</w:t>
            </w:r>
          </w:p>
        </w:tc>
        <w:tc>
          <w:tcPr>
            <w:tcW w:w="1115" w:type="dxa"/>
            <w:tcBorders>
              <w:top w:val="nil"/>
              <w:left w:val="nil"/>
              <w:bottom w:val="single" w:sz="8" w:space="0" w:color="auto"/>
              <w:right w:val="single" w:sz="8" w:space="0" w:color="auto"/>
            </w:tcBorders>
            <w:shd w:val="clear" w:color="000000" w:fill="FFFFFF"/>
            <w:noWrap/>
            <w:vAlign w:val="center"/>
            <w:hideMark/>
          </w:tcPr>
          <w:p w14:paraId="17F3CA80"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48,000</w:t>
            </w:r>
          </w:p>
        </w:tc>
        <w:tc>
          <w:tcPr>
            <w:tcW w:w="1157" w:type="dxa"/>
            <w:tcBorders>
              <w:top w:val="nil"/>
              <w:left w:val="nil"/>
              <w:bottom w:val="single" w:sz="8" w:space="0" w:color="auto"/>
              <w:right w:val="single" w:sz="8" w:space="0" w:color="auto"/>
            </w:tcBorders>
            <w:shd w:val="clear" w:color="000000" w:fill="FFFFFF"/>
            <w:noWrap/>
            <w:vAlign w:val="center"/>
            <w:hideMark/>
          </w:tcPr>
          <w:p w14:paraId="7EAC4579"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240,000</w:t>
            </w:r>
          </w:p>
        </w:tc>
        <w:tc>
          <w:tcPr>
            <w:tcW w:w="1238" w:type="dxa"/>
            <w:tcBorders>
              <w:top w:val="nil"/>
              <w:left w:val="nil"/>
              <w:bottom w:val="single" w:sz="8" w:space="0" w:color="auto"/>
              <w:right w:val="single" w:sz="8" w:space="0" w:color="auto"/>
            </w:tcBorders>
            <w:shd w:val="clear" w:color="000000" w:fill="FFFFFF"/>
            <w:vAlign w:val="center"/>
            <w:hideMark/>
          </w:tcPr>
          <w:p w14:paraId="31F21CE8"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3</w:t>
            </w:r>
          </w:p>
        </w:tc>
      </w:tr>
      <w:tr w:rsidR="005055AD" w:rsidRPr="007631AE" w14:paraId="166EA1E1"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65AFE347"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27AF0AF6"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35A37D7D"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5C11EF30"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3711F462"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71600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46D91550" w14:textId="77777777" w:rsidR="005055AD" w:rsidRPr="008244FA" w:rsidRDefault="005055AD" w:rsidP="007631AE">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Travel </w:t>
            </w:r>
          </w:p>
        </w:tc>
        <w:tc>
          <w:tcPr>
            <w:tcW w:w="1047" w:type="dxa"/>
            <w:tcBorders>
              <w:top w:val="nil"/>
              <w:left w:val="nil"/>
              <w:bottom w:val="single" w:sz="8" w:space="0" w:color="auto"/>
              <w:right w:val="single" w:sz="8" w:space="0" w:color="auto"/>
            </w:tcBorders>
            <w:shd w:val="clear" w:color="000000" w:fill="FFFFFF"/>
            <w:noWrap/>
            <w:vAlign w:val="center"/>
            <w:hideMark/>
          </w:tcPr>
          <w:p w14:paraId="1113835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20,000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34A376C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20,000</w:t>
            </w:r>
          </w:p>
        </w:tc>
        <w:tc>
          <w:tcPr>
            <w:tcW w:w="989" w:type="dxa"/>
            <w:tcBorders>
              <w:top w:val="nil"/>
              <w:left w:val="nil"/>
              <w:bottom w:val="single" w:sz="8" w:space="0" w:color="auto"/>
              <w:right w:val="single" w:sz="8" w:space="0" w:color="auto"/>
            </w:tcBorders>
            <w:shd w:val="clear" w:color="000000" w:fill="FFFFFF"/>
            <w:noWrap/>
            <w:vAlign w:val="center"/>
            <w:hideMark/>
          </w:tcPr>
          <w:p w14:paraId="7E118583"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20,000</w:t>
            </w:r>
          </w:p>
        </w:tc>
        <w:tc>
          <w:tcPr>
            <w:tcW w:w="992" w:type="dxa"/>
            <w:tcBorders>
              <w:top w:val="nil"/>
              <w:left w:val="nil"/>
              <w:bottom w:val="single" w:sz="8" w:space="0" w:color="auto"/>
              <w:right w:val="single" w:sz="8" w:space="0" w:color="auto"/>
            </w:tcBorders>
            <w:shd w:val="clear" w:color="000000" w:fill="FFFFFF"/>
            <w:noWrap/>
            <w:vAlign w:val="center"/>
            <w:hideMark/>
          </w:tcPr>
          <w:p w14:paraId="013BFA2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20,000</w:t>
            </w:r>
          </w:p>
        </w:tc>
        <w:tc>
          <w:tcPr>
            <w:tcW w:w="1115" w:type="dxa"/>
            <w:tcBorders>
              <w:top w:val="nil"/>
              <w:left w:val="nil"/>
              <w:bottom w:val="single" w:sz="8" w:space="0" w:color="auto"/>
              <w:right w:val="single" w:sz="8" w:space="0" w:color="auto"/>
            </w:tcBorders>
            <w:shd w:val="clear" w:color="000000" w:fill="FFFFFF"/>
            <w:noWrap/>
            <w:vAlign w:val="center"/>
            <w:hideMark/>
          </w:tcPr>
          <w:p w14:paraId="74F7DAD1"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20,000</w:t>
            </w:r>
          </w:p>
        </w:tc>
        <w:tc>
          <w:tcPr>
            <w:tcW w:w="1157" w:type="dxa"/>
            <w:tcBorders>
              <w:top w:val="nil"/>
              <w:left w:val="nil"/>
              <w:bottom w:val="single" w:sz="8" w:space="0" w:color="auto"/>
              <w:right w:val="single" w:sz="8" w:space="0" w:color="auto"/>
            </w:tcBorders>
            <w:shd w:val="clear" w:color="000000" w:fill="FFFFFF"/>
            <w:noWrap/>
            <w:vAlign w:val="center"/>
            <w:hideMark/>
          </w:tcPr>
          <w:p w14:paraId="6392766A"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100,000</w:t>
            </w:r>
          </w:p>
        </w:tc>
        <w:tc>
          <w:tcPr>
            <w:tcW w:w="1238" w:type="dxa"/>
            <w:tcBorders>
              <w:top w:val="nil"/>
              <w:left w:val="nil"/>
              <w:bottom w:val="single" w:sz="8" w:space="0" w:color="auto"/>
              <w:right w:val="single" w:sz="8" w:space="0" w:color="auto"/>
            </w:tcBorders>
            <w:shd w:val="clear" w:color="000000" w:fill="FFFFFF"/>
            <w:vAlign w:val="center"/>
            <w:hideMark/>
          </w:tcPr>
          <w:p w14:paraId="04D5BADF"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4</w:t>
            </w:r>
          </w:p>
        </w:tc>
      </w:tr>
      <w:tr w:rsidR="005055AD" w:rsidRPr="007631AE" w14:paraId="6A854F36"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2D44F64D"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49A9BF57"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7350A2CB"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77822DF8"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582A7668"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72100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700D6299" w14:textId="77777777" w:rsidR="005055AD" w:rsidRPr="008244FA" w:rsidRDefault="005055AD" w:rsidP="007631AE">
            <w:pPr>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companies</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000000" w:fill="FFFFFF"/>
            <w:noWrap/>
            <w:vAlign w:val="center"/>
            <w:hideMark/>
          </w:tcPr>
          <w:p w14:paraId="4C8C7A39"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22,000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4439B340"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22,000</w:t>
            </w:r>
          </w:p>
        </w:tc>
        <w:tc>
          <w:tcPr>
            <w:tcW w:w="989" w:type="dxa"/>
            <w:tcBorders>
              <w:top w:val="nil"/>
              <w:left w:val="nil"/>
              <w:bottom w:val="single" w:sz="8" w:space="0" w:color="auto"/>
              <w:right w:val="single" w:sz="8" w:space="0" w:color="auto"/>
            </w:tcBorders>
            <w:shd w:val="clear" w:color="000000" w:fill="FFFFFF"/>
            <w:noWrap/>
            <w:vAlign w:val="center"/>
            <w:hideMark/>
          </w:tcPr>
          <w:p w14:paraId="749E7038"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22,000</w:t>
            </w:r>
          </w:p>
        </w:tc>
        <w:tc>
          <w:tcPr>
            <w:tcW w:w="992" w:type="dxa"/>
            <w:tcBorders>
              <w:top w:val="nil"/>
              <w:left w:val="nil"/>
              <w:bottom w:val="single" w:sz="8" w:space="0" w:color="auto"/>
              <w:right w:val="single" w:sz="8" w:space="0" w:color="auto"/>
            </w:tcBorders>
            <w:shd w:val="clear" w:color="000000" w:fill="FFFFFF"/>
            <w:noWrap/>
            <w:vAlign w:val="center"/>
            <w:hideMark/>
          </w:tcPr>
          <w:p w14:paraId="7D44099A"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22,000</w:t>
            </w:r>
          </w:p>
        </w:tc>
        <w:tc>
          <w:tcPr>
            <w:tcW w:w="1115" w:type="dxa"/>
            <w:tcBorders>
              <w:top w:val="nil"/>
              <w:left w:val="nil"/>
              <w:bottom w:val="single" w:sz="8" w:space="0" w:color="auto"/>
              <w:right w:val="single" w:sz="8" w:space="0" w:color="auto"/>
            </w:tcBorders>
            <w:shd w:val="clear" w:color="000000" w:fill="FFFFFF"/>
            <w:noWrap/>
            <w:vAlign w:val="center"/>
            <w:hideMark/>
          </w:tcPr>
          <w:p w14:paraId="3631637D"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22,000</w:t>
            </w:r>
          </w:p>
        </w:tc>
        <w:tc>
          <w:tcPr>
            <w:tcW w:w="1157" w:type="dxa"/>
            <w:tcBorders>
              <w:top w:val="nil"/>
              <w:left w:val="nil"/>
              <w:bottom w:val="single" w:sz="8" w:space="0" w:color="auto"/>
              <w:right w:val="single" w:sz="8" w:space="0" w:color="auto"/>
            </w:tcBorders>
            <w:shd w:val="clear" w:color="000000" w:fill="FFFFFF"/>
            <w:noWrap/>
            <w:vAlign w:val="center"/>
            <w:hideMark/>
          </w:tcPr>
          <w:p w14:paraId="1FC286B5"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110,000</w:t>
            </w:r>
          </w:p>
        </w:tc>
        <w:tc>
          <w:tcPr>
            <w:tcW w:w="1238" w:type="dxa"/>
            <w:tcBorders>
              <w:top w:val="nil"/>
              <w:left w:val="nil"/>
              <w:bottom w:val="single" w:sz="8" w:space="0" w:color="auto"/>
              <w:right w:val="single" w:sz="8" w:space="0" w:color="auto"/>
            </w:tcBorders>
            <w:shd w:val="clear" w:color="000000" w:fill="FFFFFF"/>
            <w:vAlign w:val="center"/>
            <w:hideMark/>
          </w:tcPr>
          <w:p w14:paraId="04B68E7F"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5</w:t>
            </w:r>
          </w:p>
        </w:tc>
      </w:tr>
      <w:tr w:rsidR="005055AD" w:rsidRPr="007631AE" w14:paraId="6AE6C7EE"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173CC9D9"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12184DA5"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21072F11"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2BA57259"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05208BA4"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72200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4C99B4BF" w14:textId="77777777" w:rsidR="005055AD" w:rsidRPr="008244FA" w:rsidRDefault="005055AD" w:rsidP="007631AE">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Equipment and </w:t>
            </w:r>
            <w:proofErr w:type="spellStart"/>
            <w:r w:rsidRPr="008244FA">
              <w:rPr>
                <w:rFonts w:asciiTheme="majorHAnsi" w:eastAsia="Times New Roman" w:hAnsiTheme="majorHAnsi" w:cstheme="majorHAnsi"/>
                <w:color w:val="000000"/>
                <w:sz w:val="18"/>
                <w:szCs w:val="18"/>
                <w:lang w:val="fr-FR" w:eastAsia="fr-FR"/>
              </w:rPr>
              <w:t>Furniture</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000000" w:fill="FFFFFF"/>
            <w:noWrap/>
            <w:vAlign w:val="center"/>
            <w:hideMark/>
          </w:tcPr>
          <w:p w14:paraId="3FB7D6A2"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25,000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0AB1D720"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25,000</w:t>
            </w:r>
          </w:p>
        </w:tc>
        <w:tc>
          <w:tcPr>
            <w:tcW w:w="989" w:type="dxa"/>
            <w:tcBorders>
              <w:top w:val="nil"/>
              <w:left w:val="nil"/>
              <w:bottom w:val="single" w:sz="8" w:space="0" w:color="auto"/>
              <w:right w:val="single" w:sz="8" w:space="0" w:color="auto"/>
            </w:tcBorders>
            <w:shd w:val="clear" w:color="000000" w:fill="FFFFFF"/>
            <w:noWrap/>
            <w:vAlign w:val="center"/>
            <w:hideMark/>
          </w:tcPr>
          <w:p w14:paraId="6396AB08"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25,000</w:t>
            </w:r>
          </w:p>
        </w:tc>
        <w:tc>
          <w:tcPr>
            <w:tcW w:w="992" w:type="dxa"/>
            <w:tcBorders>
              <w:top w:val="nil"/>
              <w:left w:val="nil"/>
              <w:bottom w:val="single" w:sz="8" w:space="0" w:color="auto"/>
              <w:right w:val="single" w:sz="8" w:space="0" w:color="auto"/>
            </w:tcBorders>
            <w:shd w:val="clear" w:color="000000" w:fill="FFFFFF"/>
            <w:noWrap/>
            <w:vAlign w:val="center"/>
            <w:hideMark/>
          </w:tcPr>
          <w:p w14:paraId="262C4BE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25,000</w:t>
            </w:r>
          </w:p>
        </w:tc>
        <w:tc>
          <w:tcPr>
            <w:tcW w:w="1115" w:type="dxa"/>
            <w:tcBorders>
              <w:top w:val="nil"/>
              <w:left w:val="nil"/>
              <w:bottom w:val="single" w:sz="8" w:space="0" w:color="auto"/>
              <w:right w:val="single" w:sz="8" w:space="0" w:color="auto"/>
            </w:tcBorders>
            <w:shd w:val="clear" w:color="000000" w:fill="FFFFFF"/>
            <w:noWrap/>
            <w:vAlign w:val="center"/>
            <w:hideMark/>
          </w:tcPr>
          <w:p w14:paraId="0C683895"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25,000</w:t>
            </w:r>
          </w:p>
        </w:tc>
        <w:tc>
          <w:tcPr>
            <w:tcW w:w="1157" w:type="dxa"/>
            <w:tcBorders>
              <w:top w:val="nil"/>
              <w:left w:val="nil"/>
              <w:bottom w:val="single" w:sz="8" w:space="0" w:color="auto"/>
              <w:right w:val="single" w:sz="8" w:space="0" w:color="auto"/>
            </w:tcBorders>
            <w:shd w:val="clear" w:color="000000" w:fill="FFFFFF"/>
            <w:noWrap/>
            <w:vAlign w:val="center"/>
            <w:hideMark/>
          </w:tcPr>
          <w:p w14:paraId="154F5BF0"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125,000</w:t>
            </w:r>
          </w:p>
        </w:tc>
        <w:tc>
          <w:tcPr>
            <w:tcW w:w="1238" w:type="dxa"/>
            <w:tcBorders>
              <w:top w:val="nil"/>
              <w:left w:val="nil"/>
              <w:bottom w:val="single" w:sz="8" w:space="0" w:color="auto"/>
              <w:right w:val="single" w:sz="8" w:space="0" w:color="auto"/>
            </w:tcBorders>
            <w:shd w:val="clear" w:color="000000" w:fill="FFFFFF"/>
            <w:vAlign w:val="center"/>
            <w:hideMark/>
          </w:tcPr>
          <w:p w14:paraId="2086B552"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6</w:t>
            </w:r>
          </w:p>
        </w:tc>
      </w:tr>
      <w:tr w:rsidR="005055AD" w:rsidRPr="007631AE" w14:paraId="3468D3F6"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3290D7B1"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79AF803B"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4D15F0DB"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5DC5D0D5"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08E95BF7"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72400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7B79CB5F" w14:textId="77777777" w:rsidR="005055AD" w:rsidRPr="008244FA" w:rsidRDefault="005055AD" w:rsidP="007631AE">
            <w:pPr>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Communic</w:t>
            </w:r>
            <w:proofErr w:type="spellEnd"/>
            <w:r w:rsidRPr="008244FA">
              <w:rPr>
                <w:rFonts w:asciiTheme="majorHAnsi" w:eastAsia="Times New Roman" w:hAnsiTheme="majorHAnsi" w:cstheme="majorHAnsi"/>
                <w:color w:val="000000"/>
                <w:sz w:val="18"/>
                <w:szCs w:val="18"/>
                <w:lang w:val="fr-FR" w:eastAsia="fr-FR"/>
              </w:rPr>
              <w:t xml:space="preserve"> &amp; </w:t>
            </w:r>
            <w:proofErr w:type="spellStart"/>
            <w:r w:rsidRPr="008244FA">
              <w:rPr>
                <w:rFonts w:asciiTheme="majorHAnsi" w:eastAsia="Times New Roman" w:hAnsiTheme="majorHAnsi" w:cstheme="majorHAnsi"/>
                <w:color w:val="000000"/>
                <w:sz w:val="18"/>
                <w:szCs w:val="18"/>
                <w:lang w:val="fr-FR" w:eastAsia="fr-FR"/>
              </w:rPr>
              <w:t>Audio-Visual</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1047" w:type="dxa"/>
            <w:tcBorders>
              <w:top w:val="nil"/>
              <w:left w:val="nil"/>
              <w:bottom w:val="single" w:sz="8" w:space="0" w:color="auto"/>
              <w:right w:val="single" w:sz="8" w:space="0" w:color="auto"/>
            </w:tcBorders>
            <w:shd w:val="clear" w:color="000000" w:fill="FFFFFF"/>
            <w:noWrap/>
            <w:vAlign w:val="center"/>
            <w:hideMark/>
          </w:tcPr>
          <w:p w14:paraId="0A7C0802"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6,000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534BD80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6,000</w:t>
            </w:r>
          </w:p>
        </w:tc>
        <w:tc>
          <w:tcPr>
            <w:tcW w:w="989" w:type="dxa"/>
            <w:tcBorders>
              <w:top w:val="nil"/>
              <w:left w:val="nil"/>
              <w:bottom w:val="single" w:sz="8" w:space="0" w:color="auto"/>
              <w:right w:val="single" w:sz="8" w:space="0" w:color="auto"/>
            </w:tcBorders>
            <w:shd w:val="clear" w:color="000000" w:fill="FFFFFF"/>
            <w:noWrap/>
            <w:vAlign w:val="center"/>
            <w:hideMark/>
          </w:tcPr>
          <w:p w14:paraId="1FAB0080"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6,000</w:t>
            </w:r>
          </w:p>
        </w:tc>
        <w:tc>
          <w:tcPr>
            <w:tcW w:w="992" w:type="dxa"/>
            <w:tcBorders>
              <w:top w:val="nil"/>
              <w:left w:val="nil"/>
              <w:bottom w:val="single" w:sz="8" w:space="0" w:color="auto"/>
              <w:right w:val="single" w:sz="8" w:space="0" w:color="auto"/>
            </w:tcBorders>
            <w:shd w:val="clear" w:color="000000" w:fill="FFFFFF"/>
            <w:noWrap/>
            <w:vAlign w:val="center"/>
            <w:hideMark/>
          </w:tcPr>
          <w:p w14:paraId="7E3EE951"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6,000</w:t>
            </w:r>
          </w:p>
        </w:tc>
        <w:tc>
          <w:tcPr>
            <w:tcW w:w="1115" w:type="dxa"/>
            <w:tcBorders>
              <w:top w:val="nil"/>
              <w:left w:val="nil"/>
              <w:bottom w:val="single" w:sz="8" w:space="0" w:color="auto"/>
              <w:right w:val="single" w:sz="8" w:space="0" w:color="auto"/>
            </w:tcBorders>
            <w:shd w:val="clear" w:color="000000" w:fill="FFFFFF"/>
            <w:noWrap/>
            <w:vAlign w:val="center"/>
            <w:hideMark/>
          </w:tcPr>
          <w:p w14:paraId="4E89B8D1"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5,334</w:t>
            </w:r>
          </w:p>
        </w:tc>
        <w:tc>
          <w:tcPr>
            <w:tcW w:w="1157" w:type="dxa"/>
            <w:tcBorders>
              <w:top w:val="nil"/>
              <w:left w:val="nil"/>
              <w:bottom w:val="single" w:sz="8" w:space="0" w:color="auto"/>
              <w:right w:val="single" w:sz="8" w:space="0" w:color="auto"/>
            </w:tcBorders>
            <w:shd w:val="clear" w:color="000000" w:fill="FFFFFF"/>
            <w:noWrap/>
            <w:vAlign w:val="center"/>
            <w:hideMark/>
          </w:tcPr>
          <w:p w14:paraId="14841573"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29,334</w:t>
            </w:r>
          </w:p>
        </w:tc>
        <w:tc>
          <w:tcPr>
            <w:tcW w:w="1238" w:type="dxa"/>
            <w:tcBorders>
              <w:top w:val="nil"/>
              <w:left w:val="nil"/>
              <w:bottom w:val="single" w:sz="8" w:space="0" w:color="auto"/>
              <w:right w:val="single" w:sz="8" w:space="0" w:color="auto"/>
            </w:tcBorders>
            <w:shd w:val="clear" w:color="000000" w:fill="FFFFFF"/>
            <w:vAlign w:val="center"/>
            <w:hideMark/>
          </w:tcPr>
          <w:p w14:paraId="2A37A95B"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7</w:t>
            </w:r>
          </w:p>
        </w:tc>
      </w:tr>
      <w:tr w:rsidR="005055AD" w:rsidRPr="007631AE" w14:paraId="53D07B0E"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34985E48"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5465C8CC"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0BBBCAD7"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3E616256"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39065AFA"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72800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43DD0B93" w14:textId="77777777" w:rsidR="005055AD" w:rsidRPr="008244FA" w:rsidRDefault="005055AD" w:rsidP="007631AE">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Information </w:t>
            </w:r>
            <w:proofErr w:type="spellStart"/>
            <w:r w:rsidRPr="008244FA">
              <w:rPr>
                <w:rFonts w:asciiTheme="majorHAnsi" w:eastAsia="Times New Roman" w:hAnsiTheme="majorHAnsi" w:cstheme="majorHAnsi"/>
                <w:color w:val="000000"/>
                <w:sz w:val="18"/>
                <w:szCs w:val="18"/>
                <w:lang w:val="fr-FR" w:eastAsia="fr-FR"/>
              </w:rPr>
              <w:t>Technology</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1047" w:type="dxa"/>
            <w:tcBorders>
              <w:top w:val="nil"/>
              <w:left w:val="nil"/>
              <w:bottom w:val="single" w:sz="8" w:space="0" w:color="auto"/>
              <w:right w:val="single" w:sz="8" w:space="0" w:color="auto"/>
            </w:tcBorders>
            <w:shd w:val="clear" w:color="000000" w:fill="FFFFFF"/>
            <w:noWrap/>
            <w:vAlign w:val="center"/>
            <w:hideMark/>
          </w:tcPr>
          <w:p w14:paraId="1211EFA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5524A18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989" w:type="dxa"/>
            <w:tcBorders>
              <w:top w:val="nil"/>
              <w:left w:val="nil"/>
              <w:bottom w:val="single" w:sz="8" w:space="0" w:color="auto"/>
              <w:right w:val="single" w:sz="8" w:space="0" w:color="auto"/>
            </w:tcBorders>
            <w:shd w:val="clear" w:color="000000" w:fill="FFFFFF"/>
            <w:noWrap/>
            <w:vAlign w:val="center"/>
            <w:hideMark/>
          </w:tcPr>
          <w:p w14:paraId="79569907"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9000</w:t>
            </w:r>
          </w:p>
        </w:tc>
        <w:tc>
          <w:tcPr>
            <w:tcW w:w="992" w:type="dxa"/>
            <w:tcBorders>
              <w:top w:val="nil"/>
              <w:left w:val="nil"/>
              <w:bottom w:val="single" w:sz="8" w:space="0" w:color="auto"/>
              <w:right w:val="single" w:sz="8" w:space="0" w:color="auto"/>
            </w:tcBorders>
            <w:shd w:val="clear" w:color="000000" w:fill="FFFFFF"/>
            <w:noWrap/>
            <w:vAlign w:val="center"/>
            <w:hideMark/>
          </w:tcPr>
          <w:p w14:paraId="0A399696"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5000</w:t>
            </w:r>
          </w:p>
        </w:tc>
        <w:tc>
          <w:tcPr>
            <w:tcW w:w="1115" w:type="dxa"/>
            <w:tcBorders>
              <w:top w:val="nil"/>
              <w:left w:val="nil"/>
              <w:bottom w:val="single" w:sz="8" w:space="0" w:color="auto"/>
              <w:right w:val="single" w:sz="8" w:space="0" w:color="auto"/>
            </w:tcBorders>
            <w:shd w:val="clear" w:color="000000" w:fill="FFFFFF"/>
            <w:noWrap/>
            <w:vAlign w:val="center"/>
            <w:hideMark/>
          </w:tcPr>
          <w:p w14:paraId="5E52A17A"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5000</w:t>
            </w:r>
          </w:p>
        </w:tc>
        <w:tc>
          <w:tcPr>
            <w:tcW w:w="1157" w:type="dxa"/>
            <w:tcBorders>
              <w:top w:val="nil"/>
              <w:left w:val="nil"/>
              <w:bottom w:val="single" w:sz="8" w:space="0" w:color="auto"/>
              <w:right w:val="single" w:sz="8" w:space="0" w:color="auto"/>
            </w:tcBorders>
            <w:shd w:val="clear" w:color="000000" w:fill="FFFFFF"/>
            <w:noWrap/>
            <w:vAlign w:val="center"/>
            <w:hideMark/>
          </w:tcPr>
          <w:p w14:paraId="2309ACE0"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39,000</w:t>
            </w:r>
          </w:p>
        </w:tc>
        <w:tc>
          <w:tcPr>
            <w:tcW w:w="1238" w:type="dxa"/>
            <w:tcBorders>
              <w:top w:val="nil"/>
              <w:left w:val="nil"/>
              <w:bottom w:val="single" w:sz="8" w:space="0" w:color="auto"/>
              <w:right w:val="single" w:sz="8" w:space="0" w:color="auto"/>
            </w:tcBorders>
            <w:shd w:val="clear" w:color="000000" w:fill="FFFFFF"/>
            <w:vAlign w:val="center"/>
            <w:hideMark/>
          </w:tcPr>
          <w:p w14:paraId="4539C1E6"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8</w:t>
            </w:r>
          </w:p>
        </w:tc>
      </w:tr>
      <w:tr w:rsidR="005055AD" w:rsidRPr="007631AE" w14:paraId="2517EE0B"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000DB483"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28D2B2B3"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41374D27"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0197A82A"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321B0250"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73100</w:t>
            </w:r>
          </w:p>
        </w:tc>
        <w:tc>
          <w:tcPr>
            <w:tcW w:w="2103" w:type="dxa"/>
            <w:gridSpan w:val="3"/>
            <w:tcBorders>
              <w:top w:val="nil"/>
              <w:left w:val="nil"/>
              <w:bottom w:val="single" w:sz="8" w:space="0" w:color="auto"/>
              <w:right w:val="single" w:sz="8" w:space="0" w:color="auto"/>
            </w:tcBorders>
            <w:shd w:val="clear" w:color="auto" w:fill="auto"/>
            <w:noWrap/>
            <w:vAlign w:val="center"/>
            <w:hideMark/>
          </w:tcPr>
          <w:p w14:paraId="51349399" w14:textId="77777777" w:rsidR="005055AD" w:rsidRPr="008244FA" w:rsidRDefault="005055AD" w:rsidP="007631AE">
            <w:pPr>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Rental</w:t>
            </w:r>
            <w:proofErr w:type="spellEnd"/>
            <w:r w:rsidRPr="008244FA">
              <w:rPr>
                <w:rFonts w:asciiTheme="majorHAnsi" w:eastAsia="Times New Roman" w:hAnsiTheme="majorHAnsi" w:cstheme="majorHAnsi"/>
                <w:color w:val="000000"/>
                <w:sz w:val="18"/>
                <w:szCs w:val="18"/>
                <w:lang w:val="fr-FR" w:eastAsia="fr-FR"/>
              </w:rPr>
              <w:t xml:space="preserve"> and Maintenance - </w:t>
            </w:r>
            <w:proofErr w:type="spellStart"/>
            <w:r w:rsidRPr="008244FA">
              <w:rPr>
                <w:rFonts w:asciiTheme="majorHAnsi" w:eastAsia="Times New Roman" w:hAnsiTheme="majorHAnsi" w:cstheme="majorHAnsi"/>
                <w:color w:val="000000"/>
                <w:sz w:val="18"/>
                <w:szCs w:val="18"/>
                <w:lang w:val="fr-FR" w:eastAsia="fr-FR"/>
              </w:rPr>
              <w:t>Premises</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auto" w:fill="auto"/>
            <w:noWrap/>
            <w:vAlign w:val="center"/>
            <w:hideMark/>
          </w:tcPr>
          <w:p w14:paraId="690F466F"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7,000</w:t>
            </w:r>
          </w:p>
        </w:tc>
        <w:tc>
          <w:tcPr>
            <w:tcW w:w="975" w:type="dxa"/>
            <w:gridSpan w:val="2"/>
            <w:tcBorders>
              <w:top w:val="nil"/>
              <w:left w:val="nil"/>
              <w:bottom w:val="single" w:sz="8" w:space="0" w:color="auto"/>
              <w:right w:val="single" w:sz="8" w:space="0" w:color="auto"/>
            </w:tcBorders>
            <w:shd w:val="clear" w:color="auto" w:fill="auto"/>
            <w:noWrap/>
            <w:vAlign w:val="center"/>
            <w:hideMark/>
          </w:tcPr>
          <w:p w14:paraId="0A0DFD6C"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7,000</w:t>
            </w:r>
          </w:p>
        </w:tc>
        <w:tc>
          <w:tcPr>
            <w:tcW w:w="989" w:type="dxa"/>
            <w:tcBorders>
              <w:top w:val="nil"/>
              <w:left w:val="nil"/>
              <w:bottom w:val="single" w:sz="8" w:space="0" w:color="auto"/>
              <w:right w:val="single" w:sz="8" w:space="0" w:color="auto"/>
            </w:tcBorders>
            <w:shd w:val="clear" w:color="auto" w:fill="auto"/>
            <w:noWrap/>
            <w:vAlign w:val="center"/>
            <w:hideMark/>
          </w:tcPr>
          <w:p w14:paraId="55BFDDB1"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7,000</w:t>
            </w:r>
          </w:p>
        </w:tc>
        <w:tc>
          <w:tcPr>
            <w:tcW w:w="992" w:type="dxa"/>
            <w:tcBorders>
              <w:top w:val="nil"/>
              <w:left w:val="nil"/>
              <w:bottom w:val="single" w:sz="8" w:space="0" w:color="auto"/>
              <w:right w:val="single" w:sz="8" w:space="0" w:color="auto"/>
            </w:tcBorders>
            <w:shd w:val="clear" w:color="auto" w:fill="auto"/>
            <w:noWrap/>
            <w:vAlign w:val="center"/>
            <w:hideMark/>
          </w:tcPr>
          <w:p w14:paraId="3CA8B7C0"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7,000</w:t>
            </w:r>
          </w:p>
        </w:tc>
        <w:tc>
          <w:tcPr>
            <w:tcW w:w="1115" w:type="dxa"/>
            <w:tcBorders>
              <w:top w:val="nil"/>
              <w:left w:val="nil"/>
              <w:bottom w:val="single" w:sz="8" w:space="0" w:color="auto"/>
              <w:right w:val="single" w:sz="8" w:space="0" w:color="auto"/>
            </w:tcBorders>
            <w:shd w:val="clear" w:color="auto" w:fill="auto"/>
            <w:noWrap/>
            <w:vAlign w:val="center"/>
            <w:hideMark/>
          </w:tcPr>
          <w:p w14:paraId="2F9E2288"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7,000</w:t>
            </w:r>
          </w:p>
        </w:tc>
        <w:tc>
          <w:tcPr>
            <w:tcW w:w="1157" w:type="dxa"/>
            <w:tcBorders>
              <w:top w:val="nil"/>
              <w:left w:val="nil"/>
              <w:bottom w:val="single" w:sz="8" w:space="0" w:color="auto"/>
              <w:right w:val="single" w:sz="8" w:space="0" w:color="auto"/>
            </w:tcBorders>
            <w:shd w:val="clear" w:color="auto" w:fill="auto"/>
            <w:noWrap/>
            <w:vAlign w:val="center"/>
            <w:hideMark/>
          </w:tcPr>
          <w:p w14:paraId="609F96D1"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35,000</w:t>
            </w:r>
          </w:p>
        </w:tc>
        <w:tc>
          <w:tcPr>
            <w:tcW w:w="1238" w:type="dxa"/>
            <w:tcBorders>
              <w:top w:val="nil"/>
              <w:left w:val="nil"/>
              <w:bottom w:val="single" w:sz="8" w:space="0" w:color="auto"/>
              <w:right w:val="single" w:sz="8" w:space="0" w:color="auto"/>
            </w:tcBorders>
            <w:shd w:val="clear" w:color="auto" w:fill="auto"/>
            <w:vAlign w:val="center"/>
            <w:hideMark/>
          </w:tcPr>
          <w:p w14:paraId="6569C0D7"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9</w:t>
            </w:r>
          </w:p>
        </w:tc>
      </w:tr>
      <w:tr w:rsidR="005055AD" w:rsidRPr="007631AE" w14:paraId="3DB236E5"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2213F217"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723B2AE1"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1B1A8EB8"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64E1EBD4"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4A210CB1"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73400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70F0B29F" w14:textId="77777777" w:rsidR="005055AD" w:rsidRPr="008244FA" w:rsidRDefault="005055AD" w:rsidP="007631AE">
            <w:pP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eastAsia="fr-FR"/>
              </w:rPr>
              <w:t xml:space="preserve">Rental and Maintenance – other equipment </w:t>
            </w:r>
          </w:p>
        </w:tc>
        <w:tc>
          <w:tcPr>
            <w:tcW w:w="1047" w:type="dxa"/>
            <w:tcBorders>
              <w:top w:val="nil"/>
              <w:left w:val="nil"/>
              <w:bottom w:val="single" w:sz="8" w:space="0" w:color="auto"/>
              <w:right w:val="single" w:sz="8" w:space="0" w:color="auto"/>
            </w:tcBorders>
            <w:shd w:val="clear" w:color="000000" w:fill="FFFFFF"/>
            <w:noWrap/>
            <w:vAlign w:val="center"/>
            <w:hideMark/>
          </w:tcPr>
          <w:p w14:paraId="5D01732C"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7,500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1BAC511A"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7,500</w:t>
            </w:r>
          </w:p>
        </w:tc>
        <w:tc>
          <w:tcPr>
            <w:tcW w:w="989" w:type="dxa"/>
            <w:tcBorders>
              <w:top w:val="nil"/>
              <w:left w:val="nil"/>
              <w:bottom w:val="single" w:sz="8" w:space="0" w:color="auto"/>
              <w:right w:val="single" w:sz="8" w:space="0" w:color="auto"/>
            </w:tcBorders>
            <w:shd w:val="clear" w:color="000000" w:fill="FFFFFF"/>
            <w:noWrap/>
            <w:vAlign w:val="center"/>
            <w:hideMark/>
          </w:tcPr>
          <w:p w14:paraId="3CB01E6C"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7,500</w:t>
            </w:r>
          </w:p>
        </w:tc>
        <w:tc>
          <w:tcPr>
            <w:tcW w:w="992" w:type="dxa"/>
            <w:tcBorders>
              <w:top w:val="nil"/>
              <w:left w:val="nil"/>
              <w:bottom w:val="single" w:sz="8" w:space="0" w:color="auto"/>
              <w:right w:val="single" w:sz="8" w:space="0" w:color="auto"/>
            </w:tcBorders>
            <w:shd w:val="clear" w:color="000000" w:fill="FFFFFF"/>
            <w:noWrap/>
            <w:vAlign w:val="center"/>
            <w:hideMark/>
          </w:tcPr>
          <w:p w14:paraId="4B8BF61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7,500</w:t>
            </w:r>
          </w:p>
        </w:tc>
        <w:tc>
          <w:tcPr>
            <w:tcW w:w="1115" w:type="dxa"/>
            <w:tcBorders>
              <w:top w:val="nil"/>
              <w:left w:val="nil"/>
              <w:bottom w:val="single" w:sz="8" w:space="0" w:color="auto"/>
              <w:right w:val="single" w:sz="8" w:space="0" w:color="auto"/>
            </w:tcBorders>
            <w:shd w:val="clear" w:color="000000" w:fill="FFFFFF"/>
            <w:noWrap/>
            <w:vAlign w:val="center"/>
            <w:hideMark/>
          </w:tcPr>
          <w:p w14:paraId="536DB16B"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7,500</w:t>
            </w:r>
          </w:p>
        </w:tc>
        <w:tc>
          <w:tcPr>
            <w:tcW w:w="1157" w:type="dxa"/>
            <w:tcBorders>
              <w:top w:val="nil"/>
              <w:left w:val="nil"/>
              <w:bottom w:val="single" w:sz="8" w:space="0" w:color="auto"/>
              <w:right w:val="single" w:sz="8" w:space="0" w:color="auto"/>
            </w:tcBorders>
            <w:shd w:val="clear" w:color="auto" w:fill="auto"/>
            <w:noWrap/>
            <w:vAlign w:val="center"/>
            <w:hideMark/>
          </w:tcPr>
          <w:p w14:paraId="323C2B8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37,500</w:t>
            </w:r>
          </w:p>
        </w:tc>
        <w:tc>
          <w:tcPr>
            <w:tcW w:w="1238" w:type="dxa"/>
            <w:tcBorders>
              <w:top w:val="nil"/>
              <w:left w:val="nil"/>
              <w:bottom w:val="single" w:sz="8" w:space="0" w:color="auto"/>
              <w:right w:val="single" w:sz="8" w:space="0" w:color="auto"/>
            </w:tcBorders>
            <w:shd w:val="clear" w:color="000000" w:fill="FFFFFF"/>
            <w:vAlign w:val="center"/>
            <w:hideMark/>
          </w:tcPr>
          <w:p w14:paraId="495E3208"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10</w:t>
            </w:r>
          </w:p>
        </w:tc>
      </w:tr>
      <w:tr w:rsidR="005055AD" w:rsidRPr="007631AE" w14:paraId="0FA4ACCA"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78F0CECC"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493A5F9F"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5F7E683D"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0F71D789"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1D666169"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74200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7BB3CD49" w14:textId="77777777" w:rsidR="005055AD" w:rsidRPr="008244FA" w:rsidRDefault="005055AD" w:rsidP="007631AE">
            <w:pP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eastAsia="fr-FR"/>
              </w:rPr>
              <w:t xml:space="preserve">Audio </w:t>
            </w:r>
            <w:proofErr w:type="spellStart"/>
            <w:r w:rsidRPr="008244FA">
              <w:rPr>
                <w:rFonts w:asciiTheme="majorHAnsi" w:eastAsia="Times New Roman" w:hAnsiTheme="majorHAnsi" w:cstheme="majorHAnsi"/>
                <w:color w:val="000000"/>
                <w:sz w:val="18"/>
                <w:szCs w:val="18"/>
                <w:lang w:eastAsia="fr-FR"/>
              </w:rPr>
              <w:t>Visual&amp;Print</w:t>
            </w:r>
            <w:proofErr w:type="spellEnd"/>
            <w:r w:rsidRPr="008244FA">
              <w:rPr>
                <w:rFonts w:asciiTheme="majorHAnsi" w:eastAsia="Times New Roman" w:hAnsiTheme="majorHAnsi" w:cstheme="majorHAnsi"/>
                <w:color w:val="000000"/>
                <w:sz w:val="18"/>
                <w:szCs w:val="18"/>
                <w:lang w:eastAsia="fr-FR"/>
              </w:rPr>
              <w:t xml:space="preserve"> Prod Costs </w:t>
            </w:r>
          </w:p>
        </w:tc>
        <w:tc>
          <w:tcPr>
            <w:tcW w:w="1047" w:type="dxa"/>
            <w:tcBorders>
              <w:top w:val="nil"/>
              <w:left w:val="nil"/>
              <w:bottom w:val="single" w:sz="8" w:space="0" w:color="auto"/>
              <w:right w:val="single" w:sz="8" w:space="0" w:color="auto"/>
            </w:tcBorders>
            <w:shd w:val="clear" w:color="000000" w:fill="FFFFFF"/>
            <w:noWrap/>
            <w:vAlign w:val="center"/>
            <w:hideMark/>
          </w:tcPr>
          <w:p w14:paraId="3BD7690C"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6,000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51E5D131"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6,000</w:t>
            </w:r>
          </w:p>
        </w:tc>
        <w:tc>
          <w:tcPr>
            <w:tcW w:w="989" w:type="dxa"/>
            <w:tcBorders>
              <w:top w:val="nil"/>
              <w:left w:val="nil"/>
              <w:bottom w:val="single" w:sz="8" w:space="0" w:color="auto"/>
              <w:right w:val="single" w:sz="8" w:space="0" w:color="auto"/>
            </w:tcBorders>
            <w:shd w:val="clear" w:color="000000" w:fill="FFFFFF"/>
            <w:noWrap/>
            <w:vAlign w:val="center"/>
            <w:hideMark/>
          </w:tcPr>
          <w:p w14:paraId="78972ADA"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6,000</w:t>
            </w:r>
          </w:p>
        </w:tc>
        <w:tc>
          <w:tcPr>
            <w:tcW w:w="992" w:type="dxa"/>
            <w:tcBorders>
              <w:top w:val="nil"/>
              <w:left w:val="nil"/>
              <w:bottom w:val="single" w:sz="8" w:space="0" w:color="auto"/>
              <w:right w:val="single" w:sz="8" w:space="0" w:color="auto"/>
            </w:tcBorders>
            <w:shd w:val="clear" w:color="000000" w:fill="FFFFFF"/>
            <w:noWrap/>
            <w:vAlign w:val="center"/>
            <w:hideMark/>
          </w:tcPr>
          <w:p w14:paraId="5A53D62B"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6,000</w:t>
            </w:r>
          </w:p>
        </w:tc>
        <w:tc>
          <w:tcPr>
            <w:tcW w:w="1115" w:type="dxa"/>
            <w:tcBorders>
              <w:top w:val="nil"/>
              <w:left w:val="nil"/>
              <w:bottom w:val="single" w:sz="8" w:space="0" w:color="auto"/>
              <w:right w:val="single" w:sz="8" w:space="0" w:color="auto"/>
            </w:tcBorders>
            <w:shd w:val="clear" w:color="000000" w:fill="FFFFFF"/>
            <w:noWrap/>
            <w:vAlign w:val="center"/>
            <w:hideMark/>
          </w:tcPr>
          <w:p w14:paraId="5D4C1BE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6,000</w:t>
            </w:r>
          </w:p>
        </w:tc>
        <w:tc>
          <w:tcPr>
            <w:tcW w:w="1157" w:type="dxa"/>
            <w:tcBorders>
              <w:top w:val="nil"/>
              <w:left w:val="nil"/>
              <w:bottom w:val="single" w:sz="8" w:space="0" w:color="auto"/>
              <w:right w:val="single" w:sz="8" w:space="0" w:color="auto"/>
            </w:tcBorders>
            <w:shd w:val="clear" w:color="000000" w:fill="FFFFFF"/>
            <w:noWrap/>
            <w:vAlign w:val="center"/>
            <w:hideMark/>
          </w:tcPr>
          <w:p w14:paraId="4BD6E5B9"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30,000</w:t>
            </w:r>
          </w:p>
        </w:tc>
        <w:tc>
          <w:tcPr>
            <w:tcW w:w="1238" w:type="dxa"/>
            <w:tcBorders>
              <w:top w:val="nil"/>
              <w:left w:val="nil"/>
              <w:bottom w:val="single" w:sz="8" w:space="0" w:color="auto"/>
              <w:right w:val="single" w:sz="8" w:space="0" w:color="auto"/>
            </w:tcBorders>
            <w:shd w:val="clear" w:color="000000" w:fill="FFFFFF"/>
            <w:vAlign w:val="center"/>
            <w:hideMark/>
          </w:tcPr>
          <w:p w14:paraId="0E37D9A1"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11</w:t>
            </w:r>
          </w:p>
        </w:tc>
      </w:tr>
      <w:tr w:rsidR="005055AD" w:rsidRPr="007631AE" w14:paraId="55245C51"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3B8576CF"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0A2BAA3C"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3A28892B"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402319E7"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1DA5803F"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74500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7135B5BE" w14:textId="77777777" w:rsidR="005055AD" w:rsidRPr="008244FA" w:rsidRDefault="005055AD" w:rsidP="007631AE">
            <w:pPr>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Miscellaneous</w:t>
            </w:r>
            <w:proofErr w:type="spellEnd"/>
            <w:r w:rsidRPr="008244FA">
              <w:rPr>
                <w:rFonts w:asciiTheme="majorHAnsi" w:eastAsia="Times New Roman" w:hAnsiTheme="majorHAnsi" w:cstheme="majorHAnsi"/>
                <w:color w:val="000000"/>
                <w:sz w:val="18"/>
                <w:szCs w:val="18"/>
                <w:lang w:val="fr-FR" w:eastAsia="fr-FR"/>
              </w:rPr>
              <w:t xml:space="preserve"> </w:t>
            </w:r>
            <w:proofErr w:type="spellStart"/>
            <w:r w:rsidRPr="008244FA">
              <w:rPr>
                <w:rFonts w:asciiTheme="majorHAnsi" w:eastAsia="Times New Roman" w:hAnsiTheme="majorHAnsi" w:cstheme="majorHAnsi"/>
                <w:color w:val="000000"/>
                <w:sz w:val="18"/>
                <w:szCs w:val="18"/>
                <w:lang w:val="fr-FR" w:eastAsia="fr-FR"/>
              </w:rPr>
              <w:t>Expenses</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000000" w:fill="FFFFFF"/>
            <w:noWrap/>
            <w:vAlign w:val="center"/>
            <w:hideMark/>
          </w:tcPr>
          <w:p w14:paraId="348A377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357E39A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2,000</w:t>
            </w:r>
          </w:p>
        </w:tc>
        <w:tc>
          <w:tcPr>
            <w:tcW w:w="989" w:type="dxa"/>
            <w:tcBorders>
              <w:top w:val="nil"/>
              <w:left w:val="nil"/>
              <w:bottom w:val="single" w:sz="8" w:space="0" w:color="auto"/>
              <w:right w:val="single" w:sz="8" w:space="0" w:color="auto"/>
            </w:tcBorders>
            <w:shd w:val="clear" w:color="000000" w:fill="FFFFFF"/>
            <w:noWrap/>
            <w:vAlign w:val="center"/>
            <w:hideMark/>
          </w:tcPr>
          <w:p w14:paraId="46778833"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2,000</w:t>
            </w:r>
          </w:p>
        </w:tc>
        <w:tc>
          <w:tcPr>
            <w:tcW w:w="992" w:type="dxa"/>
            <w:tcBorders>
              <w:top w:val="nil"/>
              <w:left w:val="nil"/>
              <w:bottom w:val="single" w:sz="8" w:space="0" w:color="auto"/>
              <w:right w:val="single" w:sz="8" w:space="0" w:color="auto"/>
            </w:tcBorders>
            <w:shd w:val="clear" w:color="000000" w:fill="FFFFFF"/>
            <w:noWrap/>
            <w:vAlign w:val="center"/>
            <w:hideMark/>
          </w:tcPr>
          <w:p w14:paraId="72B0EB02"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2,000</w:t>
            </w:r>
          </w:p>
        </w:tc>
        <w:tc>
          <w:tcPr>
            <w:tcW w:w="1115" w:type="dxa"/>
            <w:tcBorders>
              <w:top w:val="nil"/>
              <w:left w:val="nil"/>
              <w:bottom w:val="single" w:sz="8" w:space="0" w:color="auto"/>
              <w:right w:val="single" w:sz="8" w:space="0" w:color="auto"/>
            </w:tcBorders>
            <w:shd w:val="clear" w:color="000000" w:fill="FFFFFF"/>
            <w:noWrap/>
            <w:vAlign w:val="center"/>
            <w:hideMark/>
          </w:tcPr>
          <w:p w14:paraId="0834ADC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2,000</w:t>
            </w:r>
          </w:p>
        </w:tc>
        <w:tc>
          <w:tcPr>
            <w:tcW w:w="1157" w:type="dxa"/>
            <w:tcBorders>
              <w:top w:val="nil"/>
              <w:left w:val="nil"/>
              <w:bottom w:val="single" w:sz="8" w:space="0" w:color="auto"/>
              <w:right w:val="single" w:sz="8" w:space="0" w:color="auto"/>
            </w:tcBorders>
            <w:shd w:val="clear" w:color="000000" w:fill="FFFFFF"/>
            <w:noWrap/>
            <w:vAlign w:val="center"/>
            <w:hideMark/>
          </w:tcPr>
          <w:p w14:paraId="67FC77E6"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1238" w:type="dxa"/>
            <w:tcBorders>
              <w:top w:val="nil"/>
              <w:left w:val="nil"/>
              <w:bottom w:val="single" w:sz="8" w:space="0" w:color="auto"/>
              <w:right w:val="single" w:sz="8" w:space="0" w:color="auto"/>
            </w:tcBorders>
            <w:shd w:val="clear" w:color="000000" w:fill="FFFFFF"/>
            <w:vAlign w:val="center"/>
            <w:hideMark/>
          </w:tcPr>
          <w:p w14:paraId="5B909802"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12</w:t>
            </w:r>
          </w:p>
        </w:tc>
      </w:tr>
      <w:tr w:rsidR="005055AD" w:rsidRPr="007631AE" w14:paraId="6A13538B"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6EF6763A"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00227101"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30DB7CE1"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6F529E53"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8" w:space="0" w:color="auto"/>
              <w:right w:val="single" w:sz="8" w:space="0" w:color="auto"/>
            </w:tcBorders>
            <w:shd w:val="clear" w:color="auto" w:fill="auto"/>
            <w:vAlign w:val="center"/>
            <w:hideMark/>
          </w:tcPr>
          <w:p w14:paraId="4F90C725"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75700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0034ACFD" w14:textId="77777777" w:rsidR="005055AD" w:rsidRPr="008244FA" w:rsidRDefault="005055AD" w:rsidP="007631AE">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Training </w:t>
            </w:r>
          </w:p>
        </w:tc>
        <w:tc>
          <w:tcPr>
            <w:tcW w:w="1047" w:type="dxa"/>
            <w:tcBorders>
              <w:top w:val="nil"/>
              <w:left w:val="nil"/>
              <w:bottom w:val="single" w:sz="8" w:space="0" w:color="auto"/>
              <w:right w:val="single" w:sz="8" w:space="0" w:color="auto"/>
            </w:tcBorders>
            <w:shd w:val="clear" w:color="000000" w:fill="FFFFFF"/>
            <w:noWrap/>
            <w:vAlign w:val="center"/>
            <w:hideMark/>
          </w:tcPr>
          <w:p w14:paraId="7FDD1184"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84,000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5EF5EA37"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84,000</w:t>
            </w:r>
          </w:p>
        </w:tc>
        <w:tc>
          <w:tcPr>
            <w:tcW w:w="989" w:type="dxa"/>
            <w:tcBorders>
              <w:top w:val="nil"/>
              <w:left w:val="nil"/>
              <w:bottom w:val="single" w:sz="8" w:space="0" w:color="auto"/>
              <w:right w:val="single" w:sz="8" w:space="0" w:color="auto"/>
            </w:tcBorders>
            <w:shd w:val="clear" w:color="000000" w:fill="FFFFFF"/>
            <w:noWrap/>
            <w:vAlign w:val="center"/>
            <w:hideMark/>
          </w:tcPr>
          <w:p w14:paraId="1B27328C"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84,000</w:t>
            </w:r>
          </w:p>
        </w:tc>
        <w:tc>
          <w:tcPr>
            <w:tcW w:w="992" w:type="dxa"/>
            <w:tcBorders>
              <w:top w:val="nil"/>
              <w:left w:val="nil"/>
              <w:bottom w:val="single" w:sz="8" w:space="0" w:color="auto"/>
              <w:right w:val="single" w:sz="8" w:space="0" w:color="auto"/>
            </w:tcBorders>
            <w:shd w:val="clear" w:color="000000" w:fill="FFFFFF"/>
            <w:noWrap/>
            <w:vAlign w:val="center"/>
            <w:hideMark/>
          </w:tcPr>
          <w:p w14:paraId="49CAF448"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84,000</w:t>
            </w:r>
          </w:p>
        </w:tc>
        <w:tc>
          <w:tcPr>
            <w:tcW w:w="1115" w:type="dxa"/>
            <w:tcBorders>
              <w:top w:val="nil"/>
              <w:left w:val="nil"/>
              <w:bottom w:val="single" w:sz="8" w:space="0" w:color="auto"/>
              <w:right w:val="single" w:sz="8" w:space="0" w:color="auto"/>
            </w:tcBorders>
            <w:shd w:val="clear" w:color="000000" w:fill="FFFFFF"/>
            <w:noWrap/>
            <w:vAlign w:val="center"/>
            <w:hideMark/>
          </w:tcPr>
          <w:p w14:paraId="0A0A5CAE"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84,000</w:t>
            </w:r>
          </w:p>
        </w:tc>
        <w:tc>
          <w:tcPr>
            <w:tcW w:w="1157" w:type="dxa"/>
            <w:tcBorders>
              <w:top w:val="nil"/>
              <w:left w:val="nil"/>
              <w:bottom w:val="single" w:sz="8" w:space="0" w:color="auto"/>
              <w:right w:val="single" w:sz="8" w:space="0" w:color="auto"/>
            </w:tcBorders>
            <w:shd w:val="clear" w:color="000000" w:fill="FFFFFF"/>
            <w:noWrap/>
            <w:vAlign w:val="center"/>
            <w:hideMark/>
          </w:tcPr>
          <w:p w14:paraId="4A922F9D" w14:textId="77777777" w:rsidR="005055AD" w:rsidRPr="008244FA" w:rsidRDefault="005055AD"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420,000</w:t>
            </w:r>
          </w:p>
        </w:tc>
        <w:tc>
          <w:tcPr>
            <w:tcW w:w="1238" w:type="dxa"/>
            <w:tcBorders>
              <w:top w:val="nil"/>
              <w:left w:val="nil"/>
              <w:bottom w:val="single" w:sz="8" w:space="0" w:color="auto"/>
              <w:right w:val="single" w:sz="8" w:space="0" w:color="auto"/>
            </w:tcBorders>
            <w:shd w:val="clear" w:color="000000" w:fill="FFFFFF"/>
            <w:vAlign w:val="center"/>
            <w:hideMark/>
          </w:tcPr>
          <w:p w14:paraId="653980E9"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13</w:t>
            </w:r>
          </w:p>
        </w:tc>
      </w:tr>
      <w:tr w:rsidR="002E2C5F" w:rsidRPr="007631AE" w14:paraId="70530F53"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0278E0BA"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72520241"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4464" w:type="dxa"/>
            <w:gridSpan w:val="8"/>
            <w:tcBorders>
              <w:top w:val="nil"/>
              <w:left w:val="nil"/>
              <w:bottom w:val="single" w:sz="8" w:space="0" w:color="auto"/>
              <w:right w:val="single" w:sz="4" w:space="0" w:color="auto"/>
            </w:tcBorders>
            <w:shd w:val="clear" w:color="000000" w:fill="C0C0C0"/>
            <w:noWrap/>
            <w:vAlign w:val="center"/>
            <w:hideMark/>
          </w:tcPr>
          <w:p w14:paraId="4F2D6AC8" w14:textId="235622A7" w:rsidR="002E2C5F" w:rsidRPr="008244FA" w:rsidRDefault="002E2C5F" w:rsidP="008C3093">
            <w:pPr>
              <w:jc w:val="right"/>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 </w:t>
            </w:r>
            <w:r w:rsidR="008C3093">
              <w:rPr>
                <w:rFonts w:asciiTheme="majorHAnsi" w:eastAsia="Times New Roman" w:hAnsiTheme="majorHAnsi" w:cstheme="majorHAnsi"/>
                <w:b/>
                <w:bCs/>
                <w:color w:val="000000"/>
                <w:sz w:val="18"/>
                <w:szCs w:val="18"/>
                <w:lang w:val="fr-FR" w:eastAsia="fr-FR"/>
              </w:rPr>
              <w:t xml:space="preserve">Subtotal </w:t>
            </w:r>
            <w:proofErr w:type="spellStart"/>
            <w:r w:rsidR="008C3093">
              <w:rPr>
                <w:rFonts w:asciiTheme="majorHAnsi" w:eastAsia="Times New Roman" w:hAnsiTheme="majorHAnsi" w:cstheme="majorHAnsi"/>
                <w:b/>
                <w:bCs/>
                <w:color w:val="000000"/>
                <w:sz w:val="18"/>
                <w:szCs w:val="18"/>
                <w:lang w:val="fr-FR" w:eastAsia="fr-FR"/>
              </w:rPr>
              <w:t>Outcome</w:t>
            </w:r>
            <w:proofErr w:type="spellEnd"/>
            <w:r w:rsidR="008C3093">
              <w:rPr>
                <w:rFonts w:asciiTheme="majorHAnsi" w:eastAsia="Times New Roman" w:hAnsiTheme="majorHAnsi" w:cstheme="majorHAnsi"/>
                <w:b/>
                <w:bCs/>
                <w:color w:val="000000"/>
                <w:sz w:val="18"/>
                <w:szCs w:val="18"/>
                <w:lang w:val="fr-FR" w:eastAsia="fr-FR"/>
              </w:rPr>
              <w:t xml:space="preserve"> 1</w:t>
            </w:r>
          </w:p>
        </w:tc>
        <w:tc>
          <w:tcPr>
            <w:tcW w:w="1047" w:type="dxa"/>
            <w:tcBorders>
              <w:top w:val="nil"/>
              <w:left w:val="single" w:sz="4" w:space="0" w:color="auto"/>
              <w:bottom w:val="single" w:sz="8" w:space="0" w:color="auto"/>
              <w:right w:val="nil"/>
            </w:tcBorders>
            <w:shd w:val="clear" w:color="000000" w:fill="C0C0C0"/>
            <w:vAlign w:val="center"/>
          </w:tcPr>
          <w:p w14:paraId="77BC02E2" w14:textId="31FF4E3C" w:rsidR="002E2C5F" w:rsidRPr="008244FA" w:rsidRDefault="002E2C5F" w:rsidP="002E2C5F">
            <w:pPr>
              <w:jc w:val="right"/>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325,700</w:t>
            </w:r>
          </w:p>
        </w:tc>
        <w:tc>
          <w:tcPr>
            <w:tcW w:w="160" w:type="dxa"/>
            <w:tcBorders>
              <w:top w:val="nil"/>
              <w:left w:val="single" w:sz="4" w:space="0" w:color="auto"/>
              <w:bottom w:val="single" w:sz="8" w:space="0" w:color="auto"/>
              <w:right w:val="nil"/>
            </w:tcBorders>
            <w:shd w:val="clear" w:color="000000" w:fill="C0C0C0"/>
            <w:vAlign w:val="center"/>
          </w:tcPr>
          <w:p w14:paraId="08AF0E1E" w14:textId="77777777" w:rsidR="002E2C5F" w:rsidRPr="008244FA" w:rsidRDefault="002E2C5F" w:rsidP="002E2C5F">
            <w:pPr>
              <w:jc w:val="both"/>
              <w:rPr>
                <w:rFonts w:asciiTheme="majorHAnsi" w:eastAsia="Times New Roman" w:hAnsiTheme="majorHAnsi" w:cstheme="majorHAnsi"/>
                <w:b/>
                <w:bCs/>
                <w:color w:val="000000"/>
                <w:sz w:val="18"/>
                <w:szCs w:val="18"/>
                <w:lang w:val="fr-FR" w:eastAsia="fr-FR"/>
              </w:rPr>
            </w:pPr>
          </w:p>
        </w:tc>
        <w:tc>
          <w:tcPr>
            <w:tcW w:w="815" w:type="dxa"/>
            <w:tcBorders>
              <w:top w:val="nil"/>
              <w:left w:val="nil"/>
              <w:bottom w:val="single" w:sz="8" w:space="0" w:color="auto"/>
              <w:right w:val="single" w:sz="8" w:space="0" w:color="auto"/>
            </w:tcBorders>
            <w:shd w:val="clear" w:color="000000" w:fill="C0C0C0"/>
            <w:noWrap/>
            <w:vAlign w:val="center"/>
            <w:hideMark/>
          </w:tcPr>
          <w:p w14:paraId="1C664C1B" w14:textId="04DD3F0D" w:rsidR="002E2C5F" w:rsidRPr="008244FA" w:rsidRDefault="002E2C5F"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237,500</w:t>
            </w:r>
          </w:p>
        </w:tc>
        <w:tc>
          <w:tcPr>
            <w:tcW w:w="989" w:type="dxa"/>
            <w:tcBorders>
              <w:top w:val="nil"/>
              <w:left w:val="nil"/>
              <w:bottom w:val="single" w:sz="8" w:space="0" w:color="auto"/>
              <w:right w:val="single" w:sz="8" w:space="0" w:color="auto"/>
            </w:tcBorders>
            <w:shd w:val="clear" w:color="000000" w:fill="C0C0C0"/>
            <w:noWrap/>
            <w:vAlign w:val="center"/>
            <w:hideMark/>
          </w:tcPr>
          <w:p w14:paraId="1B826C4C" w14:textId="77467090" w:rsidR="002E2C5F" w:rsidRPr="008244FA" w:rsidRDefault="002E2C5F"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248,500</w:t>
            </w:r>
          </w:p>
        </w:tc>
        <w:tc>
          <w:tcPr>
            <w:tcW w:w="992" w:type="dxa"/>
            <w:tcBorders>
              <w:top w:val="nil"/>
              <w:left w:val="nil"/>
              <w:bottom w:val="single" w:sz="8" w:space="0" w:color="auto"/>
              <w:right w:val="single" w:sz="8" w:space="0" w:color="auto"/>
            </w:tcBorders>
            <w:shd w:val="clear" w:color="000000" w:fill="C0C0C0"/>
            <w:noWrap/>
            <w:vAlign w:val="center"/>
            <w:hideMark/>
          </w:tcPr>
          <w:p w14:paraId="758153D5" w14:textId="4C5BD7F0" w:rsidR="002E2C5F" w:rsidRPr="008244FA" w:rsidRDefault="002E2C5F"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232,500</w:t>
            </w:r>
          </w:p>
        </w:tc>
        <w:tc>
          <w:tcPr>
            <w:tcW w:w="1115" w:type="dxa"/>
            <w:tcBorders>
              <w:top w:val="nil"/>
              <w:left w:val="nil"/>
              <w:bottom w:val="single" w:sz="8" w:space="0" w:color="auto"/>
              <w:right w:val="single" w:sz="8" w:space="0" w:color="auto"/>
            </w:tcBorders>
            <w:shd w:val="clear" w:color="000000" w:fill="C0C0C0"/>
            <w:noWrap/>
            <w:vAlign w:val="center"/>
            <w:hideMark/>
          </w:tcPr>
          <w:p w14:paraId="7D7A035E" w14:textId="18C936EE" w:rsidR="002E2C5F" w:rsidRPr="008244FA" w:rsidRDefault="002E2C5F"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231,834</w:t>
            </w:r>
          </w:p>
        </w:tc>
        <w:tc>
          <w:tcPr>
            <w:tcW w:w="1157" w:type="dxa"/>
            <w:tcBorders>
              <w:top w:val="nil"/>
              <w:left w:val="nil"/>
              <w:bottom w:val="single" w:sz="8" w:space="0" w:color="auto"/>
              <w:right w:val="single" w:sz="8" w:space="0" w:color="auto"/>
            </w:tcBorders>
            <w:shd w:val="clear" w:color="000000" w:fill="C0C0C0"/>
            <w:noWrap/>
            <w:vAlign w:val="center"/>
            <w:hideMark/>
          </w:tcPr>
          <w:p w14:paraId="4CE02A0E" w14:textId="24023AE1" w:rsidR="002E2C5F" w:rsidRPr="008244FA" w:rsidRDefault="002E2C5F" w:rsidP="007631A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1,276,034</w:t>
            </w:r>
          </w:p>
        </w:tc>
        <w:tc>
          <w:tcPr>
            <w:tcW w:w="1238" w:type="dxa"/>
            <w:tcBorders>
              <w:top w:val="nil"/>
              <w:left w:val="nil"/>
              <w:bottom w:val="single" w:sz="8" w:space="0" w:color="auto"/>
              <w:right w:val="single" w:sz="8" w:space="0" w:color="auto"/>
            </w:tcBorders>
            <w:shd w:val="clear" w:color="000000" w:fill="C0C0C0"/>
            <w:noWrap/>
            <w:vAlign w:val="center"/>
            <w:hideMark/>
          </w:tcPr>
          <w:p w14:paraId="4EBA2D22" w14:textId="2D68AEAF" w:rsidR="002E2C5F" w:rsidRPr="008244FA" w:rsidRDefault="002E2C5F" w:rsidP="007631AE">
            <w:pPr>
              <w:jc w:val="right"/>
              <w:rPr>
                <w:rFonts w:asciiTheme="majorHAnsi" w:eastAsia="Times New Roman" w:hAnsiTheme="majorHAnsi" w:cstheme="majorHAnsi"/>
                <w:color w:val="000000"/>
                <w:sz w:val="18"/>
                <w:szCs w:val="18"/>
                <w:lang w:val="fr-FR" w:eastAsia="fr-FR"/>
              </w:rPr>
            </w:pPr>
          </w:p>
        </w:tc>
      </w:tr>
      <w:tr w:rsidR="005055AD" w:rsidRPr="007631AE" w14:paraId="77BA5E74" w14:textId="77777777" w:rsidTr="002E2C5F">
        <w:trPr>
          <w:trHeight w:val="465"/>
        </w:trPr>
        <w:tc>
          <w:tcPr>
            <w:tcW w:w="2111" w:type="dxa"/>
            <w:tcBorders>
              <w:top w:val="nil"/>
              <w:left w:val="single" w:sz="8" w:space="0" w:color="auto"/>
              <w:bottom w:val="nil"/>
              <w:right w:val="single" w:sz="8" w:space="0" w:color="auto"/>
            </w:tcBorders>
            <w:shd w:val="clear" w:color="auto" w:fill="auto"/>
            <w:vAlign w:val="center"/>
            <w:hideMark/>
          </w:tcPr>
          <w:p w14:paraId="3D7FD724" w14:textId="5BF7FEA5" w:rsidR="005055AD" w:rsidRPr="008244FA" w:rsidRDefault="005055AD" w:rsidP="008244FA">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COMPONENT/OUTCOME 2</w:t>
            </w:r>
          </w:p>
        </w:tc>
        <w:tc>
          <w:tcPr>
            <w:tcW w:w="1189" w:type="dxa"/>
            <w:vMerge w:val="restart"/>
            <w:tcBorders>
              <w:top w:val="nil"/>
              <w:left w:val="single" w:sz="8" w:space="0" w:color="auto"/>
              <w:bottom w:val="single" w:sz="8" w:space="0" w:color="000000"/>
              <w:right w:val="single" w:sz="8" w:space="0" w:color="auto"/>
            </w:tcBorders>
            <w:shd w:val="clear" w:color="auto" w:fill="auto"/>
            <w:vAlign w:val="center"/>
            <w:hideMark/>
          </w:tcPr>
          <w:p w14:paraId="6C6D60CF"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Ministry of </w:t>
            </w:r>
            <w:proofErr w:type="spellStart"/>
            <w:r w:rsidRPr="008244FA">
              <w:rPr>
                <w:rFonts w:asciiTheme="majorHAnsi" w:eastAsia="Times New Roman" w:hAnsiTheme="majorHAnsi" w:cstheme="majorHAnsi"/>
                <w:color w:val="000000"/>
                <w:sz w:val="18"/>
                <w:szCs w:val="18"/>
                <w:lang w:val="fr-FR" w:eastAsia="fr-FR"/>
              </w:rPr>
              <w:t>Environment</w:t>
            </w:r>
            <w:proofErr w:type="spellEnd"/>
          </w:p>
        </w:tc>
        <w:tc>
          <w:tcPr>
            <w:tcW w:w="761" w:type="dxa"/>
            <w:vMerge w:val="restart"/>
            <w:tcBorders>
              <w:top w:val="nil"/>
              <w:left w:val="single" w:sz="8" w:space="0" w:color="auto"/>
              <w:bottom w:val="single" w:sz="8" w:space="0" w:color="000000"/>
              <w:right w:val="single" w:sz="8" w:space="0" w:color="auto"/>
            </w:tcBorders>
            <w:shd w:val="clear" w:color="auto" w:fill="auto"/>
            <w:noWrap/>
            <w:vAlign w:val="center"/>
            <w:hideMark/>
          </w:tcPr>
          <w:p w14:paraId="01B5B37B"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62000</w:t>
            </w:r>
          </w:p>
        </w:tc>
        <w:tc>
          <w:tcPr>
            <w:tcW w:w="608" w:type="dxa"/>
            <w:gridSpan w:val="2"/>
            <w:vMerge w:val="restart"/>
            <w:tcBorders>
              <w:top w:val="nil"/>
              <w:left w:val="single" w:sz="8" w:space="0" w:color="auto"/>
              <w:bottom w:val="single" w:sz="8" w:space="0" w:color="000000"/>
              <w:right w:val="single" w:sz="8" w:space="0" w:color="auto"/>
            </w:tcBorders>
            <w:shd w:val="clear" w:color="auto" w:fill="auto"/>
            <w:noWrap/>
            <w:vAlign w:val="center"/>
            <w:hideMark/>
          </w:tcPr>
          <w:p w14:paraId="32B32796"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GEFTF</w:t>
            </w:r>
          </w:p>
        </w:tc>
        <w:tc>
          <w:tcPr>
            <w:tcW w:w="992" w:type="dxa"/>
            <w:gridSpan w:val="2"/>
            <w:tcBorders>
              <w:top w:val="nil"/>
              <w:left w:val="nil"/>
              <w:bottom w:val="single" w:sz="4" w:space="0" w:color="auto"/>
              <w:right w:val="single" w:sz="8" w:space="0" w:color="auto"/>
            </w:tcBorders>
            <w:shd w:val="clear" w:color="auto" w:fill="auto"/>
            <w:noWrap/>
            <w:vAlign w:val="center"/>
            <w:hideMark/>
          </w:tcPr>
          <w:p w14:paraId="1E027E49"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71400</w:t>
            </w:r>
          </w:p>
        </w:tc>
        <w:tc>
          <w:tcPr>
            <w:tcW w:w="2103" w:type="dxa"/>
            <w:gridSpan w:val="3"/>
            <w:tcBorders>
              <w:top w:val="nil"/>
              <w:left w:val="nil"/>
              <w:bottom w:val="single" w:sz="8" w:space="0" w:color="auto"/>
              <w:right w:val="single" w:sz="4" w:space="0" w:color="auto"/>
            </w:tcBorders>
            <w:shd w:val="clear" w:color="000000" w:fill="FFFFFF"/>
            <w:noWrap/>
            <w:vAlign w:val="center"/>
            <w:hideMark/>
          </w:tcPr>
          <w:p w14:paraId="60B38A5D" w14:textId="77777777" w:rsidR="005055AD" w:rsidRPr="008244FA" w:rsidRDefault="005055AD" w:rsidP="007631AE">
            <w:pPr>
              <w:jc w:val="both"/>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Individ</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single" w:sz="4" w:space="0" w:color="auto"/>
              <w:bottom w:val="single" w:sz="8" w:space="0" w:color="auto"/>
              <w:right w:val="single" w:sz="8" w:space="0" w:color="auto"/>
            </w:tcBorders>
            <w:shd w:val="clear" w:color="000000" w:fill="FFFFFF"/>
            <w:noWrap/>
            <w:vAlign w:val="center"/>
            <w:hideMark/>
          </w:tcPr>
          <w:p w14:paraId="62CFF570"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50,000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5F07B9DB"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50,000</w:t>
            </w:r>
          </w:p>
        </w:tc>
        <w:tc>
          <w:tcPr>
            <w:tcW w:w="989" w:type="dxa"/>
            <w:tcBorders>
              <w:top w:val="nil"/>
              <w:left w:val="nil"/>
              <w:bottom w:val="single" w:sz="8" w:space="0" w:color="auto"/>
              <w:right w:val="single" w:sz="8" w:space="0" w:color="auto"/>
            </w:tcBorders>
            <w:shd w:val="clear" w:color="000000" w:fill="FFFFFF"/>
            <w:noWrap/>
            <w:vAlign w:val="center"/>
            <w:hideMark/>
          </w:tcPr>
          <w:p w14:paraId="4671DD2D"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50,000</w:t>
            </w:r>
          </w:p>
        </w:tc>
        <w:tc>
          <w:tcPr>
            <w:tcW w:w="992" w:type="dxa"/>
            <w:tcBorders>
              <w:top w:val="nil"/>
              <w:left w:val="nil"/>
              <w:bottom w:val="single" w:sz="8" w:space="0" w:color="auto"/>
              <w:right w:val="single" w:sz="8" w:space="0" w:color="auto"/>
            </w:tcBorders>
            <w:shd w:val="clear" w:color="000000" w:fill="FFFFFF"/>
            <w:noWrap/>
            <w:vAlign w:val="center"/>
            <w:hideMark/>
          </w:tcPr>
          <w:p w14:paraId="193EE04A"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50,000</w:t>
            </w:r>
          </w:p>
        </w:tc>
        <w:tc>
          <w:tcPr>
            <w:tcW w:w="1115" w:type="dxa"/>
            <w:tcBorders>
              <w:top w:val="nil"/>
              <w:left w:val="nil"/>
              <w:bottom w:val="single" w:sz="8" w:space="0" w:color="auto"/>
              <w:right w:val="single" w:sz="8" w:space="0" w:color="auto"/>
            </w:tcBorders>
            <w:shd w:val="clear" w:color="000000" w:fill="FFFFFF"/>
            <w:noWrap/>
            <w:vAlign w:val="center"/>
            <w:hideMark/>
          </w:tcPr>
          <w:p w14:paraId="1C2F41AA"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50,000</w:t>
            </w:r>
          </w:p>
        </w:tc>
        <w:tc>
          <w:tcPr>
            <w:tcW w:w="1157" w:type="dxa"/>
            <w:tcBorders>
              <w:top w:val="nil"/>
              <w:left w:val="nil"/>
              <w:bottom w:val="single" w:sz="8" w:space="0" w:color="auto"/>
              <w:right w:val="single" w:sz="8" w:space="0" w:color="auto"/>
            </w:tcBorders>
            <w:shd w:val="clear" w:color="000000" w:fill="FFFFFF"/>
            <w:noWrap/>
            <w:vAlign w:val="center"/>
            <w:hideMark/>
          </w:tcPr>
          <w:p w14:paraId="5BF6D4DF" w14:textId="77777777" w:rsidR="005055AD" w:rsidRPr="004A140A" w:rsidRDefault="005055AD"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250,000</w:t>
            </w:r>
          </w:p>
        </w:tc>
        <w:tc>
          <w:tcPr>
            <w:tcW w:w="1238" w:type="dxa"/>
            <w:tcBorders>
              <w:top w:val="nil"/>
              <w:left w:val="nil"/>
              <w:bottom w:val="single" w:sz="8" w:space="0" w:color="auto"/>
              <w:right w:val="single" w:sz="8" w:space="0" w:color="auto"/>
            </w:tcBorders>
            <w:shd w:val="clear" w:color="000000" w:fill="FFFFFF"/>
            <w:vAlign w:val="center"/>
            <w:hideMark/>
          </w:tcPr>
          <w:p w14:paraId="27515F1B"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14</w:t>
            </w:r>
          </w:p>
        </w:tc>
      </w:tr>
      <w:tr w:rsidR="005055AD" w:rsidRPr="007631AE" w14:paraId="0EA1CE9A" w14:textId="77777777" w:rsidTr="002E2C5F">
        <w:trPr>
          <w:trHeight w:val="345"/>
        </w:trPr>
        <w:tc>
          <w:tcPr>
            <w:tcW w:w="2111" w:type="dxa"/>
            <w:vMerge w:val="restart"/>
            <w:tcBorders>
              <w:top w:val="nil"/>
              <w:left w:val="single" w:sz="8" w:space="0" w:color="auto"/>
              <w:bottom w:val="single" w:sz="8" w:space="0" w:color="000000"/>
              <w:right w:val="single" w:sz="8" w:space="0" w:color="auto"/>
            </w:tcBorders>
            <w:shd w:val="clear" w:color="auto" w:fill="auto"/>
            <w:vAlign w:val="center"/>
            <w:hideMark/>
          </w:tcPr>
          <w:p w14:paraId="43C68B91" w14:textId="39F3B78C" w:rsidR="005055AD" w:rsidRPr="008244FA" w:rsidRDefault="005055AD" w:rsidP="007631AE">
            <w:pPr>
              <w:jc w:val="center"/>
              <w:rPr>
                <w:rFonts w:asciiTheme="majorHAnsi" w:eastAsia="Times New Roman" w:hAnsiTheme="majorHAnsi" w:cstheme="majorHAnsi"/>
                <w:color w:val="000000"/>
                <w:sz w:val="18"/>
                <w:szCs w:val="18"/>
                <w:lang w:eastAsia="fr-FR"/>
              </w:rPr>
            </w:pPr>
            <w:bookmarkStart w:id="90" w:name="RANGE!A19"/>
            <w:r w:rsidRPr="008244FA">
              <w:rPr>
                <w:rFonts w:asciiTheme="majorHAnsi" w:eastAsia="Times New Roman" w:hAnsiTheme="majorHAnsi" w:cstheme="majorHAnsi"/>
                <w:color w:val="000000"/>
                <w:sz w:val="18"/>
                <w:szCs w:val="18"/>
                <w:lang w:eastAsia="fr-FR"/>
              </w:rPr>
              <w:t>Conservation compatible tree-based production systems as part of sustainable landscape mosaics</w:t>
            </w:r>
            <w:bookmarkEnd w:id="90"/>
          </w:p>
        </w:tc>
        <w:tc>
          <w:tcPr>
            <w:tcW w:w="1189" w:type="dxa"/>
            <w:vMerge/>
            <w:tcBorders>
              <w:top w:val="nil"/>
              <w:left w:val="single" w:sz="8" w:space="0" w:color="auto"/>
              <w:bottom w:val="single" w:sz="8" w:space="0" w:color="000000"/>
              <w:right w:val="single" w:sz="8" w:space="0" w:color="auto"/>
            </w:tcBorders>
            <w:vAlign w:val="center"/>
            <w:hideMark/>
          </w:tcPr>
          <w:p w14:paraId="32E5043B" w14:textId="77777777" w:rsidR="005055AD" w:rsidRPr="008244FA" w:rsidRDefault="005055AD" w:rsidP="007631AE">
            <w:pPr>
              <w:rPr>
                <w:rFonts w:asciiTheme="majorHAnsi" w:eastAsia="Times New Roman" w:hAnsiTheme="majorHAnsi" w:cstheme="majorHAnsi"/>
                <w:color w:val="000000"/>
                <w:sz w:val="18"/>
                <w:szCs w:val="18"/>
                <w:lang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2E78F1D2" w14:textId="77777777" w:rsidR="005055AD" w:rsidRPr="008244FA" w:rsidRDefault="005055AD" w:rsidP="007631AE">
            <w:pPr>
              <w:rPr>
                <w:rFonts w:asciiTheme="majorHAnsi" w:eastAsia="Times New Roman" w:hAnsiTheme="majorHAnsi" w:cstheme="majorHAnsi"/>
                <w:color w:val="000000"/>
                <w:sz w:val="18"/>
                <w:szCs w:val="18"/>
                <w:lang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70E1D3D0" w14:textId="77777777" w:rsidR="005055AD" w:rsidRPr="008244FA" w:rsidRDefault="005055AD" w:rsidP="007631AE">
            <w:pPr>
              <w:rPr>
                <w:rFonts w:asciiTheme="majorHAnsi" w:eastAsia="Times New Roman" w:hAnsiTheme="majorHAnsi" w:cstheme="majorHAnsi"/>
                <w:color w:val="000000"/>
                <w:sz w:val="18"/>
                <w:szCs w:val="18"/>
                <w:lang w:eastAsia="fr-FR"/>
              </w:rPr>
            </w:pPr>
          </w:p>
        </w:tc>
        <w:tc>
          <w:tcPr>
            <w:tcW w:w="992" w:type="dxa"/>
            <w:gridSpan w:val="2"/>
            <w:tcBorders>
              <w:top w:val="nil"/>
              <w:left w:val="nil"/>
              <w:bottom w:val="single" w:sz="4" w:space="0" w:color="auto"/>
              <w:right w:val="single" w:sz="8" w:space="0" w:color="auto"/>
            </w:tcBorders>
            <w:shd w:val="clear" w:color="auto" w:fill="auto"/>
            <w:noWrap/>
            <w:vAlign w:val="center"/>
            <w:hideMark/>
          </w:tcPr>
          <w:p w14:paraId="2287BA31"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71600</w:t>
            </w:r>
          </w:p>
        </w:tc>
        <w:tc>
          <w:tcPr>
            <w:tcW w:w="2103" w:type="dxa"/>
            <w:gridSpan w:val="3"/>
            <w:tcBorders>
              <w:top w:val="nil"/>
              <w:left w:val="nil"/>
              <w:bottom w:val="single" w:sz="8" w:space="0" w:color="auto"/>
              <w:right w:val="single" w:sz="4" w:space="0" w:color="auto"/>
            </w:tcBorders>
            <w:shd w:val="clear" w:color="000000" w:fill="FFFFFF"/>
            <w:noWrap/>
            <w:vAlign w:val="center"/>
            <w:hideMark/>
          </w:tcPr>
          <w:p w14:paraId="4BFEA55E" w14:textId="77777777" w:rsidR="005055AD" w:rsidRPr="008244FA" w:rsidRDefault="005055AD"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Travel </w:t>
            </w:r>
          </w:p>
        </w:tc>
        <w:tc>
          <w:tcPr>
            <w:tcW w:w="1047" w:type="dxa"/>
            <w:tcBorders>
              <w:top w:val="nil"/>
              <w:left w:val="single" w:sz="4" w:space="0" w:color="auto"/>
              <w:bottom w:val="single" w:sz="8" w:space="0" w:color="auto"/>
              <w:right w:val="single" w:sz="8" w:space="0" w:color="auto"/>
            </w:tcBorders>
            <w:shd w:val="clear" w:color="000000" w:fill="FFFFFF"/>
            <w:noWrap/>
            <w:vAlign w:val="center"/>
            <w:hideMark/>
          </w:tcPr>
          <w:p w14:paraId="031AF080"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3B8920D0"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15,000</w:t>
            </w:r>
          </w:p>
        </w:tc>
        <w:tc>
          <w:tcPr>
            <w:tcW w:w="989" w:type="dxa"/>
            <w:tcBorders>
              <w:top w:val="nil"/>
              <w:left w:val="nil"/>
              <w:bottom w:val="single" w:sz="8" w:space="0" w:color="auto"/>
              <w:right w:val="single" w:sz="8" w:space="0" w:color="auto"/>
            </w:tcBorders>
            <w:shd w:val="clear" w:color="000000" w:fill="FFFFFF"/>
            <w:noWrap/>
            <w:vAlign w:val="center"/>
            <w:hideMark/>
          </w:tcPr>
          <w:p w14:paraId="16BC9BE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15,000</w:t>
            </w:r>
          </w:p>
        </w:tc>
        <w:tc>
          <w:tcPr>
            <w:tcW w:w="992" w:type="dxa"/>
            <w:tcBorders>
              <w:top w:val="nil"/>
              <w:left w:val="nil"/>
              <w:bottom w:val="single" w:sz="8" w:space="0" w:color="auto"/>
              <w:right w:val="single" w:sz="8" w:space="0" w:color="auto"/>
            </w:tcBorders>
            <w:shd w:val="clear" w:color="000000" w:fill="FFFFFF"/>
            <w:noWrap/>
            <w:vAlign w:val="center"/>
            <w:hideMark/>
          </w:tcPr>
          <w:p w14:paraId="5CB5398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15,000</w:t>
            </w:r>
          </w:p>
        </w:tc>
        <w:tc>
          <w:tcPr>
            <w:tcW w:w="1115" w:type="dxa"/>
            <w:tcBorders>
              <w:top w:val="nil"/>
              <w:left w:val="nil"/>
              <w:bottom w:val="single" w:sz="8" w:space="0" w:color="auto"/>
              <w:right w:val="single" w:sz="8" w:space="0" w:color="auto"/>
            </w:tcBorders>
            <w:shd w:val="clear" w:color="000000" w:fill="FFFFFF"/>
            <w:noWrap/>
            <w:vAlign w:val="center"/>
            <w:hideMark/>
          </w:tcPr>
          <w:p w14:paraId="2F6C65E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15,000</w:t>
            </w:r>
          </w:p>
        </w:tc>
        <w:tc>
          <w:tcPr>
            <w:tcW w:w="1157" w:type="dxa"/>
            <w:tcBorders>
              <w:top w:val="nil"/>
              <w:left w:val="nil"/>
              <w:bottom w:val="single" w:sz="8" w:space="0" w:color="auto"/>
              <w:right w:val="single" w:sz="8" w:space="0" w:color="auto"/>
            </w:tcBorders>
            <w:shd w:val="clear" w:color="000000" w:fill="FFFFFF"/>
            <w:noWrap/>
            <w:vAlign w:val="center"/>
            <w:hideMark/>
          </w:tcPr>
          <w:p w14:paraId="6C8F214B"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70,000</w:t>
            </w:r>
          </w:p>
        </w:tc>
        <w:tc>
          <w:tcPr>
            <w:tcW w:w="1238" w:type="dxa"/>
            <w:tcBorders>
              <w:top w:val="nil"/>
              <w:left w:val="nil"/>
              <w:bottom w:val="single" w:sz="8" w:space="0" w:color="auto"/>
              <w:right w:val="single" w:sz="8" w:space="0" w:color="auto"/>
            </w:tcBorders>
            <w:shd w:val="clear" w:color="000000" w:fill="FFFFFF"/>
            <w:vAlign w:val="center"/>
            <w:hideMark/>
          </w:tcPr>
          <w:p w14:paraId="49FD1F2D"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15</w:t>
            </w:r>
          </w:p>
        </w:tc>
      </w:tr>
      <w:tr w:rsidR="005055AD" w:rsidRPr="007631AE" w14:paraId="72B7D8FB"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707FA7D5"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6C5697ED"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561E1AD7"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5BF881EC"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noWrap/>
            <w:vAlign w:val="center"/>
            <w:hideMark/>
          </w:tcPr>
          <w:p w14:paraId="679D1013"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72100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0F7EA4D6" w14:textId="77777777" w:rsidR="005055AD" w:rsidRPr="008244FA" w:rsidRDefault="005055AD" w:rsidP="007631AE">
            <w:pPr>
              <w:jc w:val="both"/>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companies</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000000" w:fill="FFFFFF"/>
            <w:noWrap/>
            <w:vAlign w:val="center"/>
            <w:hideMark/>
          </w:tcPr>
          <w:p w14:paraId="088669DB" w14:textId="78C6ED3E" w:rsidR="005055AD" w:rsidRPr="005265D7" w:rsidRDefault="005055AD"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w:t>
            </w:r>
            <w:r w:rsidR="00AB0498"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2797AE4F" w14:textId="44FC5AD0" w:rsidR="005055AD" w:rsidRPr="005265D7" w:rsidRDefault="005055AD"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w:t>
            </w:r>
            <w:r w:rsidR="00AB0498"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,000</w:t>
            </w:r>
          </w:p>
        </w:tc>
        <w:tc>
          <w:tcPr>
            <w:tcW w:w="989" w:type="dxa"/>
            <w:tcBorders>
              <w:top w:val="nil"/>
              <w:left w:val="nil"/>
              <w:bottom w:val="single" w:sz="8" w:space="0" w:color="auto"/>
              <w:right w:val="single" w:sz="8" w:space="0" w:color="auto"/>
            </w:tcBorders>
            <w:shd w:val="clear" w:color="000000" w:fill="FFFFFF"/>
            <w:noWrap/>
            <w:vAlign w:val="center"/>
            <w:hideMark/>
          </w:tcPr>
          <w:p w14:paraId="0106C593" w14:textId="23A3199E" w:rsidR="005055AD" w:rsidRPr="005265D7" w:rsidRDefault="005055AD"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w:t>
            </w:r>
            <w:r w:rsidR="00AB0498"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,000</w:t>
            </w:r>
          </w:p>
        </w:tc>
        <w:tc>
          <w:tcPr>
            <w:tcW w:w="992" w:type="dxa"/>
            <w:tcBorders>
              <w:top w:val="nil"/>
              <w:left w:val="nil"/>
              <w:bottom w:val="single" w:sz="8" w:space="0" w:color="auto"/>
              <w:right w:val="single" w:sz="8" w:space="0" w:color="auto"/>
            </w:tcBorders>
            <w:shd w:val="clear" w:color="000000" w:fill="FFFFFF"/>
            <w:noWrap/>
            <w:vAlign w:val="center"/>
            <w:hideMark/>
          </w:tcPr>
          <w:p w14:paraId="7BD646B4" w14:textId="77D264BA" w:rsidR="005055AD" w:rsidRPr="005265D7" w:rsidRDefault="00AB0498"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15</w:t>
            </w:r>
            <w:r w:rsidR="005055AD" w:rsidRPr="005265D7">
              <w:rPr>
                <w:rFonts w:asciiTheme="majorHAnsi" w:eastAsia="Times New Roman" w:hAnsiTheme="majorHAnsi" w:cstheme="majorHAnsi"/>
                <w:color w:val="000000"/>
                <w:sz w:val="18"/>
                <w:szCs w:val="18"/>
                <w:highlight w:val="magenta"/>
                <w:lang w:val="fr-FR" w:eastAsia="fr-FR"/>
              </w:rPr>
              <w:t>,000</w:t>
            </w:r>
          </w:p>
        </w:tc>
        <w:tc>
          <w:tcPr>
            <w:tcW w:w="1115" w:type="dxa"/>
            <w:tcBorders>
              <w:top w:val="nil"/>
              <w:left w:val="nil"/>
              <w:bottom w:val="single" w:sz="8" w:space="0" w:color="auto"/>
              <w:right w:val="single" w:sz="8" w:space="0" w:color="auto"/>
            </w:tcBorders>
            <w:shd w:val="clear" w:color="000000" w:fill="FFFFFF"/>
            <w:noWrap/>
            <w:vAlign w:val="center"/>
            <w:hideMark/>
          </w:tcPr>
          <w:p w14:paraId="66637155" w14:textId="0C1C9BF5" w:rsidR="005055AD" w:rsidRPr="005265D7" w:rsidRDefault="005055AD"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w:t>
            </w:r>
            <w:r w:rsidR="00AB0498"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,000</w:t>
            </w:r>
          </w:p>
        </w:tc>
        <w:tc>
          <w:tcPr>
            <w:tcW w:w="1157" w:type="dxa"/>
            <w:tcBorders>
              <w:top w:val="nil"/>
              <w:left w:val="nil"/>
              <w:bottom w:val="single" w:sz="8" w:space="0" w:color="auto"/>
              <w:right w:val="single" w:sz="8" w:space="0" w:color="auto"/>
            </w:tcBorders>
            <w:shd w:val="clear" w:color="000000" w:fill="FFFFFF"/>
            <w:noWrap/>
            <w:vAlign w:val="center"/>
            <w:hideMark/>
          </w:tcPr>
          <w:p w14:paraId="0FFFBEB2" w14:textId="1CA21785" w:rsidR="005055AD" w:rsidRPr="00FE7303" w:rsidRDefault="00AB0498" w:rsidP="007631AE">
            <w:pPr>
              <w:jc w:val="right"/>
              <w:rPr>
                <w:rFonts w:asciiTheme="majorHAnsi" w:eastAsia="Times New Roman" w:hAnsiTheme="majorHAnsi" w:cstheme="majorHAnsi"/>
                <w:color w:val="000000"/>
                <w:sz w:val="18"/>
                <w:szCs w:val="18"/>
                <w:highlight w:val="yellow"/>
                <w:lang w:val="fr-FR" w:eastAsia="fr-FR"/>
              </w:rPr>
            </w:pPr>
            <w:r w:rsidRPr="005265D7">
              <w:rPr>
                <w:rFonts w:asciiTheme="majorHAnsi" w:eastAsia="Times New Roman" w:hAnsiTheme="majorHAnsi" w:cstheme="majorHAnsi"/>
                <w:color w:val="000000"/>
                <w:sz w:val="18"/>
                <w:szCs w:val="18"/>
                <w:highlight w:val="magenta"/>
                <w:lang w:val="fr-FR" w:eastAsia="fr-FR"/>
              </w:rPr>
              <w:t>75</w:t>
            </w:r>
            <w:r w:rsidR="005055AD" w:rsidRPr="005265D7">
              <w:rPr>
                <w:rFonts w:asciiTheme="majorHAnsi" w:eastAsia="Times New Roman" w:hAnsiTheme="majorHAnsi" w:cstheme="majorHAnsi"/>
                <w:color w:val="000000"/>
                <w:sz w:val="18"/>
                <w:szCs w:val="18"/>
                <w:highlight w:val="magenta"/>
                <w:lang w:val="fr-FR" w:eastAsia="fr-FR"/>
              </w:rPr>
              <w:t>,000</w:t>
            </w:r>
          </w:p>
        </w:tc>
        <w:tc>
          <w:tcPr>
            <w:tcW w:w="1238" w:type="dxa"/>
            <w:tcBorders>
              <w:top w:val="nil"/>
              <w:left w:val="nil"/>
              <w:bottom w:val="single" w:sz="8" w:space="0" w:color="auto"/>
              <w:right w:val="single" w:sz="8" w:space="0" w:color="auto"/>
            </w:tcBorders>
            <w:shd w:val="clear" w:color="000000" w:fill="FFFFFF"/>
            <w:vAlign w:val="center"/>
            <w:hideMark/>
          </w:tcPr>
          <w:p w14:paraId="61436CF5"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16</w:t>
            </w:r>
          </w:p>
        </w:tc>
      </w:tr>
      <w:tr w:rsidR="005055AD" w:rsidRPr="007631AE" w14:paraId="74251DC0"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120BF731"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7016DCC1"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3495BCF8"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6F7F4F8E"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noWrap/>
            <w:vAlign w:val="center"/>
            <w:hideMark/>
          </w:tcPr>
          <w:p w14:paraId="021BF626"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72200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05BEB127" w14:textId="77777777" w:rsidR="005055AD" w:rsidRPr="008244FA" w:rsidRDefault="005055AD"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Equipment and </w:t>
            </w:r>
            <w:proofErr w:type="spellStart"/>
            <w:r w:rsidRPr="008244FA">
              <w:rPr>
                <w:rFonts w:asciiTheme="majorHAnsi" w:eastAsia="Times New Roman" w:hAnsiTheme="majorHAnsi" w:cstheme="majorHAnsi"/>
                <w:color w:val="000000"/>
                <w:sz w:val="18"/>
                <w:szCs w:val="18"/>
                <w:lang w:val="fr-FR" w:eastAsia="fr-FR"/>
              </w:rPr>
              <w:t>Furniture</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000000" w:fill="FFFFFF"/>
            <w:noWrap/>
            <w:vAlign w:val="center"/>
            <w:hideMark/>
          </w:tcPr>
          <w:p w14:paraId="7F9ED220"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19,000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0AF005DD"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19,000</w:t>
            </w:r>
          </w:p>
        </w:tc>
        <w:tc>
          <w:tcPr>
            <w:tcW w:w="989" w:type="dxa"/>
            <w:tcBorders>
              <w:top w:val="nil"/>
              <w:left w:val="nil"/>
              <w:bottom w:val="single" w:sz="8" w:space="0" w:color="auto"/>
              <w:right w:val="single" w:sz="8" w:space="0" w:color="auto"/>
            </w:tcBorders>
            <w:shd w:val="clear" w:color="000000" w:fill="FFFFFF"/>
            <w:noWrap/>
            <w:vAlign w:val="center"/>
            <w:hideMark/>
          </w:tcPr>
          <w:p w14:paraId="351D975F"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19,000</w:t>
            </w:r>
          </w:p>
        </w:tc>
        <w:tc>
          <w:tcPr>
            <w:tcW w:w="992" w:type="dxa"/>
            <w:tcBorders>
              <w:top w:val="nil"/>
              <w:left w:val="nil"/>
              <w:bottom w:val="single" w:sz="8" w:space="0" w:color="auto"/>
              <w:right w:val="single" w:sz="8" w:space="0" w:color="auto"/>
            </w:tcBorders>
            <w:shd w:val="clear" w:color="000000" w:fill="FFFFFF"/>
            <w:noWrap/>
            <w:vAlign w:val="center"/>
            <w:hideMark/>
          </w:tcPr>
          <w:p w14:paraId="4B44F82B"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19,000</w:t>
            </w:r>
          </w:p>
        </w:tc>
        <w:tc>
          <w:tcPr>
            <w:tcW w:w="1115" w:type="dxa"/>
            <w:tcBorders>
              <w:top w:val="nil"/>
              <w:left w:val="nil"/>
              <w:bottom w:val="single" w:sz="8" w:space="0" w:color="auto"/>
              <w:right w:val="single" w:sz="8" w:space="0" w:color="auto"/>
            </w:tcBorders>
            <w:shd w:val="clear" w:color="000000" w:fill="FFFFFF"/>
            <w:noWrap/>
            <w:vAlign w:val="center"/>
            <w:hideMark/>
          </w:tcPr>
          <w:p w14:paraId="2FF16F9A"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19,000</w:t>
            </w:r>
          </w:p>
        </w:tc>
        <w:tc>
          <w:tcPr>
            <w:tcW w:w="1157" w:type="dxa"/>
            <w:tcBorders>
              <w:top w:val="nil"/>
              <w:left w:val="nil"/>
              <w:bottom w:val="single" w:sz="8" w:space="0" w:color="auto"/>
              <w:right w:val="single" w:sz="8" w:space="0" w:color="auto"/>
            </w:tcBorders>
            <w:shd w:val="clear" w:color="000000" w:fill="FFFFFF"/>
            <w:noWrap/>
            <w:vAlign w:val="center"/>
            <w:hideMark/>
          </w:tcPr>
          <w:p w14:paraId="5C532296"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95,000</w:t>
            </w:r>
          </w:p>
        </w:tc>
        <w:tc>
          <w:tcPr>
            <w:tcW w:w="1238" w:type="dxa"/>
            <w:tcBorders>
              <w:top w:val="nil"/>
              <w:left w:val="nil"/>
              <w:bottom w:val="single" w:sz="8" w:space="0" w:color="auto"/>
              <w:right w:val="single" w:sz="8" w:space="0" w:color="auto"/>
            </w:tcBorders>
            <w:shd w:val="clear" w:color="000000" w:fill="FFFFFF"/>
            <w:vAlign w:val="center"/>
            <w:hideMark/>
          </w:tcPr>
          <w:p w14:paraId="7C62C4CE"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17</w:t>
            </w:r>
          </w:p>
        </w:tc>
      </w:tr>
      <w:tr w:rsidR="005055AD" w:rsidRPr="007631AE" w14:paraId="5C281634"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4EF345F6"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65CFC7E8"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5C3937EC"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1A234BE7"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noWrap/>
            <w:vAlign w:val="center"/>
            <w:hideMark/>
          </w:tcPr>
          <w:p w14:paraId="5723975C"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72400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0B729857" w14:textId="77777777" w:rsidR="005055AD" w:rsidRPr="008244FA" w:rsidRDefault="005055AD" w:rsidP="007631AE">
            <w:pPr>
              <w:jc w:val="both"/>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Communic</w:t>
            </w:r>
            <w:proofErr w:type="spellEnd"/>
            <w:r w:rsidRPr="008244FA">
              <w:rPr>
                <w:rFonts w:asciiTheme="majorHAnsi" w:eastAsia="Times New Roman" w:hAnsiTheme="majorHAnsi" w:cstheme="majorHAnsi"/>
                <w:color w:val="000000"/>
                <w:sz w:val="18"/>
                <w:szCs w:val="18"/>
                <w:lang w:val="fr-FR" w:eastAsia="fr-FR"/>
              </w:rPr>
              <w:t xml:space="preserve"> &amp; </w:t>
            </w:r>
            <w:proofErr w:type="spellStart"/>
            <w:r w:rsidRPr="008244FA">
              <w:rPr>
                <w:rFonts w:asciiTheme="majorHAnsi" w:eastAsia="Times New Roman" w:hAnsiTheme="majorHAnsi" w:cstheme="majorHAnsi"/>
                <w:color w:val="000000"/>
                <w:sz w:val="18"/>
                <w:szCs w:val="18"/>
                <w:lang w:val="fr-FR" w:eastAsia="fr-FR"/>
              </w:rPr>
              <w:t>Audio-Visual</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1047" w:type="dxa"/>
            <w:tcBorders>
              <w:top w:val="nil"/>
              <w:left w:val="nil"/>
              <w:bottom w:val="single" w:sz="8" w:space="0" w:color="auto"/>
              <w:right w:val="single" w:sz="8" w:space="0" w:color="auto"/>
            </w:tcBorders>
            <w:shd w:val="clear" w:color="000000" w:fill="FFFFFF"/>
            <w:noWrap/>
            <w:vAlign w:val="center"/>
            <w:hideMark/>
          </w:tcPr>
          <w:p w14:paraId="464AF502"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5,000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44A6186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5,000</w:t>
            </w:r>
          </w:p>
        </w:tc>
        <w:tc>
          <w:tcPr>
            <w:tcW w:w="989" w:type="dxa"/>
            <w:tcBorders>
              <w:top w:val="nil"/>
              <w:left w:val="nil"/>
              <w:bottom w:val="single" w:sz="8" w:space="0" w:color="auto"/>
              <w:right w:val="single" w:sz="8" w:space="0" w:color="auto"/>
            </w:tcBorders>
            <w:shd w:val="clear" w:color="000000" w:fill="FFFFFF"/>
            <w:noWrap/>
            <w:vAlign w:val="center"/>
            <w:hideMark/>
          </w:tcPr>
          <w:p w14:paraId="33041179"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5,000</w:t>
            </w:r>
          </w:p>
        </w:tc>
        <w:tc>
          <w:tcPr>
            <w:tcW w:w="992" w:type="dxa"/>
            <w:tcBorders>
              <w:top w:val="nil"/>
              <w:left w:val="nil"/>
              <w:bottom w:val="single" w:sz="8" w:space="0" w:color="auto"/>
              <w:right w:val="single" w:sz="8" w:space="0" w:color="auto"/>
            </w:tcBorders>
            <w:shd w:val="clear" w:color="000000" w:fill="FFFFFF"/>
            <w:noWrap/>
            <w:vAlign w:val="center"/>
            <w:hideMark/>
          </w:tcPr>
          <w:p w14:paraId="3E1F1CCF"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5,000</w:t>
            </w:r>
          </w:p>
        </w:tc>
        <w:tc>
          <w:tcPr>
            <w:tcW w:w="1115" w:type="dxa"/>
            <w:tcBorders>
              <w:top w:val="nil"/>
              <w:left w:val="nil"/>
              <w:bottom w:val="single" w:sz="8" w:space="0" w:color="auto"/>
              <w:right w:val="single" w:sz="8" w:space="0" w:color="auto"/>
            </w:tcBorders>
            <w:shd w:val="clear" w:color="000000" w:fill="FFFFFF"/>
            <w:noWrap/>
            <w:vAlign w:val="center"/>
            <w:hideMark/>
          </w:tcPr>
          <w:p w14:paraId="4AA10079"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5,000</w:t>
            </w:r>
          </w:p>
        </w:tc>
        <w:tc>
          <w:tcPr>
            <w:tcW w:w="1157" w:type="dxa"/>
            <w:tcBorders>
              <w:top w:val="nil"/>
              <w:left w:val="nil"/>
              <w:bottom w:val="single" w:sz="8" w:space="0" w:color="auto"/>
              <w:right w:val="single" w:sz="8" w:space="0" w:color="auto"/>
            </w:tcBorders>
            <w:shd w:val="clear" w:color="000000" w:fill="FFFFFF"/>
            <w:noWrap/>
            <w:vAlign w:val="center"/>
            <w:hideMark/>
          </w:tcPr>
          <w:p w14:paraId="1D9C028B"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25,000</w:t>
            </w:r>
          </w:p>
        </w:tc>
        <w:tc>
          <w:tcPr>
            <w:tcW w:w="1238" w:type="dxa"/>
            <w:tcBorders>
              <w:top w:val="nil"/>
              <w:left w:val="nil"/>
              <w:bottom w:val="single" w:sz="8" w:space="0" w:color="auto"/>
              <w:right w:val="single" w:sz="8" w:space="0" w:color="auto"/>
            </w:tcBorders>
            <w:shd w:val="clear" w:color="000000" w:fill="FFFFFF"/>
            <w:vAlign w:val="center"/>
            <w:hideMark/>
          </w:tcPr>
          <w:p w14:paraId="051A4725"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18</w:t>
            </w:r>
          </w:p>
        </w:tc>
      </w:tr>
      <w:tr w:rsidR="005055AD" w:rsidRPr="007631AE" w14:paraId="5AB9472A"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08E8B8D6"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6307AB74"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72EBED11"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5FF29438"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noWrap/>
            <w:vAlign w:val="center"/>
            <w:hideMark/>
          </w:tcPr>
          <w:p w14:paraId="782D09AC"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72800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72D909D0" w14:textId="77777777" w:rsidR="005055AD" w:rsidRPr="008244FA" w:rsidRDefault="005055AD"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Information </w:t>
            </w:r>
            <w:proofErr w:type="spellStart"/>
            <w:r w:rsidRPr="008244FA">
              <w:rPr>
                <w:rFonts w:asciiTheme="majorHAnsi" w:eastAsia="Times New Roman" w:hAnsiTheme="majorHAnsi" w:cstheme="majorHAnsi"/>
                <w:color w:val="000000"/>
                <w:sz w:val="18"/>
                <w:szCs w:val="18"/>
                <w:lang w:val="fr-FR" w:eastAsia="fr-FR"/>
              </w:rPr>
              <w:t>Technology</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1047" w:type="dxa"/>
            <w:tcBorders>
              <w:top w:val="nil"/>
              <w:left w:val="nil"/>
              <w:bottom w:val="single" w:sz="8" w:space="0" w:color="auto"/>
              <w:right w:val="single" w:sz="8" w:space="0" w:color="auto"/>
            </w:tcBorders>
            <w:shd w:val="clear" w:color="000000" w:fill="FFFFFF"/>
            <w:noWrap/>
            <w:vAlign w:val="center"/>
            <w:hideMark/>
          </w:tcPr>
          <w:p w14:paraId="0B5A53FF"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4,000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2355129D"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3,000</w:t>
            </w:r>
          </w:p>
        </w:tc>
        <w:tc>
          <w:tcPr>
            <w:tcW w:w="989" w:type="dxa"/>
            <w:tcBorders>
              <w:top w:val="nil"/>
              <w:left w:val="nil"/>
              <w:bottom w:val="single" w:sz="8" w:space="0" w:color="auto"/>
              <w:right w:val="single" w:sz="8" w:space="0" w:color="auto"/>
            </w:tcBorders>
            <w:shd w:val="clear" w:color="000000" w:fill="FFFFFF"/>
            <w:noWrap/>
            <w:vAlign w:val="center"/>
            <w:hideMark/>
          </w:tcPr>
          <w:p w14:paraId="11B7D4A0" w14:textId="32D1994E"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w:t>
            </w:r>
            <w:r>
              <w:rPr>
                <w:rFonts w:asciiTheme="majorHAnsi" w:eastAsia="Times New Roman" w:hAnsiTheme="majorHAnsi" w:cstheme="majorHAnsi"/>
                <w:color w:val="000000"/>
                <w:sz w:val="18"/>
                <w:szCs w:val="18"/>
                <w:highlight w:val="yellow"/>
                <w:lang w:val="fr-FR" w:eastAsia="fr-FR"/>
              </w:rPr>
              <w:t>,</w:t>
            </w:r>
            <w:r w:rsidRPr="00FE7303">
              <w:rPr>
                <w:rFonts w:asciiTheme="majorHAnsi" w:eastAsia="Times New Roman" w:hAnsiTheme="majorHAnsi" w:cstheme="majorHAnsi"/>
                <w:color w:val="000000"/>
                <w:sz w:val="18"/>
                <w:szCs w:val="18"/>
                <w:highlight w:val="yellow"/>
                <w:lang w:val="fr-FR" w:eastAsia="fr-FR"/>
              </w:rPr>
              <w:t>000</w:t>
            </w:r>
          </w:p>
        </w:tc>
        <w:tc>
          <w:tcPr>
            <w:tcW w:w="992" w:type="dxa"/>
            <w:tcBorders>
              <w:top w:val="nil"/>
              <w:left w:val="nil"/>
              <w:bottom w:val="single" w:sz="8" w:space="0" w:color="auto"/>
              <w:right w:val="single" w:sz="8" w:space="0" w:color="auto"/>
            </w:tcBorders>
            <w:shd w:val="clear" w:color="000000" w:fill="FFFFFF"/>
            <w:noWrap/>
            <w:vAlign w:val="center"/>
            <w:hideMark/>
          </w:tcPr>
          <w:p w14:paraId="5464AB75" w14:textId="2DF32266"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w:t>
            </w:r>
            <w:r>
              <w:rPr>
                <w:rFonts w:asciiTheme="majorHAnsi" w:eastAsia="Times New Roman" w:hAnsiTheme="majorHAnsi" w:cstheme="majorHAnsi"/>
                <w:color w:val="000000"/>
                <w:sz w:val="18"/>
                <w:szCs w:val="18"/>
                <w:highlight w:val="yellow"/>
                <w:lang w:val="fr-FR" w:eastAsia="fr-FR"/>
              </w:rPr>
              <w:t>,</w:t>
            </w:r>
            <w:r w:rsidRPr="00FE7303">
              <w:rPr>
                <w:rFonts w:asciiTheme="majorHAnsi" w:eastAsia="Times New Roman" w:hAnsiTheme="majorHAnsi" w:cstheme="majorHAnsi"/>
                <w:color w:val="000000"/>
                <w:sz w:val="18"/>
                <w:szCs w:val="18"/>
                <w:highlight w:val="yellow"/>
                <w:lang w:val="fr-FR" w:eastAsia="fr-FR"/>
              </w:rPr>
              <w:t>000</w:t>
            </w:r>
          </w:p>
        </w:tc>
        <w:tc>
          <w:tcPr>
            <w:tcW w:w="1115" w:type="dxa"/>
            <w:tcBorders>
              <w:top w:val="nil"/>
              <w:left w:val="nil"/>
              <w:bottom w:val="single" w:sz="8" w:space="0" w:color="auto"/>
              <w:right w:val="single" w:sz="8" w:space="0" w:color="auto"/>
            </w:tcBorders>
            <w:shd w:val="clear" w:color="000000" w:fill="FFFFFF"/>
            <w:noWrap/>
            <w:vAlign w:val="center"/>
            <w:hideMark/>
          </w:tcPr>
          <w:p w14:paraId="35127D39" w14:textId="637B6D75"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w:t>
            </w:r>
            <w:r>
              <w:rPr>
                <w:rFonts w:asciiTheme="majorHAnsi" w:eastAsia="Times New Roman" w:hAnsiTheme="majorHAnsi" w:cstheme="majorHAnsi"/>
                <w:color w:val="000000"/>
                <w:sz w:val="18"/>
                <w:szCs w:val="18"/>
                <w:highlight w:val="yellow"/>
                <w:lang w:val="fr-FR" w:eastAsia="fr-FR"/>
              </w:rPr>
              <w:t>,</w:t>
            </w:r>
            <w:r w:rsidRPr="00FE7303">
              <w:rPr>
                <w:rFonts w:asciiTheme="majorHAnsi" w:eastAsia="Times New Roman" w:hAnsiTheme="majorHAnsi" w:cstheme="majorHAnsi"/>
                <w:color w:val="000000"/>
                <w:sz w:val="18"/>
                <w:szCs w:val="18"/>
                <w:highlight w:val="yellow"/>
                <w:lang w:val="fr-FR" w:eastAsia="fr-FR"/>
              </w:rPr>
              <w:t>000</w:t>
            </w:r>
          </w:p>
        </w:tc>
        <w:tc>
          <w:tcPr>
            <w:tcW w:w="1157" w:type="dxa"/>
            <w:tcBorders>
              <w:top w:val="nil"/>
              <w:left w:val="nil"/>
              <w:bottom w:val="single" w:sz="8" w:space="0" w:color="auto"/>
              <w:right w:val="single" w:sz="8" w:space="0" w:color="auto"/>
            </w:tcBorders>
            <w:shd w:val="clear" w:color="000000" w:fill="FFFFFF"/>
            <w:noWrap/>
            <w:vAlign w:val="center"/>
            <w:hideMark/>
          </w:tcPr>
          <w:p w14:paraId="215AC5C1"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16,000</w:t>
            </w:r>
          </w:p>
        </w:tc>
        <w:tc>
          <w:tcPr>
            <w:tcW w:w="1238" w:type="dxa"/>
            <w:tcBorders>
              <w:top w:val="nil"/>
              <w:left w:val="nil"/>
              <w:bottom w:val="single" w:sz="8" w:space="0" w:color="auto"/>
              <w:right w:val="single" w:sz="8" w:space="0" w:color="auto"/>
            </w:tcBorders>
            <w:shd w:val="clear" w:color="000000" w:fill="FFFFFF"/>
            <w:vAlign w:val="center"/>
            <w:hideMark/>
          </w:tcPr>
          <w:p w14:paraId="326152FB"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19</w:t>
            </w:r>
          </w:p>
        </w:tc>
      </w:tr>
      <w:tr w:rsidR="005055AD" w:rsidRPr="007631AE" w14:paraId="1811A677"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10EC0A40"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4A51F39E"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0E00CADB"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4F72FDE3"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noWrap/>
            <w:vAlign w:val="center"/>
            <w:hideMark/>
          </w:tcPr>
          <w:p w14:paraId="0982CE80"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73100</w:t>
            </w:r>
          </w:p>
        </w:tc>
        <w:tc>
          <w:tcPr>
            <w:tcW w:w="2103" w:type="dxa"/>
            <w:gridSpan w:val="3"/>
            <w:tcBorders>
              <w:top w:val="nil"/>
              <w:left w:val="nil"/>
              <w:bottom w:val="single" w:sz="8" w:space="0" w:color="auto"/>
              <w:right w:val="single" w:sz="8" w:space="0" w:color="auto"/>
            </w:tcBorders>
            <w:shd w:val="clear" w:color="auto" w:fill="auto"/>
            <w:noWrap/>
            <w:vAlign w:val="center"/>
            <w:hideMark/>
          </w:tcPr>
          <w:p w14:paraId="7A38C097" w14:textId="77777777" w:rsidR="005055AD" w:rsidRPr="008244FA" w:rsidRDefault="005055AD" w:rsidP="007631AE">
            <w:pPr>
              <w:jc w:val="both"/>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Rental</w:t>
            </w:r>
            <w:proofErr w:type="spellEnd"/>
            <w:r w:rsidRPr="008244FA">
              <w:rPr>
                <w:rFonts w:asciiTheme="majorHAnsi" w:eastAsia="Times New Roman" w:hAnsiTheme="majorHAnsi" w:cstheme="majorHAnsi"/>
                <w:color w:val="000000"/>
                <w:sz w:val="18"/>
                <w:szCs w:val="18"/>
                <w:lang w:val="fr-FR" w:eastAsia="fr-FR"/>
              </w:rPr>
              <w:t xml:space="preserve"> and Maintenance - </w:t>
            </w:r>
            <w:proofErr w:type="spellStart"/>
            <w:r w:rsidRPr="008244FA">
              <w:rPr>
                <w:rFonts w:asciiTheme="majorHAnsi" w:eastAsia="Times New Roman" w:hAnsiTheme="majorHAnsi" w:cstheme="majorHAnsi"/>
                <w:color w:val="000000"/>
                <w:sz w:val="18"/>
                <w:szCs w:val="18"/>
                <w:lang w:val="fr-FR" w:eastAsia="fr-FR"/>
              </w:rPr>
              <w:t>Premises</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auto" w:fill="auto"/>
            <w:noWrap/>
            <w:vAlign w:val="center"/>
            <w:hideMark/>
          </w:tcPr>
          <w:p w14:paraId="6E41549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975" w:type="dxa"/>
            <w:gridSpan w:val="2"/>
            <w:tcBorders>
              <w:top w:val="nil"/>
              <w:left w:val="nil"/>
              <w:bottom w:val="single" w:sz="8" w:space="0" w:color="auto"/>
              <w:right w:val="single" w:sz="8" w:space="0" w:color="auto"/>
            </w:tcBorders>
            <w:shd w:val="clear" w:color="auto" w:fill="auto"/>
            <w:noWrap/>
            <w:vAlign w:val="center"/>
            <w:hideMark/>
          </w:tcPr>
          <w:p w14:paraId="5B5823AA"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989" w:type="dxa"/>
            <w:tcBorders>
              <w:top w:val="nil"/>
              <w:left w:val="nil"/>
              <w:bottom w:val="single" w:sz="8" w:space="0" w:color="auto"/>
              <w:right w:val="single" w:sz="8" w:space="0" w:color="auto"/>
            </w:tcBorders>
            <w:shd w:val="clear" w:color="auto" w:fill="auto"/>
            <w:noWrap/>
            <w:vAlign w:val="center"/>
            <w:hideMark/>
          </w:tcPr>
          <w:p w14:paraId="5F5D0ABF"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992" w:type="dxa"/>
            <w:tcBorders>
              <w:top w:val="nil"/>
              <w:left w:val="nil"/>
              <w:bottom w:val="single" w:sz="8" w:space="0" w:color="auto"/>
              <w:right w:val="single" w:sz="8" w:space="0" w:color="auto"/>
            </w:tcBorders>
            <w:shd w:val="clear" w:color="auto" w:fill="auto"/>
            <w:noWrap/>
            <w:vAlign w:val="center"/>
            <w:hideMark/>
          </w:tcPr>
          <w:p w14:paraId="0F722100"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1115" w:type="dxa"/>
            <w:tcBorders>
              <w:top w:val="nil"/>
              <w:left w:val="nil"/>
              <w:bottom w:val="single" w:sz="8" w:space="0" w:color="auto"/>
              <w:right w:val="single" w:sz="8" w:space="0" w:color="auto"/>
            </w:tcBorders>
            <w:shd w:val="clear" w:color="auto" w:fill="auto"/>
            <w:noWrap/>
            <w:vAlign w:val="center"/>
            <w:hideMark/>
          </w:tcPr>
          <w:p w14:paraId="2868A7C9"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1157" w:type="dxa"/>
            <w:tcBorders>
              <w:top w:val="nil"/>
              <w:left w:val="nil"/>
              <w:bottom w:val="single" w:sz="8" w:space="0" w:color="auto"/>
              <w:right w:val="single" w:sz="8" w:space="0" w:color="auto"/>
            </w:tcBorders>
            <w:shd w:val="clear" w:color="auto" w:fill="auto"/>
            <w:noWrap/>
            <w:vAlign w:val="center"/>
            <w:hideMark/>
          </w:tcPr>
          <w:p w14:paraId="51F998F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50,000</w:t>
            </w:r>
          </w:p>
        </w:tc>
        <w:tc>
          <w:tcPr>
            <w:tcW w:w="1238" w:type="dxa"/>
            <w:tcBorders>
              <w:top w:val="nil"/>
              <w:left w:val="nil"/>
              <w:bottom w:val="single" w:sz="8" w:space="0" w:color="auto"/>
              <w:right w:val="single" w:sz="8" w:space="0" w:color="auto"/>
            </w:tcBorders>
            <w:shd w:val="clear" w:color="auto" w:fill="auto"/>
            <w:vAlign w:val="center"/>
            <w:hideMark/>
          </w:tcPr>
          <w:p w14:paraId="6F6F3358"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20</w:t>
            </w:r>
          </w:p>
        </w:tc>
      </w:tr>
      <w:tr w:rsidR="005055AD" w:rsidRPr="007631AE" w14:paraId="01A5D252"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782BE17E"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46769CCE"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3CE7B213"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1FA76463"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noWrap/>
            <w:vAlign w:val="center"/>
            <w:hideMark/>
          </w:tcPr>
          <w:p w14:paraId="73C2E980"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73400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1784D4E7" w14:textId="77777777" w:rsidR="005055AD" w:rsidRPr="008244FA" w:rsidRDefault="005055AD" w:rsidP="007631AE">
            <w:pPr>
              <w:jc w:val="both"/>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eastAsia="fr-FR"/>
              </w:rPr>
              <w:t xml:space="preserve">Rental and Maintenance – other equipment </w:t>
            </w:r>
          </w:p>
        </w:tc>
        <w:tc>
          <w:tcPr>
            <w:tcW w:w="1047" w:type="dxa"/>
            <w:tcBorders>
              <w:top w:val="nil"/>
              <w:left w:val="nil"/>
              <w:bottom w:val="single" w:sz="8" w:space="0" w:color="auto"/>
              <w:right w:val="single" w:sz="8" w:space="0" w:color="auto"/>
            </w:tcBorders>
            <w:shd w:val="clear" w:color="000000" w:fill="FFFFFF"/>
            <w:noWrap/>
            <w:vAlign w:val="center"/>
            <w:hideMark/>
          </w:tcPr>
          <w:p w14:paraId="5DE87011"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39202753"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989" w:type="dxa"/>
            <w:tcBorders>
              <w:top w:val="nil"/>
              <w:left w:val="nil"/>
              <w:bottom w:val="single" w:sz="8" w:space="0" w:color="auto"/>
              <w:right w:val="single" w:sz="8" w:space="0" w:color="auto"/>
            </w:tcBorders>
            <w:shd w:val="clear" w:color="000000" w:fill="FFFFFF"/>
            <w:noWrap/>
            <w:vAlign w:val="center"/>
            <w:hideMark/>
          </w:tcPr>
          <w:p w14:paraId="21916B41"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992" w:type="dxa"/>
            <w:tcBorders>
              <w:top w:val="nil"/>
              <w:left w:val="nil"/>
              <w:bottom w:val="single" w:sz="8" w:space="0" w:color="auto"/>
              <w:right w:val="single" w:sz="8" w:space="0" w:color="auto"/>
            </w:tcBorders>
            <w:shd w:val="clear" w:color="000000" w:fill="FFFFFF"/>
            <w:noWrap/>
            <w:vAlign w:val="center"/>
            <w:hideMark/>
          </w:tcPr>
          <w:p w14:paraId="62CC56C1"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1115" w:type="dxa"/>
            <w:tcBorders>
              <w:top w:val="nil"/>
              <w:left w:val="nil"/>
              <w:bottom w:val="single" w:sz="8" w:space="0" w:color="auto"/>
              <w:right w:val="single" w:sz="8" w:space="0" w:color="auto"/>
            </w:tcBorders>
            <w:shd w:val="clear" w:color="000000" w:fill="FFFFFF"/>
            <w:noWrap/>
            <w:vAlign w:val="center"/>
            <w:hideMark/>
          </w:tcPr>
          <w:p w14:paraId="5429288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10,000</w:t>
            </w:r>
          </w:p>
        </w:tc>
        <w:tc>
          <w:tcPr>
            <w:tcW w:w="1157" w:type="dxa"/>
            <w:tcBorders>
              <w:top w:val="nil"/>
              <w:left w:val="nil"/>
              <w:bottom w:val="single" w:sz="8" w:space="0" w:color="auto"/>
              <w:right w:val="single" w:sz="8" w:space="0" w:color="auto"/>
            </w:tcBorders>
            <w:shd w:val="clear" w:color="000000" w:fill="FFFFFF"/>
            <w:noWrap/>
            <w:vAlign w:val="center"/>
            <w:hideMark/>
          </w:tcPr>
          <w:p w14:paraId="4A043A33"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50,000</w:t>
            </w:r>
          </w:p>
        </w:tc>
        <w:tc>
          <w:tcPr>
            <w:tcW w:w="1238" w:type="dxa"/>
            <w:tcBorders>
              <w:top w:val="nil"/>
              <w:left w:val="nil"/>
              <w:bottom w:val="single" w:sz="8" w:space="0" w:color="auto"/>
              <w:right w:val="single" w:sz="8" w:space="0" w:color="auto"/>
            </w:tcBorders>
            <w:shd w:val="clear" w:color="000000" w:fill="FFFFFF"/>
            <w:vAlign w:val="center"/>
            <w:hideMark/>
          </w:tcPr>
          <w:p w14:paraId="1F39A619"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21</w:t>
            </w:r>
          </w:p>
        </w:tc>
      </w:tr>
      <w:tr w:rsidR="005055AD" w:rsidRPr="007631AE" w14:paraId="4C9740C7"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518240F8"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0D03583E"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0F1F3B1D"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3C2B777D"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noWrap/>
            <w:vAlign w:val="center"/>
            <w:hideMark/>
          </w:tcPr>
          <w:p w14:paraId="6A93D9D6"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74500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4518E85E" w14:textId="77777777" w:rsidR="005055AD" w:rsidRPr="008244FA" w:rsidRDefault="005055AD" w:rsidP="007631AE">
            <w:pPr>
              <w:jc w:val="both"/>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Miscellaneous</w:t>
            </w:r>
            <w:proofErr w:type="spellEnd"/>
            <w:r w:rsidRPr="008244FA">
              <w:rPr>
                <w:rFonts w:asciiTheme="majorHAnsi" w:eastAsia="Times New Roman" w:hAnsiTheme="majorHAnsi" w:cstheme="majorHAnsi"/>
                <w:color w:val="000000"/>
                <w:sz w:val="18"/>
                <w:szCs w:val="18"/>
                <w:lang w:val="fr-FR" w:eastAsia="fr-FR"/>
              </w:rPr>
              <w:t xml:space="preserve"> </w:t>
            </w:r>
            <w:proofErr w:type="spellStart"/>
            <w:r w:rsidRPr="008244FA">
              <w:rPr>
                <w:rFonts w:asciiTheme="majorHAnsi" w:eastAsia="Times New Roman" w:hAnsiTheme="majorHAnsi" w:cstheme="majorHAnsi"/>
                <w:color w:val="000000"/>
                <w:sz w:val="18"/>
                <w:szCs w:val="18"/>
                <w:lang w:val="fr-FR" w:eastAsia="fr-FR"/>
              </w:rPr>
              <w:t>Expenses</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000000" w:fill="FFFFFF"/>
            <w:noWrap/>
            <w:vAlign w:val="center"/>
            <w:hideMark/>
          </w:tcPr>
          <w:p w14:paraId="67974120"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30AA66CE"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3,000</w:t>
            </w:r>
          </w:p>
        </w:tc>
        <w:tc>
          <w:tcPr>
            <w:tcW w:w="989" w:type="dxa"/>
            <w:tcBorders>
              <w:top w:val="nil"/>
              <w:left w:val="nil"/>
              <w:bottom w:val="single" w:sz="8" w:space="0" w:color="auto"/>
              <w:right w:val="single" w:sz="8" w:space="0" w:color="auto"/>
            </w:tcBorders>
            <w:shd w:val="clear" w:color="000000" w:fill="FFFFFF"/>
            <w:noWrap/>
            <w:vAlign w:val="center"/>
            <w:hideMark/>
          </w:tcPr>
          <w:p w14:paraId="1436C22F"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3,000</w:t>
            </w:r>
          </w:p>
        </w:tc>
        <w:tc>
          <w:tcPr>
            <w:tcW w:w="992" w:type="dxa"/>
            <w:tcBorders>
              <w:top w:val="nil"/>
              <w:left w:val="nil"/>
              <w:bottom w:val="single" w:sz="8" w:space="0" w:color="auto"/>
              <w:right w:val="single" w:sz="8" w:space="0" w:color="auto"/>
            </w:tcBorders>
            <w:shd w:val="clear" w:color="000000" w:fill="FFFFFF"/>
            <w:noWrap/>
            <w:vAlign w:val="center"/>
            <w:hideMark/>
          </w:tcPr>
          <w:p w14:paraId="13C43448"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3,000</w:t>
            </w:r>
          </w:p>
        </w:tc>
        <w:tc>
          <w:tcPr>
            <w:tcW w:w="1115" w:type="dxa"/>
            <w:tcBorders>
              <w:top w:val="nil"/>
              <w:left w:val="nil"/>
              <w:bottom w:val="single" w:sz="8" w:space="0" w:color="auto"/>
              <w:right w:val="single" w:sz="8" w:space="0" w:color="auto"/>
            </w:tcBorders>
            <w:shd w:val="clear" w:color="000000" w:fill="FFFFFF"/>
            <w:noWrap/>
            <w:vAlign w:val="center"/>
            <w:hideMark/>
          </w:tcPr>
          <w:p w14:paraId="6916724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3,000</w:t>
            </w:r>
          </w:p>
        </w:tc>
        <w:tc>
          <w:tcPr>
            <w:tcW w:w="1157" w:type="dxa"/>
            <w:tcBorders>
              <w:top w:val="nil"/>
              <w:left w:val="nil"/>
              <w:bottom w:val="single" w:sz="8" w:space="0" w:color="auto"/>
              <w:right w:val="single" w:sz="8" w:space="0" w:color="auto"/>
            </w:tcBorders>
            <w:shd w:val="clear" w:color="000000" w:fill="FFFFFF"/>
            <w:noWrap/>
            <w:vAlign w:val="center"/>
            <w:hideMark/>
          </w:tcPr>
          <w:p w14:paraId="1D2A78D1"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15,000</w:t>
            </w:r>
          </w:p>
        </w:tc>
        <w:tc>
          <w:tcPr>
            <w:tcW w:w="1238" w:type="dxa"/>
            <w:tcBorders>
              <w:top w:val="nil"/>
              <w:left w:val="nil"/>
              <w:bottom w:val="single" w:sz="8" w:space="0" w:color="auto"/>
              <w:right w:val="single" w:sz="8" w:space="0" w:color="auto"/>
            </w:tcBorders>
            <w:shd w:val="clear" w:color="000000" w:fill="FFFFFF"/>
            <w:vAlign w:val="center"/>
            <w:hideMark/>
          </w:tcPr>
          <w:p w14:paraId="0169A2CD"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22</w:t>
            </w:r>
          </w:p>
        </w:tc>
      </w:tr>
      <w:tr w:rsidR="005055AD" w:rsidRPr="007631AE" w14:paraId="0EF0F18B"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619CF5DF"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5D9160AC"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23946BE6"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0FFC1174" w14:textId="77777777" w:rsidR="005055AD" w:rsidRPr="008244FA" w:rsidRDefault="005055AD"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8" w:space="0" w:color="auto"/>
              <w:right w:val="single" w:sz="8" w:space="0" w:color="auto"/>
            </w:tcBorders>
            <w:shd w:val="clear" w:color="auto" w:fill="auto"/>
            <w:noWrap/>
            <w:vAlign w:val="center"/>
            <w:hideMark/>
          </w:tcPr>
          <w:p w14:paraId="543639C6" w14:textId="77777777" w:rsidR="005055AD" w:rsidRPr="008244FA" w:rsidRDefault="005055AD"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75700</w:t>
            </w:r>
          </w:p>
        </w:tc>
        <w:tc>
          <w:tcPr>
            <w:tcW w:w="2103" w:type="dxa"/>
            <w:gridSpan w:val="3"/>
            <w:tcBorders>
              <w:top w:val="nil"/>
              <w:left w:val="nil"/>
              <w:bottom w:val="single" w:sz="4" w:space="0" w:color="auto"/>
              <w:right w:val="single" w:sz="8" w:space="0" w:color="auto"/>
            </w:tcBorders>
            <w:shd w:val="clear" w:color="000000" w:fill="FFFFFF"/>
            <w:noWrap/>
            <w:vAlign w:val="center"/>
            <w:hideMark/>
          </w:tcPr>
          <w:p w14:paraId="3F534855" w14:textId="77777777" w:rsidR="005055AD" w:rsidRPr="008244FA" w:rsidRDefault="005055AD"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Training </w:t>
            </w:r>
          </w:p>
        </w:tc>
        <w:tc>
          <w:tcPr>
            <w:tcW w:w="1047" w:type="dxa"/>
            <w:tcBorders>
              <w:top w:val="nil"/>
              <w:left w:val="nil"/>
              <w:bottom w:val="single" w:sz="4" w:space="0" w:color="auto"/>
              <w:right w:val="single" w:sz="8" w:space="0" w:color="auto"/>
            </w:tcBorders>
            <w:shd w:val="clear" w:color="000000" w:fill="FFFFFF"/>
            <w:noWrap/>
            <w:vAlign w:val="center"/>
            <w:hideMark/>
          </w:tcPr>
          <w:p w14:paraId="790AB1D4"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13,800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2A5500C3"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22,000</w:t>
            </w:r>
          </w:p>
        </w:tc>
        <w:tc>
          <w:tcPr>
            <w:tcW w:w="989" w:type="dxa"/>
            <w:tcBorders>
              <w:top w:val="nil"/>
              <w:left w:val="nil"/>
              <w:bottom w:val="single" w:sz="8" w:space="0" w:color="auto"/>
              <w:right w:val="single" w:sz="8" w:space="0" w:color="auto"/>
            </w:tcBorders>
            <w:shd w:val="clear" w:color="000000" w:fill="FFFFFF"/>
            <w:noWrap/>
            <w:vAlign w:val="center"/>
            <w:hideMark/>
          </w:tcPr>
          <w:p w14:paraId="1A0AFE4D"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25,000</w:t>
            </w:r>
          </w:p>
        </w:tc>
        <w:tc>
          <w:tcPr>
            <w:tcW w:w="992" w:type="dxa"/>
            <w:tcBorders>
              <w:top w:val="nil"/>
              <w:left w:val="nil"/>
              <w:bottom w:val="single" w:sz="8" w:space="0" w:color="auto"/>
              <w:right w:val="single" w:sz="8" w:space="0" w:color="auto"/>
            </w:tcBorders>
            <w:shd w:val="clear" w:color="000000" w:fill="FFFFFF"/>
            <w:noWrap/>
            <w:vAlign w:val="center"/>
            <w:hideMark/>
          </w:tcPr>
          <w:p w14:paraId="32CA920F"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25,000</w:t>
            </w:r>
          </w:p>
        </w:tc>
        <w:tc>
          <w:tcPr>
            <w:tcW w:w="1115" w:type="dxa"/>
            <w:tcBorders>
              <w:top w:val="nil"/>
              <w:left w:val="nil"/>
              <w:bottom w:val="single" w:sz="8" w:space="0" w:color="auto"/>
              <w:right w:val="single" w:sz="8" w:space="0" w:color="auto"/>
            </w:tcBorders>
            <w:shd w:val="clear" w:color="000000" w:fill="FFFFFF"/>
            <w:noWrap/>
            <w:vAlign w:val="center"/>
            <w:hideMark/>
          </w:tcPr>
          <w:p w14:paraId="20522B3C"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16,000</w:t>
            </w:r>
          </w:p>
        </w:tc>
        <w:tc>
          <w:tcPr>
            <w:tcW w:w="1157" w:type="dxa"/>
            <w:tcBorders>
              <w:top w:val="nil"/>
              <w:left w:val="nil"/>
              <w:bottom w:val="single" w:sz="8" w:space="0" w:color="auto"/>
              <w:right w:val="single" w:sz="8" w:space="0" w:color="auto"/>
            </w:tcBorders>
            <w:shd w:val="clear" w:color="000000" w:fill="FFFFFF"/>
            <w:noWrap/>
            <w:vAlign w:val="center"/>
            <w:hideMark/>
          </w:tcPr>
          <w:p w14:paraId="0B5151DA" w14:textId="77777777" w:rsidR="005055AD" w:rsidRPr="00FE7303" w:rsidRDefault="005055AD"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101,800</w:t>
            </w:r>
          </w:p>
        </w:tc>
        <w:tc>
          <w:tcPr>
            <w:tcW w:w="1238" w:type="dxa"/>
            <w:tcBorders>
              <w:top w:val="nil"/>
              <w:left w:val="nil"/>
              <w:bottom w:val="single" w:sz="8" w:space="0" w:color="auto"/>
              <w:right w:val="single" w:sz="8" w:space="0" w:color="auto"/>
            </w:tcBorders>
            <w:shd w:val="clear" w:color="000000" w:fill="FFFFFF"/>
            <w:vAlign w:val="center"/>
            <w:hideMark/>
          </w:tcPr>
          <w:p w14:paraId="49BDBC63" w14:textId="77777777" w:rsidR="005055AD" w:rsidRPr="007631AE" w:rsidRDefault="005055AD"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23</w:t>
            </w:r>
          </w:p>
        </w:tc>
      </w:tr>
      <w:tr w:rsidR="002E2C5F" w:rsidRPr="007631AE" w14:paraId="3A5220A4" w14:textId="77777777" w:rsidTr="002E2C5F">
        <w:trPr>
          <w:trHeight w:val="315"/>
        </w:trPr>
        <w:tc>
          <w:tcPr>
            <w:tcW w:w="2111" w:type="dxa"/>
            <w:vMerge/>
            <w:tcBorders>
              <w:top w:val="nil"/>
              <w:left w:val="single" w:sz="8" w:space="0" w:color="auto"/>
              <w:bottom w:val="single" w:sz="8" w:space="0" w:color="000000"/>
              <w:right w:val="single" w:sz="8" w:space="0" w:color="auto"/>
            </w:tcBorders>
            <w:vAlign w:val="center"/>
            <w:hideMark/>
          </w:tcPr>
          <w:p w14:paraId="4C6F113A"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5BF4AC98"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4464" w:type="dxa"/>
            <w:gridSpan w:val="8"/>
            <w:tcBorders>
              <w:top w:val="single" w:sz="8" w:space="0" w:color="auto"/>
              <w:left w:val="nil"/>
              <w:bottom w:val="single" w:sz="8" w:space="0" w:color="auto"/>
              <w:right w:val="single" w:sz="4" w:space="0" w:color="auto"/>
            </w:tcBorders>
            <w:shd w:val="clear" w:color="000000" w:fill="C0C0C0"/>
            <w:noWrap/>
            <w:vAlign w:val="center"/>
            <w:hideMark/>
          </w:tcPr>
          <w:p w14:paraId="548E2AD8" w14:textId="2269B6F5" w:rsidR="002E2C5F" w:rsidRPr="008C3093" w:rsidRDefault="002E2C5F" w:rsidP="008C3093">
            <w:pPr>
              <w:jc w:val="right"/>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r w:rsidR="008C3093" w:rsidRPr="008C3093">
              <w:rPr>
                <w:rFonts w:asciiTheme="majorHAnsi" w:eastAsia="Times New Roman" w:hAnsiTheme="majorHAnsi" w:cstheme="majorHAnsi"/>
                <w:b/>
                <w:bCs/>
                <w:color w:val="000000"/>
                <w:sz w:val="18"/>
                <w:szCs w:val="18"/>
                <w:lang w:val="fr-FR" w:eastAsia="fr-FR"/>
              </w:rPr>
              <w:t xml:space="preserve">Subtotal </w:t>
            </w:r>
            <w:proofErr w:type="spellStart"/>
            <w:r w:rsidR="008C3093" w:rsidRPr="008C3093">
              <w:rPr>
                <w:rFonts w:asciiTheme="majorHAnsi" w:eastAsia="Times New Roman" w:hAnsiTheme="majorHAnsi" w:cstheme="majorHAnsi"/>
                <w:b/>
                <w:bCs/>
                <w:color w:val="000000"/>
                <w:sz w:val="18"/>
                <w:szCs w:val="18"/>
                <w:lang w:val="fr-FR" w:eastAsia="fr-FR"/>
              </w:rPr>
              <w:t>Outcome</w:t>
            </w:r>
            <w:proofErr w:type="spellEnd"/>
            <w:r w:rsidR="008C3093" w:rsidRPr="008C3093">
              <w:rPr>
                <w:rFonts w:asciiTheme="majorHAnsi" w:eastAsia="Times New Roman" w:hAnsiTheme="majorHAnsi" w:cstheme="majorHAnsi"/>
                <w:b/>
                <w:bCs/>
                <w:color w:val="000000"/>
                <w:sz w:val="18"/>
                <w:szCs w:val="18"/>
                <w:lang w:val="fr-FR" w:eastAsia="fr-FR"/>
              </w:rPr>
              <w:t xml:space="preserve"> 2</w:t>
            </w:r>
          </w:p>
        </w:tc>
        <w:tc>
          <w:tcPr>
            <w:tcW w:w="1047" w:type="dxa"/>
            <w:tcBorders>
              <w:top w:val="single" w:sz="8" w:space="0" w:color="auto"/>
              <w:left w:val="nil"/>
              <w:bottom w:val="single" w:sz="8" w:space="0" w:color="auto"/>
              <w:right w:val="single" w:sz="4" w:space="0" w:color="auto"/>
            </w:tcBorders>
            <w:shd w:val="clear" w:color="000000" w:fill="C0C0C0"/>
            <w:vAlign w:val="center"/>
          </w:tcPr>
          <w:p w14:paraId="665410C7" w14:textId="221B9084" w:rsidR="002E2C5F" w:rsidRPr="005265D7" w:rsidRDefault="002E2C5F" w:rsidP="002E2C5F">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13</w:t>
            </w:r>
            <w:r w:rsidR="00AB0498" w:rsidRPr="005265D7">
              <w:rPr>
                <w:rFonts w:asciiTheme="majorHAnsi" w:eastAsia="Times New Roman" w:hAnsiTheme="majorHAnsi" w:cstheme="majorHAnsi"/>
                <w:color w:val="000000"/>
                <w:sz w:val="18"/>
                <w:szCs w:val="18"/>
                <w:highlight w:val="magenta"/>
                <w:lang w:val="fr-FR" w:eastAsia="fr-FR"/>
              </w:rPr>
              <w:t>9</w:t>
            </w:r>
            <w:r w:rsidRPr="005265D7">
              <w:rPr>
                <w:rFonts w:asciiTheme="majorHAnsi" w:eastAsia="Times New Roman" w:hAnsiTheme="majorHAnsi" w:cstheme="majorHAnsi"/>
                <w:color w:val="000000"/>
                <w:sz w:val="18"/>
                <w:szCs w:val="18"/>
                <w:highlight w:val="magenta"/>
                <w:lang w:val="fr-FR" w:eastAsia="fr-FR"/>
              </w:rPr>
              <w:t>,800</w:t>
            </w:r>
          </w:p>
        </w:tc>
        <w:tc>
          <w:tcPr>
            <w:tcW w:w="975" w:type="dxa"/>
            <w:gridSpan w:val="2"/>
            <w:tcBorders>
              <w:top w:val="nil"/>
              <w:left w:val="nil"/>
              <w:bottom w:val="single" w:sz="8" w:space="0" w:color="auto"/>
              <w:right w:val="single" w:sz="8" w:space="0" w:color="auto"/>
            </w:tcBorders>
            <w:shd w:val="clear" w:color="000000" w:fill="C0C0C0"/>
            <w:noWrap/>
            <w:vAlign w:val="center"/>
            <w:hideMark/>
          </w:tcPr>
          <w:p w14:paraId="6D0E8253" w14:textId="55A40FC5"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w:t>
            </w:r>
            <w:r w:rsidR="00AB0498" w:rsidRPr="005265D7">
              <w:rPr>
                <w:rFonts w:asciiTheme="majorHAnsi" w:eastAsia="Times New Roman" w:hAnsiTheme="majorHAnsi" w:cstheme="majorHAnsi"/>
                <w:color w:val="000000"/>
                <w:sz w:val="18"/>
                <w:szCs w:val="18"/>
                <w:highlight w:val="magenta"/>
                <w:lang w:val="fr-FR" w:eastAsia="fr-FR"/>
              </w:rPr>
              <w:t>52</w:t>
            </w:r>
            <w:r w:rsidRPr="005265D7">
              <w:rPr>
                <w:rFonts w:asciiTheme="majorHAnsi" w:eastAsia="Times New Roman" w:hAnsiTheme="majorHAnsi" w:cstheme="majorHAnsi"/>
                <w:color w:val="000000"/>
                <w:sz w:val="18"/>
                <w:szCs w:val="18"/>
                <w:highlight w:val="magenta"/>
                <w:lang w:val="fr-FR" w:eastAsia="fr-FR"/>
              </w:rPr>
              <w:t>,000</w:t>
            </w:r>
          </w:p>
        </w:tc>
        <w:tc>
          <w:tcPr>
            <w:tcW w:w="989" w:type="dxa"/>
            <w:tcBorders>
              <w:top w:val="nil"/>
              <w:left w:val="nil"/>
              <w:bottom w:val="single" w:sz="8" w:space="0" w:color="auto"/>
              <w:right w:val="single" w:sz="8" w:space="0" w:color="auto"/>
            </w:tcBorders>
            <w:shd w:val="clear" w:color="000000" w:fill="C0C0C0"/>
            <w:noWrap/>
            <w:vAlign w:val="center"/>
            <w:hideMark/>
          </w:tcPr>
          <w:p w14:paraId="60AA8C88" w14:textId="5554C539"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15</w:t>
            </w:r>
            <w:r w:rsidR="00AB0498"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,000</w:t>
            </w:r>
          </w:p>
        </w:tc>
        <w:tc>
          <w:tcPr>
            <w:tcW w:w="992" w:type="dxa"/>
            <w:tcBorders>
              <w:top w:val="nil"/>
              <w:left w:val="nil"/>
              <w:bottom w:val="single" w:sz="8" w:space="0" w:color="auto"/>
              <w:right w:val="single" w:sz="8" w:space="0" w:color="auto"/>
            </w:tcBorders>
            <w:shd w:val="clear" w:color="000000" w:fill="C0C0C0"/>
            <w:noWrap/>
            <w:vAlign w:val="center"/>
            <w:hideMark/>
          </w:tcPr>
          <w:p w14:paraId="09DE2A48" w14:textId="302EBCFB"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15</w:t>
            </w:r>
            <w:r w:rsidR="00AB0498"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,000</w:t>
            </w:r>
          </w:p>
        </w:tc>
        <w:tc>
          <w:tcPr>
            <w:tcW w:w="1115" w:type="dxa"/>
            <w:tcBorders>
              <w:top w:val="nil"/>
              <w:left w:val="nil"/>
              <w:bottom w:val="single" w:sz="8" w:space="0" w:color="auto"/>
              <w:right w:val="single" w:sz="8" w:space="0" w:color="auto"/>
            </w:tcBorders>
            <w:shd w:val="clear" w:color="000000" w:fill="C0C0C0"/>
            <w:noWrap/>
            <w:vAlign w:val="center"/>
            <w:hideMark/>
          </w:tcPr>
          <w:p w14:paraId="2B08BCB6" w14:textId="0F29814B"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14</w:t>
            </w:r>
            <w:r w:rsidR="00AB0498" w:rsidRPr="005265D7">
              <w:rPr>
                <w:rFonts w:asciiTheme="majorHAnsi" w:eastAsia="Times New Roman" w:hAnsiTheme="majorHAnsi" w:cstheme="majorHAnsi"/>
                <w:color w:val="000000"/>
                <w:sz w:val="18"/>
                <w:szCs w:val="18"/>
                <w:highlight w:val="magenta"/>
                <w:lang w:val="fr-FR" w:eastAsia="fr-FR"/>
              </w:rPr>
              <w:t>6</w:t>
            </w:r>
            <w:r w:rsidRPr="005265D7">
              <w:rPr>
                <w:rFonts w:asciiTheme="majorHAnsi" w:eastAsia="Times New Roman" w:hAnsiTheme="majorHAnsi" w:cstheme="majorHAnsi"/>
                <w:color w:val="000000"/>
                <w:sz w:val="18"/>
                <w:szCs w:val="18"/>
                <w:highlight w:val="magenta"/>
                <w:lang w:val="fr-FR" w:eastAsia="fr-FR"/>
              </w:rPr>
              <w:t>,000</w:t>
            </w:r>
          </w:p>
        </w:tc>
        <w:tc>
          <w:tcPr>
            <w:tcW w:w="1157" w:type="dxa"/>
            <w:tcBorders>
              <w:top w:val="nil"/>
              <w:left w:val="nil"/>
              <w:bottom w:val="single" w:sz="8" w:space="0" w:color="auto"/>
              <w:right w:val="single" w:sz="8" w:space="0" w:color="auto"/>
            </w:tcBorders>
            <w:shd w:val="clear" w:color="000000" w:fill="C0C0C0"/>
            <w:noWrap/>
            <w:vAlign w:val="center"/>
            <w:hideMark/>
          </w:tcPr>
          <w:p w14:paraId="093C6092" w14:textId="1416FC0D" w:rsidR="002E2C5F" w:rsidRPr="008244FA" w:rsidRDefault="002E2C5F" w:rsidP="007631AE">
            <w:pPr>
              <w:jc w:val="right"/>
              <w:rPr>
                <w:rFonts w:asciiTheme="majorHAnsi" w:eastAsia="Times New Roman" w:hAnsiTheme="majorHAnsi" w:cstheme="majorHAnsi"/>
                <w:color w:val="000000"/>
                <w:sz w:val="18"/>
                <w:szCs w:val="18"/>
                <w:lang w:val="fr-FR" w:eastAsia="fr-FR"/>
              </w:rPr>
            </w:pPr>
            <w:r w:rsidRPr="005265D7">
              <w:rPr>
                <w:rFonts w:asciiTheme="majorHAnsi" w:eastAsia="Times New Roman" w:hAnsiTheme="majorHAnsi" w:cstheme="majorHAnsi"/>
                <w:color w:val="000000"/>
                <w:sz w:val="18"/>
                <w:szCs w:val="18"/>
                <w:highlight w:val="magenta"/>
                <w:lang w:val="fr-FR" w:eastAsia="fr-FR"/>
              </w:rPr>
              <w:t>7</w:t>
            </w:r>
            <w:r w:rsidR="00AB0498" w:rsidRPr="005265D7">
              <w:rPr>
                <w:rFonts w:asciiTheme="majorHAnsi" w:eastAsia="Times New Roman" w:hAnsiTheme="majorHAnsi" w:cstheme="majorHAnsi"/>
                <w:color w:val="000000"/>
                <w:sz w:val="18"/>
                <w:szCs w:val="18"/>
                <w:highlight w:val="magenta"/>
                <w:lang w:val="fr-FR" w:eastAsia="fr-FR"/>
              </w:rPr>
              <w:t>47</w:t>
            </w:r>
            <w:r w:rsidRPr="005265D7">
              <w:rPr>
                <w:rFonts w:asciiTheme="majorHAnsi" w:eastAsia="Times New Roman" w:hAnsiTheme="majorHAnsi" w:cstheme="majorHAnsi"/>
                <w:color w:val="000000"/>
                <w:sz w:val="18"/>
                <w:szCs w:val="18"/>
                <w:highlight w:val="magenta"/>
                <w:lang w:val="fr-FR" w:eastAsia="fr-FR"/>
              </w:rPr>
              <w:t>,800</w:t>
            </w:r>
          </w:p>
        </w:tc>
        <w:tc>
          <w:tcPr>
            <w:tcW w:w="1238" w:type="dxa"/>
            <w:tcBorders>
              <w:top w:val="nil"/>
              <w:left w:val="nil"/>
              <w:bottom w:val="single" w:sz="8" w:space="0" w:color="auto"/>
              <w:right w:val="single" w:sz="8" w:space="0" w:color="auto"/>
            </w:tcBorders>
            <w:shd w:val="clear" w:color="000000" w:fill="C0C0C0"/>
            <w:noWrap/>
            <w:vAlign w:val="center"/>
            <w:hideMark/>
          </w:tcPr>
          <w:p w14:paraId="6C517B55" w14:textId="4BA44214" w:rsidR="002E2C5F" w:rsidRPr="008244FA" w:rsidRDefault="002E2C5F" w:rsidP="007631AE">
            <w:pPr>
              <w:jc w:val="right"/>
              <w:rPr>
                <w:rFonts w:asciiTheme="majorHAnsi" w:eastAsia="Times New Roman" w:hAnsiTheme="majorHAnsi" w:cstheme="majorHAnsi"/>
                <w:color w:val="000000"/>
                <w:sz w:val="18"/>
                <w:szCs w:val="18"/>
                <w:lang w:val="fr-FR" w:eastAsia="fr-FR"/>
              </w:rPr>
            </w:pPr>
          </w:p>
        </w:tc>
      </w:tr>
      <w:tr w:rsidR="002E2C5F" w:rsidRPr="007631AE" w14:paraId="25BA8E7B" w14:textId="77777777" w:rsidTr="002E2C5F">
        <w:trPr>
          <w:trHeight w:val="315"/>
        </w:trPr>
        <w:tc>
          <w:tcPr>
            <w:tcW w:w="2111" w:type="dxa"/>
            <w:tcBorders>
              <w:top w:val="nil"/>
              <w:left w:val="single" w:sz="8" w:space="0" w:color="auto"/>
              <w:bottom w:val="nil"/>
              <w:right w:val="single" w:sz="8" w:space="0" w:color="auto"/>
            </w:tcBorders>
            <w:shd w:val="clear" w:color="auto" w:fill="auto"/>
            <w:vAlign w:val="center"/>
            <w:hideMark/>
          </w:tcPr>
          <w:p w14:paraId="7BBB047F" w14:textId="5746B3FA" w:rsidR="002E2C5F" w:rsidRPr="008244FA" w:rsidRDefault="002E2C5F" w:rsidP="008244FA">
            <w:pPr>
              <w:jc w:val="center"/>
              <w:rPr>
                <w:rFonts w:asciiTheme="majorHAnsi" w:eastAsia="Times New Roman" w:hAnsiTheme="majorHAnsi" w:cstheme="majorHAnsi"/>
                <w:b/>
                <w:bCs/>
                <w:color w:val="000000"/>
                <w:sz w:val="18"/>
                <w:szCs w:val="18"/>
                <w:lang w:val="fr-FR" w:eastAsia="fr-FR"/>
              </w:rPr>
            </w:pPr>
            <w:bookmarkStart w:id="91" w:name="RANGE!A29"/>
            <w:r w:rsidRPr="008244FA">
              <w:rPr>
                <w:rFonts w:asciiTheme="majorHAnsi" w:eastAsia="Times New Roman" w:hAnsiTheme="majorHAnsi" w:cstheme="majorHAnsi"/>
                <w:b/>
                <w:bCs/>
                <w:color w:val="000000"/>
                <w:sz w:val="18"/>
                <w:szCs w:val="18"/>
                <w:lang w:val="fr-FR" w:eastAsia="fr-FR"/>
              </w:rPr>
              <w:t>COMPONENT/OUTCOME 3</w:t>
            </w:r>
            <w:bookmarkEnd w:id="91"/>
          </w:p>
        </w:tc>
        <w:tc>
          <w:tcPr>
            <w:tcW w:w="1189" w:type="dxa"/>
            <w:vMerge w:val="restart"/>
            <w:tcBorders>
              <w:top w:val="nil"/>
              <w:left w:val="single" w:sz="8" w:space="0" w:color="auto"/>
              <w:bottom w:val="single" w:sz="8" w:space="0" w:color="000000"/>
              <w:right w:val="single" w:sz="8" w:space="0" w:color="auto"/>
            </w:tcBorders>
            <w:shd w:val="clear" w:color="auto" w:fill="auto"/>
            <w:vAlign w:val="center"/>
            <w:hideMark/>
          </w:tcPr>
          <w:p w14:paraId="50A882EF"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Ministry of </w:t>
            </w:r>
            <w:proofErr w:type="spellStart"/>
            <w:r w:rsidRPr="008244FA">
              <w:rPr>
                <w:rFonts w:asciiTheme="majorHAnsi" w:eastAsia="Times New Roman" w:hAnsiTheme="majorHAnsi" w:cstheme="majorHAnsi"/>
                <w:color w:val="000000"/>
                <w:sz w:val="18"/>
                <w:szCs w:val="18"/>
                <w:lang w:val="fr-FR" w:eastAsia="fr-FR"/>
              </w:rPr>
              <w:t>Environment</w:t>
            </w:r>
            <w:proofErr w:type="spellEnd"/>
          </w:p>
        </w:tc>
        <w:tc>
          <w:tcPr>
            <w:tcW w:w="761" w:type="dxa"/>
            <w:vMerge w:val="restart"/>
            <w:tcBorders>
              <w:top w:val="nil"/>
              <w:left w:val="single" w:sz="8" w:space="0" w:color="auto"/>
              <w:bottom w:val="single" w:sz="8" w:space="0" w:color="000000"/>
              <w:right w:val="single" w:sz="8" w:space="0" w:color="auto"/>
            </w:tcBorders>
            <w:shd w:val="clear" w:color="auto" w:fill="auto"/>
            <w:vAlign w:val="center"/>
            <w:hideMark/>
          </w:tcPr>
          <w:p w14:paraId="6E0AAE6E"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62000</w:t>
            </w:r>
          </w:p>
        </w:tc>
        <w:tc>
          <w:tcPr>
            <w:tcW w:w="608" w:type="dxa"/>
            <w:gridSpan w:val="2"/>
            <w:vMerge w:val="restart"/>
            <w:tcBorders>
              <w:top w:val="nil"/>
              <w:left w:val="single" w:sz="8" w:space="0" w:color="auto"/>
              <w:bottom w:val="single" w:sz="8" w:space="0" w:color="000000"/>
              <w:right w:val="single" w:sz="8" w:space="0" w:color="auto"/>
            </w:tcBorders>
            <w:shd w:val="clear" w:color="auto" w:fill="auto"/>
            <w:vAlign w:val="center"/>
            <w:hideMark/>
          </w:tcPr>
          <w:p w14:paraId="2AD29D2F"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GEFTF</w:t>
            </w:r>
          </w:p>
        </w:tc>
        <w:tc>
          <w:tcPr>
            <w:tcW w:w="992" w:type="dxa"/>
            <w:gridSpan w:val="2"/>
            <w:tcBorders>
              <w:top w:val="nil"/>
              <w:left w:val="nil"/>
              <w:bottom w:val="single" w:sz="4" w:space="0" w:color="auto"/>
              <w:right w:val="single" w:sz="8" w:space="0" w:color="auto"/>
            </w:tcBorders>
            <w:shd w:val="clear" w:color="auto" w:fill="auto"/>
            <w:vAlign w:val="center"/>
            <w:hideMark/>
          </w:tcPr>
          <w:p w14:paraId="6CE4EB37"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71200</w:t>
            </w:r>
          </w:p>
        </w:tc>
        <w:tc>
          <w:tcPr>
            <w:tcW w:w="2103" w:type="dxa"/>
            <w:gridSpan w:val="3"/>
            <w:tcBorders>
              <w:top w:val="nil"/>
              <w:left w:val="nil"/>
              <w:bottom w:val="single" w:sz="8" w:space="0" w:color="auto"/>
              <w:right w:val="single" w:sz="4" w:space="0" w:color="auto"/>
            </w:tcBorders>
            <w:shd w:val="clear" w:color="000000" w:fill="FFFFFF"/>
            <w:noWrap/>
            <w:vAlign w:val="center"/>
            <w:hideMark/>
          </w:tcPr>
          <w:p w14:paraId="25208056"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International Consultants </w:t>
            </w:r>
          </w:p>
        </w:tc>
        <w:tc>
          <w:tcPr>
            <w:tcW w:w="1047" w:type="dxa"/>
            <w:tcBorders>
              <w:top w:val="nil"/>
              <w:left w:val="single" w:sz="4" w:space="0" w:color="auto"/>
              <w:bottom w:val="single" w:sz="8" w:space="0" w:color="auto"/>
              <w:right w:val="single" w:sz="8" w:space="0" w:color="auto"/>
            </w:tcBorders>
            <w:shd w:val="clear" w:color="000000" w:fill="FFFFFF"/>
            <w:noWrap/>
            <w:vAlign w:val="center"/>
            <w:hideMark/>
          </w:tcPr>
          <w:p w14:paraId="6AE837AF"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 xml:space="preserve">     10,000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69AD299C" w14:textId="77777777" w:rsidR="002E2C5F" w:rsidRPr="004A140A" w:rsidRDefault="002E2C5F"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 xml:space="preserve">        20,000 </w:t>
            </w:r>
          </w:p>
        </w:tc>
        <w:tc>
          <w:tcPr>
            <w:tcW w:w="989" w:type="dxa"/>
            <w:tcBorders>
              <w:top w:val="nil"/>
              <w:left w:val="nil"/>
              <w:bottom w:val="single" w:sz="8" w:space="0" w:color="auto"/>
              <w:right w:val="single" w:sz="8" w:space="0" w:color="auto"/>
            </w:tcBorders>
            <w:shd w:val="clear" w:color="000000" w:fill="FFFFFF"/>
            <w:noWrap/>
            <w:vAlign w:val="center"/>
            <w:hideMark/>
          </w:tcPr>
          <w:p w14:paraId="33223B63" w14:textId="77777777" w:rsidR="002E2C5F" w:rsidRPr="004A140A" w:rsidRDefault="002E2C5F"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 xml:space="preserve">                               35,000 </w:t>
            </w:r>
          </w:p>
        </w:tc>
        <w:tc>
          <w:tcPr>
            <w:tcW w:w="992" w:type="dxa"/>
            <w:tcBorders>
              <w:top w:val="nil"/>
              <w:left w:val="nil"/>
              <w:bottom w:val="single" w:sz="8" w:space="0" w:color="auto"/>
              <w:right w:val="single" w:sz="8" w:space="0" w:color="auto"/>
            </w:tcBorders>
            <w:shd w:val="clear" w:color="000000" w:fill="FFFFFF"/>
            <w:noWrap/>
            <w:vAlign w:val="center"/>
            <w:hideMark/>
          </w:tcPr>
          <w:p w14:paraId="434D0627" w14:textId="77777777" w:rsidR="002E2C5F" w:rsidRPr="004A140A" w:rsidRDefault="002E2C5F"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 xml:space="preserve">             30,000 </w:t>
            </w:r>
          </w:p>
        </w:tc>
        <w:tc>
          <w:tcPr>
            <w:tcW w:w="1115" w:type="dxa"/>
            <w:tcBorders>
              <w:top w:val="nil"/>
              <w:left w:val="nil"/>
              <w:bottom w:val="single" w:sz="8" w:space="0" w:color="auto"/>
              <w:right w:val="single" w:sz="8" w:space="0" w:color="auto"/>
            </w:tcBorders>
            <w:shd w:val="clear" w:color="000000" w:fill="FFFFFF"/>
            <w:noWrap/>
            <w:vAlign w:val="center"/>
            <w:hideMark/>
          </w:tcPr>
          <w:p w14:paraId="7CF1E10D" w14:textId="77777777" w:rsidR="002E2C5F" w:rsidRPr="004A140A" w:rsidRDefault="002E2C5F"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 xml:space="preserve">             25,000 </w:t>
            </w:r>
          </w:p>
        </w:tc>
        <w:tc>
          <w:tcPr>
            <w:tcW w:w="1157" w:type="dxa"/>
            <w:tcBorders>
              <w:top w:val="nil"/>
              <w:left w:val="nil"/>
              <w:bottom w:val="single" w:sz="8" w:space="0" w:color="auto"/>
              <w:right w:val="single" w:sz="8" w:space="0" w:color="auto"/>
            </w:tcBorders>
            <w:shd w:val="clear" w:color="000000" w:fill="FFFFFF"/>
            <w:noWrap/>
            <w:vAlign w:val="center"/>
            <w:hideMark/>
          </w:tcPr>
          <w:p w14:paraId="6653BC96" w14:textId="77777777" w:rsidR="002E2C5F" w:rsidRPr="004A140A" w:rsidRDefault="002E2C5F" w:rsidP="007631AE">
            <w:pPr>
              <w:jc w:val="right"/>
              <w:rPr>
                <w:rFonts w:asciiTheme="majorHAnsi" w:eastAsia="Times New Roman" w:hAnsiTheme="majorHAnsi" w:cstheme="majorHAnsi"/>
                <w:color w:val="000000"/>
                <w:sz w:val="18"/>
                <w:szCs w:val="18"/>
                <w:highlight w:val="cyan"/>
                <w:lang w:val="fr-FR" w:eastAsia="fr-FR"/>
              </w:rPr>
            </w:pPr>
            <w:r w:rsidRPr="004A140A">
              <w:rPr>
                <w:rFonts w:asciiTheme="majorHAnsi" w:eastAsia="Times New Roman" w:hAnsiTheme="majorHAnsi" w:cstheme="majorHAnsi"/>
                <w:color w:val="000000"/>
                <w:sz w:val="18"/>
                <w:szCs w:val="18"/>
                <w:highlight w:val="cyan"/>
                <w:lang w:val="fr-FR" w:eastAsia="fr-FR"/>
              </w:rPr>
              <w:t xml:space="preserve">          120,000 </w:t>
            </w:r>
          </w:p>
        </w:tc>
        <w:tc>
          <w:tcPr>
            <w:tcW w:w="1238" w:type="dxa"/>
            <w:tcBorders>
              <w:top w:val="nil"/>
              <w:left w:val="nil"/>
              <w:bottom w:val="single" w:sz="8" w:space="0" w:color="auto"/>
              <w:right w:val="single" w:sz="8" w:space="0" w:color="auto"/>
            </w:tcBorders>
            <w:shd w:val="clear" w:color="000000" w:fill="FFFFFF"/>
            <w:vAlign w:val="center"/>
            <w:hideMark/>
          </w:tcPr>
          <w:p w14:paraId="3576B2EA"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24</w:t>
            </w:r>
          </w:p>
        </w:tc>
      </w:tr>
      <w:tr w:rsidR="002E2C5F" w:rsidRPr="007631AE" w14:paraId="2A084BA8" w14:textId="77777777" w:rsidTr="002E2C5F">
        <w:trPr>
          <w:trHeight w:val="315"/>
        </w:trPr>
        <w:tc>
          <w:tcPr>
            <w:tcW w:w="2111" w:type="dxa"/>
            <w:vMerge w:val="restart"/>
            <w:tcBorders>
              <w:top w:val="nil"/>
              <w:left w:val="single" w:sz="8" w:space="0" w:color="auto"/>
              <w:bottom w:val="nil"/>
              <w:right w:val="single" w:sz="8" w:space="0" w:color="auto"/>
            </w:tcBorders>
            <w:shd w:val="clear" w:color="auto" w:fill="auto"/>
            <w:vAlign w:val="center"/>
            <w:hideMark/>
          </w:tcPr>
          <w:p w14:paraId="00F8C580"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Knowledge</w:t>
            </w:r>
            <w:proofErr w:type="spellEnd"/>
            <w:r w:rsidRPr="008244FA">
              <w:rPr>
                <w:rFonts w:asciiTheme="majorHAnsi" w:eastAsia="Times New Roman" w:hAnsiTheme="majorHAnsi" w:cstheme="majorHAnsi"/>
                <w:color w:val="000000"/>
                <w:sz w:val="18"/>
                <w:szCs w:val="18"/>
                <w:lang w:val="fr-FR" w:eastAsia="fr-FR"/>
              </w:rPr>
              <w:t xml:space="preserve"> management and </w:t>
            </w:r>
            <w:proofErr w:type="spellStart"/>
            <w:r w:rsidRPr="008244FA">
              <w:rPr>
                <w:rFonts w:asciiTheme="majorHAnsi" w:eastAsia="Times New Roman" w:hAnsiTheme="majorHAnsi" w:cstheme="majorHAnsi"/>
                <w:color w:val="000000"/>
                <w:sz w:val="18"/>
                <w:szCs w:val="18"/>
                <w:lang w:val="fr-FR" w:eastAsia="fr-FR"/>
              </w:rPr>
              <w:t>learning</w:t>
            </w:r>
            <w:proofErr w:type="spellEnd"/>
          </w:p>
        </w:tc>
        <w:tc>
          <w:tcPr>
            <w:tcW w:w="1189" w:type="dxa"/>
            <w:vMerge/>
            <w:tcBorders>
              <w:top w:val="nil"/>
              <w:left w:val="single" w:sz="8" w:space="0" w:color="auto"/>
              <w:bottom w:val="single" w:sz="8" w:space="0" w:color="000000"/>
              <w:right w:val="single" w:sz="8" w:space="0" w:color="auto"/>
            </w:tcBorders>
            <w:vAlign w:val="center"/>
            <w:hideMark/>
          </w:tcPr>
          <w:p w14:paraId="62BD778B"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2BC3ABF5"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0CA8B311"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3EEA5D94"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71300</w:t>
            </w:r>
          </w:p>
        </w:tc>
        <w:tc>
          <w:tcPr>
            <w:tcW w:w="2103" w:type="dxa"/>
            <w:gridSpan w:val="3"/>
            <w:tcBorders>
              <w:top w:val="nil"/>
              <w:left w:val="nil"/>
              <w:bottom w:val="single" w:sz="8" w:space="0" w:color="auto"/>
              <w:right w:val="single" w:sz="4" w:space="0" w:color="auto"/>
            </w:tcBorders>
            <w:shd w:val="clear" w:color="000000" w:fill="FFFFFF"/>
            <w:noWrap/>
            <w:vAlign w:val="center"/>
            <w:hideMark/>
          </w:tcPr>
          <w:p w14:paraId="4014DEC4"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Local Consultants </w:t>
            </w:r>
          </w:p>
        </w:tc>
        <w:tc>
          <w:tcPr>
            <w:tcW w:w="1047" w:type="dxa"/>
            <w:tcBorders>
              <w:top w:val="nil"/>
              <w:left w:val="single" w:sz="4" w:space="0" w:color="auto"/>
              <w:bottom w:val="single" w:sz="8" w:space="0" w:color="auto"/>
              <w:right w:val="single" w:sz="8" w:space="0" w:color="auto"/>
            </w:tcBorders>
            <w:shd w:val="clear" w:color="000000" w:fill="FFFFFF"/>
            <w:noWrap/>
            <w:vAlign w:val="center"/>
            <w:hideMark/>
          </w:tcPr>
          <w:p w14:paraId="7BB2E389" w14:textId="6C7D4E88"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30</w:t>
            </w:r>
            <w:r w:rsidRPr="005265D7">
              <w:rPr>
                <w:rFonts w:asciiTheme="majorHAnsi" w:eastAsia="Times New Roman" w:hAnsiTheme="majorHAnsi" w:cstheme="majorHAnsi"/>
                <w:color w:val="000000"/>
                <w:sz w:val="18"/>
                <w:szCs w:val="18"/>
                <w:highlight w:val="magenta"/>
                <w:lang w:val="fr-FR" w:eastAsia="fr-FR"/>
              </w:rPr>
              <w:t xml:space="preserve">,000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18CFF2E9" w14:textId="1E3A97D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5,000 </w:t>
            </w:r>
          </w:p>
        </w:tc>
        <w:tc>
          <w:tcPr>
            <w:tcW w:w="989" w:type="dxa"/>
            <w:tcBorders>
              <w:top w:val="nil"/>
              <w:left w:val="nil"/>
              <w:bottom w:val="single" w:sz="8" w:space="0" w:color="auto"/>
              <w:right w:val="single" w:sz="8" w:space="0" w:color="auto"/>
            </w:tcBorders>
            <w:shd w:val="clear" w:color="000000" w:fill="FFFFFF"/>
            <w:noWrap/>
            <w:vAlign w:val="center"/>
            <w:hideMark/>
          </w:tcPr>
          <w:p w14:paraId="7CA69D19" w14:textId="45E9BF6E"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48</w:t>
            </w:r>
            <w:r w:rsidRPr="005265D7">
              <w:rPr>
                <w:rFonts w:asciiTheme="majorHAnsi" w:eastAsia="Times New Roman" w:hAnsiTheme="majorHAnsi" w:cstheme="majorHAnsi"/>
                <w:color w:val="000000"/>
                <w:sz w:val="18"/>
                <w:szCs w:val="18"/>
                <w:highlight w:val="magenta"/>
                <w:lang w:val="fr-FR" w:eastAsia="fr-FR"/>
              </w:rPr>
              <w:t xml:space="preserve">,000 </w:t>
            </w:r>
          </w:p>
        </w:tc>
        <w:tc>
          <w:tcPr>
            <w:tcW w:w="992" w:type="dxa"/>
            <w:tcBorders>
              <w:top w:val="nil"/>
              <w:left w:val="nil"/>
              <w:bottom w:val="single" w:sz="8" w:space="0" w:color="auto"/>
              <w:right w:val="single" w:sz="8" w:space="0" w:color="auto"/>
            </w:tcBorders>
            <w:shd w:val="clear" w:color="000000" w:fill="FFFFFF"/>
            <w:noWrap/>
            <w:vAlign w:val="center"/>
            <w:hideMark/>
          </w:tcPr>
          <w:p w14:paraId="1EE5BABA" w14:textId="6688BA1C"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6</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115" w:type="dxa"/>
            <w:tcBorders>
              <w:top w:val="nil"/>
              <w:left w:val="nil"/>
              <w:bottom w:val="single" w:sz="8" w:space="0" w:color="auto"/>
              <w:right w:val="single" w:sz="8" w:space="0" w:color="auto"/>
            </w:tcBorders>
            <w:shd w:val="clear" w:color="000000" w:fill="FFFFFF"/>
            <w:noWrap/>
            <w:vAlign w:val="center"/>
            <w:hideMark/>
          </w:tcPr>
          <w:p w14:paraId="6E3921BF" w14:textId="495EDA53"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48</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157" w:type="dxa"/>
            <w:tcBorders>
              <w:top w:val="nil"/>
              <w:left w:val="nil"/>
              <w:bottom w:val="single" w:sz="8" w:space="0" w:color="auto"/>
              <w:right w:val="single" w:sz="8" w:space="0" w:color="auto"/>
            </w:tcBorders>
            <w:shd w:val="clear" w:color="000000" w:fill="FFFFFF"/>
            <w:noWrap/>
            <w:vAlign w:val="center"/>
            <w:hideMark/>
          </w:tcPr>
          <w:p w14:paraId="20D094B9" w14:textId="332A2E46" w:rsidR="002E2C5F" w:rsidRPr="004A140A" w:rsidRDefault="002E2C5F" w:rsidP="007631AE">
            <w:pPr>
              <w:jc w:val="right"/>
              <w:rPr>
                <w:rFonts w:asciiTheme="majorHAnsi" w:eastAsia="Times New Roman" w:hAnsiTheme="majorHAnsi" w:cstheme="majorHAnsi"/>
                <w:color w:val="000000"/>
                <w:sz w:val="18"/>
                <w:szCs w:val="18"/>
                <w:highlight w:val="cyan"/>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1</w:t>
            </w:r>
            <w:r w:rsidR="006A1654" w:rsidRPr="005265D7">
              <w:rPr>
                <w:rFonts w:asciiTheme="majorHAnsi" w:eastAsia="Times New Roman" w:hAnsiTheme="majorHAnsi" w:cstheme="majorHAnsi"/>
                <w:color w:val="000000"/>
                <w:sz w:val="18"/>
                <w:szCs w:val="18"/>
                <w:highlight w:val="magenta"/>
                <w:lang w:val="fr-FR" w:eastAsia="fr-FR"/>
              </w:rPr>
              <w:t>37</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238" w:type="dxa"/>
            <w:tcBorders>
              <w:top w:val="nil"/>
              <w:left w:val="nil"/>
              <w:bottom w:val="single" w:sz="8" w:space="0" w:color="auto"/>
              <w:right w:val="single" w:sz="8" w:space="0" w:color="auto"/>
            </w:tcBorders>
            <w:shd w:val="clear" w:color="000000" w:fill="FFFFFF"/>
            <w:vAlign w:val="center"/>
            <w:hideMark/>
          </w:tcPr>
          <w:p w14:paraId="7CE64C41"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25</w:t>
            </w:r>
          </w:p>
        </w:tc>
      </w:tr>
      <w:tr w:rsidR="002E2C5F" w:rsidRPr="007631AE" w14:paraId="6CEFAC8E"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1B4B3131"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2EAAF161"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29C258FE"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1FDCE0EA"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77AD4646"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71400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4D6DE064"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w:t>
            </w: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Individ</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000000" w:fill="FFFFFF"/>
            <w:noWrap/>
            <w:vAlign w:val="center"/>
            <w:hideMark/>
          </w:tcPr>
          <w:p w14:paraId="0B464B00" w14:textId="23E58ED1"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4</w:t>
            </w:r>
            <w:r w:rsidR="006A1654" w:rsidRPr="005265D7">
              <w:rPr>
                <w:rFonts w:asciiTheme="majorHAnsi" w:eastAsia="Times New Roman" w:hAnsiTheme="majorHAnsi" w:cstheme="majorHAnsi"/>
                <w:color w:val="000000"/>
                <w:sz w:val="18"/>
                <w:szCs w:val="18"/>
                <w:highlight w:val="magenta"/>
                <w:lang w:val="fr-FR" w:eastAsia="fr-FR"/>
              </w:rPr>
              <w:t>8</w:t>
            </w:r>
            <w:r w:rsidRPr="005265D7">
              <w:rPr>
                <w:rFonts w:asciiTheme="majorHAnsi" w:eastAsia="Times New Roman" w:hAnsiTheme="majorHAnsi" w:cstheme="majorHAnsi"/>
                <w:color w:val="000000"/>
                <w:sz w:val="18"/>
                <w:szCs w:val="18"/>
                <w:highlight w:val="magenta"/>
                <w:lang w:val="fr-FR" w:eastAsia="fr-FR"/>
              </w:rPr>
              <w:t>,</w:t>
            </w:r>
            <w:r w:rsidR="006A1654" w:rsidRPr="005265D7">
              <w:rPr>
                <w:rFonts w:asciiTheme="majorHAnsi" w:eastAsia="Times New Roman" w:hAnsiTheme="majorHAnsi" w:cstheme="majorHAnsi"/>
                <w:color w:val="000000"/>
                <w:sz w:val="18"/>
                <w:szCs w:val="18"/>
                <w:highlight w:val="magenta"/>
                <w:lang w:val="fr-FR" w:eastAsia="fr-FR"/>
              </w:rPr>
              <w:t>84</w:t>
            </w:r>
            <w:r w:rsidRPr="005265D7">
              <w:rPr>
                <w:rFonts w:asciiTheme="majorHAnsi" w:eastAsia="Times New Roman" w:hAnsiTheme="majorHAnsi" w:cstheme="majorHAnsi"/>
                <w:color w:val="000000"/>
                <w:sz w:val="18"/>
                <w:szCs w:val="18"/>
                <w:highlight w:val="magenta"/>
                <w:lang w:val="fr-FR" w:eastAsia="fr-FR"/>
              </w:rPr>
              <w:t xml:space="preserve">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22B7FD58" w14:textId="074FD13A" w:rsidR="002E2C5F" w:rsidRPr="005265D7" w:rsidRDefault="006A1654"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48,840</w:t>
            </w:r>
          </w:p>
        </w:tc>
        <w:tc>
          <w:tcPr>
            <w:tcW w:w="989" w:type="dxa"/>
            <w:tcBorders>
              <w:top w:val="nil"/>
              <w:left w:val="nil"/>
              <w:bottom w:val="single" w:sz="8" w:space="0" w:color="auto"/>
              <w:right w:val="single" w:sz="8" w:space="0" w:color="auto"/>
            </w:tcBorders>
            <w:shd w:val="clear" w:color="000000" w:fill="FFFFFF"/>
            <w:noWrap/>
            <w:vAlign w:val="center"/>
            <w:hideMark/>
          </w:tcPr>
          <w:p w14:paraId="077ED13E" w14:textId="370AECCD" w:rsidR="002E2C5F" w:rsidRPr="005265D7" w:rsidRDefault="006A1654"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48,840</w:t>
            </w:r>
          </w:p>
        </w:tc>
        <w:tc>
          <w:tcPr>
            <w:tcW w:w="992" w:type="dxa"/>
            <w:tcBorders>
              <w:top w:val="nil"/>
              <w:left w:val="nil"/>
              <w:bottom w:val="single" w:sz="8" w:space="0" w:color="auto"/>
              <w:right w:val="single" w:sz="8" w:space="0" w:color="auto"/>
            </w:tcBorders>
            <w:shd w:val="clear" w:color="000000" w:fill="FFFFFF"/>
            <w:noWrap/>
            <w:vAlign w:val="center"/>
            <w:hideMark/>
          </w:tcPr>
          <w:p w14:paraId="272DFAD0" w14:textId="4D5F851F" w:rsidR="002E2C5F" w:rsidRPr="005265D7" w:rsidRDefault="006A1654"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48,840</w:t>
            </w:r>
          </w:p>
        </w:tc>
        <w:tc>
          <w:tcPr>
            <w:tcW w:w="1115" w:type="dxa"/>
            <w:tcBorders>
              <w:top w:val="nil"/>
              <w:left w:val="nil"/>
              <w:bottom w:val="single" w:sz="8" w:space="0" w:color="auto"/>
              <w:right w:val="single" w:sz="8" w:space="0" w:color="auto"/>
            </w:tcBorders>
            <w:shd w:val="clear" w:color="000000" w:fill="FFFFFF"/>
            <w:noWrap/>
            <w:vAlign w:val="center"/>
            <w:hideMark/>
          </w:tcPr>
          <w:p w14:paraId="29FBB563" w14:textId="0B3F528F" w:rsidR="002E2C5F" w:rsidRPr="005265D7" w:rsidRDefault="006A1654"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48,840</w:t>
            </w:r>
          </w:p>
        </w:tc>
        <w:tc>
          <w:tcPr>
            <w:tcW w:w="1157" w:type="dxa"/>
            <w:tcBorders>
              <w:top w:val="nil"/>
              <w:left w:val="nil"/>
              <w:bottom w:val="single" w:sz="8" w:space="0" w:color="auto"/>
              <w:right w:val="single" w:sz="8" w:space="0" w:color="auto"/>
            </w:tcBorders>
            <w:shd w:val="clear" w:color="000000" w:fill="FFFFFF"/>
            <w:noWrap/>
            <w:vAlign w:val="center"/>
            <w:hideMark/>
          </w:tcPr>
          <w:p w14:paraId="386A56CE" w14:textId="0072B40E"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2</w:t>
            </w:r>
            <w:r w:rsidR="006A1654" w:rsidRPr="005265D7">
              <w:rPr>
                <w:rFonts w:asciiTheme="majorHAnsi" w:eastAsia="Times New Roman" w:hAnsiTheme="majorHAnsi" w:cstheme="majorHAnsi"/>
                <w:color w:val="000000"/>
                <w:sz w:val="18"/>
                <w:szCs w:val="18"/>
                <w:highlight w:val="magenta"/>
                <w:lang w:val="fr-FR" w:eastAsia="fr-FR"/>
              </w:rPr>
              <w:t>44,200</w:t>
            </w:r>
            <w:r w:rsidRPr="005265D7">
              <w:rPr>
                <w:rFonts w:asciiTheme="majorHAnsi" w:eastAsia="Times New Roman" w:hAnsiTheme="majorHAnsi" w:cstheme="majorHAnsi"/>
                <w:color w:val="000000"/>
                <w:sz w:val="18"/>
                <w:szCs w:val="18"/>
                <w:highlight w:val="magenta"/>
                <w:lang w:val="fr-FR" w:eastAsia="fr-FR"/>
              </w:rPr>
              <w:t xml:space="preserve"> </w:t>
            </w:r>
          </w:p>
        </w:tc>
        <w:tc>
          <w:tcPr>
            <w:tcW w:w="1238" w:type="dxa"/>
            <w:tcBorders>
              <w:top w:val="nil"/>
              <w:left w:val="nil"/>
              <w:bottom w:val="single" w:sz="8" w:space="0" w:color="auto"/>
              <w:right w:val="single" w:sz="8" w:space="0" w:color="auto"/>
            </w:tcBorders>
            <w:shd w:val="clear" w:color="000000" w:fill="FFFFFF"/>
            <w:vAlign w:val="center"/>
            <w:hideMark/>
          </w:tcPr>
          <w:p w14:paraId="6290ED62"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26</w:t>
            </w:r>
          </w:p>
        </w:tc>
      </w:tr>
      <w:tr w:rsidR="002E2C5F" w:rsidRPr="007631AE" w14:paraId="4E893E89"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41BBA944"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57595BE9"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060B60A9"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7D87EC30"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627CE180"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71600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6BE3D346"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Travel </w:t>
            </w:r>
          </w:p>
        </w:tc>
        <w:tc>
          <w:tcPr>
            <w:tcW w:w="1047" w:type="dxa"/>
            <w:tcBorders>
              <w:top w:val="nil"/>
              <w:left w:val="nil"/>
              <w:bottom w:val="single" w:sz="8" w:space="0" w:color="auto"/>
              <w:right w:val="single" w:sz="8" w:space="0" w:color="auto"/>
            </w:tcBorders>
            <w:shd w:val="clear" w:color="000000" w:fill="FFFFFF"/>
            <w:noWrap/>
            <w:vAlign w:val="center"/>
            <w:hideMark/>
          </w:tcPr>
          <w:p w14:paraId="1E2D143A" w14:textId="77777777" w:rsidR="002E2C5F" w:rsidRPr="00FE7303" w:rsidRDefault="002E2C5F"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 xml:space="preserve">        9,000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426DA8D9" w14:textId="77777777" w:rsidR="002E2C5F" w:rsidRPr="00FE7303" w:rsidRDefault="002E2C5F"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 xml:space="preserve">        15,000 </w:t>
            </w:r>
          </w:p>
        </w:tc>
        <w:tc>
          <w:tcPr>
            <w:tcW w:w="989" w:type="dxa"/>
            <w:tcBorders>
              <w:top w:val="nil"/>
              <w:left w:val="nil"/>
              <w:bottom w:val="single" w:sz="8" w:space="0" w:color="auto"/>
              <w:right w:val="single" w:sz="8" w:space="0" w:color="auto"/>
            </w:tcBorders>
            <w:shd w:val="clear" w:color="000000" w:fill="FFFFFF"/>
            <w:noWrap/>
            <w:vAlign w:val="center"/>
            <w:hideMark/>
          </w:tcPr>
          <w:p w14:paraId="03F35405" w14:textId="77777777" w:rsidR="002E2C5F" w:rsidRPr="00FE7303" w:rsidRDefault="002E2C5F"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 xml:space="preserve">                               20,000 </w:t>
            </w:r>
          </w:p>
        </w:tc>
        <w:tc>
          <w:tcPr>
            <w:tcW w:w="992" w:type="dxa"/>
            <w:tcBorders>
              <w:top w:val="nil"/>
              <w:left w:val="nil"/>
              <w:bottom w:val="single" w:sz="8" w:space="0" w:color="auto"/>
              <w:right w:val="single" w:sz="8" w:space="0" w:color="auto"/>
            </w:tcBorders>
            <w:shd w:val="clear" w:color="000000" w:fill="FFFFFF"/>
            <w:noWrap/>
            <w:vAlign w:val="center"/>
            <w:hideMark/>
          </w:tcPr>
          <w:p w14:paraId="28EAE65C" w14:textId="77777777" w:rsidR="002E2C5F" w:rsidRPr="00FE7303" w:rsidRDefault="002E2C5F"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 xml:space="preserve">             20,350 </w:t>
            </w:r>
          </w:p>
        </w:tc>
        <w:tc>
          <w:tcPr>
            <w:tcW w:w="1115" w:type="dxa"/>
            <w:tcBorders>
              <w:top w:val="nil"/>
              <w:left w:val="nil"/>
              <w:bottom w:val="single" w:sz="8" w:space="0" w:color="auto"/>
              <w:right w:val="single" w:sz="8" w:space="0" w:color="auto"/>
            </w:tcBorders>
            <w:shd w:val="clear" w:color="000000" w:fill="FFFFFF"/>
            <w:noWrap/>
            <w:vAlign w:val="center"/>
            <w:hideMark/>
          </w:tcPr>
          <w:p w14:paraId="56942725" w14:textId="77777777" w:rsidR="002E2C5F" w:rsidRPr="00FE7303" w:rsidRDefault="002E2C5F"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 xml:space="preserve">             20,000 </w:t>
            </w:r>
          </w:p>
        </w:tc>
        <w:tc>
          <w:tcPr>
            <w:tcW w:w="1157" w:type="dxa"/>
            <w:tcBorders>
              <w:top w:val="nil"/>
              <w:left w:val="nil"/>
              <w:bottom w:val="single" w:sz="8" w:space="0" w:color="auto"/>
              <w:right w:val="single" w:sz="8" w:space="0" w:color="auto"/>
            </w:tcBorders>
            <w:shd w:val="clear" w:color="000000" w:fill="FFFFFF"/>
            <w:noWrap/>
            <w:vAlign w:val="center"/>
            <w:hideMark/>
          </w:tcPr>
          <w:p w14:paraId="0CAE9A79" w14:textId="77777777" w:rsidR="002E2C5F" w:rsidRPr="00FE7303" w:rsidRDefault="002E2C5F" w:rsidP="007631AE">
            <w:pPr>
              <w:jc w:val="right"/>
              <w:rPr>
                <w:rFonts w:asciiTheme="majorHAnsi" w:eastAsia="Times New Roman" w:hAnsiTheme="majorHAnsi" w:cstheme="majorHAnsi"/>
                <w:color w:val="000000"/>
                <w:sz w:val="18"/>
                <w:szCs w:val="18"/>
                <w:highlight w:val="yellow"/>
                <w:lang w:val="fr-FR" w:eastAsia="fr-FR"/>
              </w:rPr>
            </w:pPr>
            <w:r w:rsidRPr="00FE7303">
              <w:rPr>
                <w:rFonts w:asciiTheme="majorHAnsi" w:eastAsia="Times New Roman" w:hAnsiTheme="majorHAnsi" w:cstheme="majorHAnsi"/>
                <w:color w:val="000000"/>
                <w:sz w:val="18"/>
                <w:szCs w:val="18"/>
                <w:highlight w:val="yellow"/>
                <w:lang w:val="fr-FR" w:eastAsia="fr-FR"/>
              </w:rPr>
              <w:t xml:space="preserve">            84,350 </w:t>
            </w:r>
          </w:p>
        </w:tc>
        <w:tc>
          <w:tcPr>
            <w:tcW w:w="1238" w:type="dxa"/>
            <w:tcBorders>
              <w:top w:val="nil"/>
              <w:left w:val="nil"/>
              <w:bottom w:val="single" w:sz="8" w:space="0" w:color="auto"/>
              <w:right w:val="single" w:sz="8" w:space="0" w:color="auto"/>
            </w:tcBorders>
            <w:shd w:val="clear" w:color="000000" w:fill="FFFFFF"/>
            <w:vAlign w:val="center"/>
            <w:hideMark/>
          </w:tcPr>
          <w:p w14:paraId="2168DA3E"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27</w:t>
            </w:r>
          </w:p>
        </w:tc>
      </w:tr>
      <w:tr w:rsidR="002E2C5F" w:rsidRPr="007631AE" w14:paraId="407595A0"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0230E896"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29577BAA"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7687CB48"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528E9126"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426352B8"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72100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7769369B"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w:t>
            </w: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companies</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000000" w:fill="FFFFFF"/>
            <w:noWrap/>
            <w:vAlign w:val="center"/>
            <w:hideMark/>
          </w:tcPr>
          <w:p w14:paraId="1A60C961" w14:textId="1EC8A74B"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8,</w:t>
            </w:r>
            <w:r w:rsidR="006A1654" w:rsidRPr="005265D7">
              <w:rPr>
                <w:rFonts w:asciiTheme="majorHAnsi" w:eastAsia="Times New Roman" w:hAnsiTheme="majorHAnsi" w:cstheme="majorHAnsi"/>
                <w:color w:val="000000"/>
                <w:sz w:val="18"/>
                <w:szCs w:val="18"/>
                <w:highlight w:val="magenta"/>
                <w:lang w:val="fr-FR" w:eastAsia="fr-FR"/>
              </w:rPr>
              <w:t>50</w:t>
            </w:r>
            <w:r w:rsidRPr="005265D7">
              <w:rPr>
                <w:rFonts w:asciiTheme="majorHAnsi" w:eastAsia="Times New Roman" w:hAnsiTheme="majorHAnsi" w:cstheme="majorHAnsi"/>
                <w:color w:val="000000"/>
                <w:sz w:val="18"/>
                <w:szCs w:val="18"/>
                <w:highlight w:val="magenta"/>
                <w:lang w:val="fr-FR" w:eastAsia="fr-FR"/>
              </w:rPr>
              <w:t xml:space="preserve">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0E1A4577" w14:textId="42ABAB6E" w:rsidR="002E2C5F" w:rsidRPr="005265D7" w:rsidRDefault="006A1654"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8,500</w:t>
            </w:r>
          </w:p>
        </w:tc>
        <w:tc>
          <w:tcPr>
            <w:tcW w:w="989" w:type="dxa"/>
            <w:tcBorders>
              <w:top w:val="nil"/>
              <w:left w:val="nil"/>
              <w:bottom w:val="single" w:sz="8" w:space="0" w:color="auto"/>
              <w:right w:val="single" w:sz="8" w:space="0" w:color="auto"/>
            </w:tcBorders>
            <w:shd w:val="clear" w:color="000000" w:fill="FFFFFF"/>
            <w:noWrap/>
            <w:vAlign w:val="center"/>
            <w:hideMark/>
          </w:tcPr>
          <w:p w14:paraId="20E794B0" w14:textId="7B684368" w:rsidR="002E2C5F" w:rsidRPr="005265D7" w:rsidRDefault="006A1654"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8,500</w:t>
            </w:r>
          </w:p>
        </w:tc>
        <w:tc>
          <w:tcPr>
            <w:tcW w:w="992" w:type="dxa"/>
            <w:tcBorders>
              <w:top w:val="nil"/>
              <w:left w:val="nil"/>
              <w:bottom w:val="single" w:sz="8" w:space="0" w:color="auto"/>
              <w:right w:val="single" w:sz="8" w:space="0" w:color="auto"/>
            </w:tcBorders>
            <w:shd w:val="clear" w:color="000000" w:fill="FFFFFF"/>
            <w:noWrap/>
            <w:vAlign w:val="center"/>
            <w:hideMark/>
          </w:tcPr>
          <w:p w14:paraId="6F3FEF17" w14:textId="0E70AC70" w:rsidR="002E2C5F" w:rsidRPr="005265D7" w:rsidRDefault="006A1654"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8,500</w:t>
            </w:r>
          </w:p>
        </w:tc>
        <w:tc>
          <w:tcPr>
            <w:tcW w:w="1115" w:type="dxa"/>
            <w:tcBorders>
              <w:top w:val="nil"/>
              <w:left w:val="nil"/>
              <w:bottom w:val="single" w:sz="8" w:space="0" w:color="auto"/>
              <w:right w:val="single" w:sz="8" w:space="0" w:color="auto"/>
            </w:tcBorders>
            <w:shd w:val="clear" w:color="000000" w:fill="FFFFFF"/>
            <w:noWrap/>
            <w:vAlign w:val="center"/>
            <w:hideMark/>
          </w:tcPr>
          <w:p w14:paraId="02C42651" w14:textId="2EB85407" w:rsidR="002E2C5F" w:rsidRPr="005265D7" w:rsidRDefault="006A1654"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8,500</w:t>
            </w:r>
          </w:p>
        </w:tc>
        <w:tc>
          <w:tcPr>
            <w:tcW w:w="1157" w:type="dxa"/>
            <w:tcBorders>
              <w:top w:val="nil"/>
              <w:left w:val="nil"/>
              <w:bottom w:val="single" w:sz="8" w:space="0" w:color="auto"/>
              <w:right w:val="single" w:sz="8" w:space="0" w:color="auto"/>
            </w:tcBorders>
            <w:shd w:val="clear" w:color="000000" w:fill="FFFFFF"/>
            <w:noWrap/>
            <w:vAlign w:val="center"/>
            <w:hideMark/>
          </w:tcPr>
          <w:p w14:paraId="39FEA6B3" w14:textId="78F2402D"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4</w:t>
            </w:r>
            <w:r w:rsidR="006A1654" w:rsidRPr="005265D7">
              <w:rPr>
                <w:rFonts w:asciiTheme="majorHAnsi" w:eastAsia="Times New Roman" w:hAnsiTheme="majorHAnsi" w:cstheme="majorHAnsi"/>
                <w:color w:val="000000"/>
                <w:sz w:val="18"/>
                <w:szCs w:val="18"/>
                <w:highlight w:val="magenta"/>
                <w:lang w:val="fr-FR" w:eastAsia="fr-FR"/>
              </w:rPr>
              <w:t>2</w:t>
            </w:r>
            <w:r w:rsidRPr="005265D7">
              <w:rPr>
                <w:rFonts w:asciiTheme="majorHAnsi" w:eastAsia="Times New Roman" w:hAnsiTheme="majorHAnsi" w:cstheme="majorHAnsi"/>
                <w:color w:val="000000"/>
                <w:sz w:val="18"/>
                <w:szCs w:val="18"/>
                <w:highlight w:val="magenta"/>
                <w:lang w:val="fr-FR" w:eastAsia="fr-FR"/>
              </w:rPr>
              <w:t>,</w:t>
            </w:r>
            <w:r w:rsidR="006A1654"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 xml:space="preserve">00 </w:t>
            </w:r>
          </w:p>
        </w:tc>
        <w:tc>
          <w:tcPr>
            <w:tcW w:w="1238" w:type="dxa"/>
            <w:tcBorders>
              <w:top w:val="nil"/>
              <w:left w:val="nil"/>
              <w:bottom w:val="single" w:sz="8" w:space="0" w:color="auto"/>
              <w:right w:val="single" w:sz="8" w:space="0" w:color="auto"/>
            </w:tcBorders>
            <w:shd w:val="clear" w:color="000000" w:fill="FFFFFF"/>
            <w:vAlign w:val="center"/>
            <w:hideMark/>
          </w:tcPr>
          <w:p w14:paraId="794E007C"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28</w:t>
            </w:r>
          </w:p>
        </w:tc>
      </w:tr>
      <w:tr w:rsidR="002E2C5F" w:rsidRPr="007631AE" w14:paraId="461D2937"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79F9E946"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03770D95"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7889DC88"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5BDE4391"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78D2FCBF"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72200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51371AE1"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Equipment and </w:t>
            </w:r>
            <w:proofErr w:type="spellStart"/>
            <w:r w:rsidRPr="008244FA">
              <w:rPr>
                <w:rFonts w:asciiTheme="majorHAnsi" w:eastAsia="Times New Roman" w:hAnsiTheme="majorHAnsi" w:cstheme="majorHAnsi"/>
                <w:color w:val="000000"/>
                <w:sz w:val="18"/>
                <w:szCs w:val="18"/>
                <w:lang w:val="fr-FR" w:eastAsia="fr-FR"/>
              </w:rPr>
              <w:t>Furniture</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000000" w:fill="FFFFFF"/>
            <w:noWrap/>
            <w:vAlign w:val="center"/>
            <w:hideMark/>
          </w:tcPr>
          <w:p w14:paraId="4A0F0E5E" w14:textId="77777777" w:rsidR="002E2C5F" w:rsidRPr="00FE7303" w:rsidRDefault="002E2C5F" w:rsidP="007631AE">
            <w:pPr>
              <w:jc w:val="right"/>
              <w:rPr>
                <w:rFonts w:asciiTheme="majorHAnsi" w:eastAsia="Times New Roman" w:hAnsiTheme="majorHAnsi" w:cstheme="majorHAnsi"/>
                <w:sz w:val="18"/>
                <w:szCs w:val="18"/>
                <w:highlight w:val="yellow"/>
                <w:lang w:val="fr-FR" w:eastAsia="fr-FR"/>
              </w:rPr>
            </w:pPr>
            <w:r w:rsidRPr="00FE7303">
              <w:rPr>
                <w:rFonts w:asciiTheme="majorHAnsi" w:eastAsia="Times New Roman" w:hAnsiTheme="majorHAnsi" w:cstheme="majorHAnsi"/>
                <w:sz w:val="18"/>
                <w:szCs w:val="18"/>
                <w:highlight w:val="yellow"/>
                <w:lang w:val="fr-FR" w:eastAsia="fr-FR"/>
              </w:rPr>
              <w:t xml:space="preserve">     71,000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3EA703D1" w14:textId="77777777" w:rsidR="002E2C5F" w:rsidRPr="00FE7303" w:rsidRDefault="002E2C5F" w:rsidP="007631AE">
            <w:pPr>
              <w:jc w:val="right"/>
              <w:rPr>
                <w:rFonts w:asciiTheme="majorHAnsi" w:eastAsia="Times New Roman" w:hAnsiTheme="majorHAnsi" w:cstheme="majorHAnsi"/>
                <w:sz w:val="18"/>
                <w:szCs w:val="18"/>
                <w:highlight w:val="yellow"/>
                <w:lang w:val="fr-FR" w:eastAsia="fr-FR"/>
              </w:rPr>
            </w:pPr>
            <w:r w:rsidRPr="00FE7303">
              <w:rPr>
                <w:rFonts w:asciiTheme="majorHAnsi" w:eastAsia="Times New Roman" w:hAnsiTheme="majorHAnsi" w:cstheme="majorHAnsi"/>
                <w:sz w:val="18"/>
                <w:szCs w:val="18"/>
                <w:highlight w:val="yellow"/>
                <w:lang w:val="fr-FR" w:eastAsia="fr-FR"/>
              </w:rPr>
              <w:t xml:space="preserve">        71,000 </w:t>
            </w:r>
          </w:p>
        </w:tc>
        <w:tc>
          <w:tcPr>
            <w:tcW w:w="989" w:type="dxa"/>
            <w:tcBorders>
              <w:top w:val="nil"/>
              <w:left w:val="nil"/>
              <w:bottom w:val="single" w:sz="8" w:space="0" w:color="auto"/>
              <w:right w:val="single" w:sz="8" w:space="0" w:color="auto"/>
            </w:tcBorders>
            <w:shd w:val="clear" w:color="000000" w:fill="FFFFFF"/>
            <w:noWrap/>
            <w:vAlign w:val="center"/>
            <w:hideMark/>
          </w:tcPr>
          <w:p w14:paraId="284A3056" w14:textId="77777777" w:rsidR="002E2C5F" w:rsidRPr="00FE7303" w:rsidRDefault="002E2C5F" w:rsidP="007631AE">
            <w:pPr>
              <w:jc w:val="right"/>
              <w:rPr>
                <w:rFonts w:asciiTheme="majorHAnsi" w:eastAsia="Times New Roman" w:hAnsiTheme="majorHAnsi" w:cstheme="majorHAnsi"/>
                <w:sz w:val="18"/>
                <w:szCs w:val="18"/>
                <w:highlight w:val="yellow"/>
                <w:lang w:val="fr-FR" w:eastAsia="fr-FR"/>
              </w:rPr>
            </w:pPr>
            <w:r w:rsidRPr="00FE7303">
              <w:rPr>
                <w:rFonts w:asciiTheme="majorHAnsi" w:eastAsia="Times New Roman" w:hAnsiTheme="majorHAnsi" w:cstheme="majorHAnsi"/>
                <w:sz w:val="18"/>
                <w:szCs w:val="18"/>
                <w:highlight w:val="yellow"/>
                <w:lang w:val="fr-FR" w:eastAsia="fr-FR"/>
              </w:rPr>
              <w:t xml:space="preserve">                               71,000 </w:t>
            </w:r>
          </w:p>
        </w:tc>
        <w:tc>
          <w:tcPr>
            <w:tcW w:w="992" w:type="dxa"/>
            <w:tcBorders>
              <w:top w:val="nil"/>
              <w:left w:val="nil"/>
              <w:bottom w:val="single" w:sz="8" w:space="0" w:color="auto"/>
              <w:right w:val="single" w:sz="8" w:space="0" w:color="auto"/>
            </w:tcBorders>
            <w:shd w:val="clear" w:color="000000" w:fill="FFFFFF"/>
            <w:noWrap/>
            <w:vAlign w:val="center"/>
            <w:hideMark/>
          </w:tcPr>
          <w:p w14:paraId="412D0AB0" w14:textId="77777777" w:rsidR="002E2C5F" w:rsidRPr="00FE7303" w:rsidRDefault="002E2C5F" w:rsidP="007631AE">
            <w:pPr>
              <w:jc w:val="right"/>
              <w:rPr>
                <w:rFonts w:asciiTheme="majorHAnsi" w:eastAsia="Times New Roman" w:hAnsiTheme="majorHAnsi" w:cstheme="majorHAnsi"/>
                <w:sz w:val="18"/>
                <w:szCs w:val="18"/>
                <w:highlight w:val="yellow"/>
                <w:lang w:val="fr-FR" w:eastAsia="fr-FR"/>
              </w:rPr>
            </w:pPr>
            <w:r w:rsidRPr="00FE7303">
              <w:rPr>
                <w:rFonts w:asciiTheme="majorHAnsi" w:eastAsia="Times New Roman" w:hAnsiTheme="majorHAnsi" w:cstheme="majorHAnsi"/>
                <w:sz w:val="18"/>
                <w:szCs w:val="18"/>
                <w:highlight w:val="yellow"/>
                <w:lang w:val="fr-FR" w:eastAsia="fr-FR"/>
              </w:rPr>
              <w:t xml:space="preserve">             71,000 </w:t>
            </w:r>
          </w:p>
        </w:tc>
        <w:tc>
          <w:tcPr>
            <w:tcW w:w="1115" w:type="dxa"/>
            <w:tcBorders>
              <w:top w:val="nil"/>
              <w:left w:val="nil"/>
              <w:bottom w:val="single" w:sz="8" w:space="0" w:color="auto"/>
              <w:right w:val="single" w:sz="8" w:space="0" w:color="auto"/>
            </w:tcBorders>
            <w:shd w:val="clear" w:color="000000" w:fill="FFFFFF"/>
            <w:noWrap/>
            <w:vAlign w:val="center"/>
            <w:hideMark/>
          </w:tcPr>
          <w:p w14:paraId="77FFEBA9" w14:textId="77777777" w:rsidR="002E2C5F" w:rsidRPr="00FE7303" w:rsidRDefault="002E2C5F" w:rsidP="007631AE">
            <w:pPr>
              <w:jc w:val="right"/>
              <w:rPr>
                <w:rFonts w:asciiTheme="majorHAnsi" w:eastAsia="Times New Roman" w:hAnsiTheme="majorHAnsi" w:cstheme="majorHAnsi"/>
                <w:sz w:val="18"/>
                <w:szCs w:val="18"/>
                <w:highlight w:val="yellow"/>
                <w:lang w:val="fr-FR" w:eastAsia="fr-FR"/>
              </w:rPr>
            </w:pPr>
            <w:r w:rsidRPr="00FE7303">
              <w:rPr>
                <w:rFonts w:asciiTheme="majorHAnsi" w:eastAsia="Times New Roman" w:hAnsiTheme="majorHAnsi" w:cstheme="majorHAnsi"/>
                <w:sz w:val="18"/>
                <w:szCs w:val="18"/>
                <w:highlight w:val="yellow"/>
                <w:lang w:val="fr-FR" w:eastAsia="fr-FR"/>
              </w:rPr>
              <w:t xml:space="preserve">             71,000 </w:t>
            </w:r>
          </w:p>
        </w:tc>
        <w:tc>
          <w:tcPr>
            <w:tcW w:w="1157" w:type="dxa"/>
            <w:tcBorders>
              <w:top w:val="nil"/>
              <w:left w:val="nil"/>
              <w:bottom w:val="single" w:sz="8" w:space="0" w:color="auto"/>
              <w:right w:val="single" w:sz="8" w:space="0" w:color="auto"/>
            </w:tcBorders>
            <w:shd w:val="clear" w:color="000000" w:fill="FFFFFF"/>
            <w:noWrap/>
            <w:vAlign w:val="center"/>
            <w:hideMark/>
          </w:tcPr>
          <w:p w14:paraId="3000978D" w14:textId="77777777" w:rsidR="002E2C5F" w:rsidRPr="00FE7303" w:rsidRDefault="002E2C5F" w:rsidP="007631AE">
            <w:pPr>
              <w:jc w:val="right"/>
              <w:rPr>
                <w:rFonts w:asciiTheme="majorHAnsi" w:eastAsia="Times New Roman" w:hAnsiTheme="majorHAnsi" w:cstheme="majorHAnsi"/>
                <w:sz w:val="18"/>
                <w:szCs w:val="18"/>
                <w:highlight w:val="yellow"/>
                <w:lang w:val="fr-FR" w:eastAsia="fr-FR"/>
              </w:rPr>
            </w:pPr>
            <w:r w:rsidRPr="00FE7303">
              <w:rPr>
                <w:rFonts w:asciiTheme="majorHAnsi" w:eastAsia="Times New Roman" w:hAnsiTheme="majorHAnsi" w:cstheme="majorHAnsi"/>
                <w:sz w:val="18"/>
                <w:szCs w:val="18"/>
                <w:highlight w:val="yellow"/>
                <w:lang w:val="fr-FR" w:eastAsia="fr-FR"/>
              </w:rPr>
              <w:t xml:space="preserve">          355,000 </w:t>
            </w:r>
          </w:p>
        </w:tc>
        <w:tc>
          <w:tcPr>
            <w:tcW w:w="1238" w:type="dxa"/>
            <w:tcBorders>
              <w:top w:val="nil"/>
              <w:left w:val="nil"/>
              <w:bottom w:val="single" w:sz="8" w:space="0" w:color="auto"/>
              <w:right w:val="single" w:sz="8" w:space="0" w:color="auto"/>
            </w:tcBorders>
            <w:shd w:val="clear" w:color="000000" w:fill="FFFFFF"/>
            <w:vAlign w:val="center"/>
            <w:hideMark/>
          </w:tcPr>
          <w:p w14:paraId="21C2B818"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29</w:t>
            </w:r>
          </w:p>
        </w:tc>
      </w:tr>
      <w:tr w:rsidR="002E2C5F" w:rsidRPr="007631AE" w14:paraId="0AC847A4"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67C2FB2B"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3E2A98CE"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2307573E"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6BAAB206"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0E7C927C"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72400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5C0C4DBA"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roofErr w:type="spellStart"/>
            <w:r w:rsidRPr="008244FA">
              <w:rPr>
                <w:rFonts w:asciiTheme="majorHAnsi" w:eastAsia="Times New Roman" w:hAnsiTheme="majorHAnsi" w:cstheme="majorHAnsi"/>
                <w:color w:val="000000"/>
                <w:sz w:val="18"/>
                <w:szCs w:val="18"/>
                <w:lang w:val="fr-FR" w:eastAsia="fr-FR"/>
              </w:rPr>
              <w:t>Communic</w:t>
            </w:r>
            <w:proofErr w:type="spellEnd"/>
            <w:r w:rsidRPr="008244FA">
              <w:rPr>
                <w:rFonts w:asciiTheme="majorHAnsi" w:eastAsia="Times New Roman" w:hAnsiTheme="majorHAnsi" w:cstheme="majorHAnsi"/>
                <w:color w:val="000000"/>
                <w:sz w:val="18"/>
                <w:szCs w:val="18"/>
                <w:lang w:val="fr-FR" w:eastAsia="fr-FR"/>
              </w:rPr>
              <w:t xml:space="preserve"> &amp; </w:t>
            </w:r>
            <w:proofErr w:type="spellStart"/>
            <w:r w:rsidRPr="008244FA">
              <w:rPr>
                <w:rFonts w:asciiTheme="majorHAnsi" w:eastAsia="Times New Roman" w:hAnsiTheme="majorHAnsi" w:cstheme="majorHAnsi"/>
                <w:color w:val="000000"/>
                <w:sz w:val="18"/>
                <w:szCs w:val="18"/>
                <w:lang w:val="fr-FR" w:eastAsia="fr-FR"/>
              </w:rPr>
              <w:t>Audio-Visual</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1047" w:type="dxa"/>
            <w:tcBorders>
              <w:top w:val="nil"/>
              <w:left w:val="nil"/>
              <w:bottom w:val="single" w:sz="8" w:space="0" w:color="auto"/>
              <w:right w:val="single" w:sz="8" w:space="0" w:color="auto"/>
            </w:tcBorders>
            <w:shd w:val="clear" w:color="000000" w:fill="FFFFFF"/>
            <w:noWrap/>
            <w:vAlign w:val="center"/>
            <w:hideMark/>
          </w:tcPr>
          <w:p w14:paraId="5F0EB8A0" w14:textId="1609B0A9"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9</w:t>
            </w:r>
            <w:r w:rsidRPr="005265D7">
              <w:rPr>
                <w:rFonts w:asciiTheme="majorHAnsi" w:eastAsia="Times New Roman" w:hAnsiTheme="majorHAnsi" w:cstheme="majorHAnsi"/>
                <w:color w:val="000000"/>
                <w:sz w:val="18"/>
                <w:szCs w:val="18"/>
                <w:highlight w:val="magenta"/>
                <w:lang w:val="fr-FR" w:eastAsia="fr-FR"/>
              </w:rPr>
              <w:t>,</w:t>
            </w:r>
            <w:r w:rsidR="006A1654"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 xml:space="preserve">00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52CDCD15" w14:textId="139427E0"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6</w:t>
            </w:r>
            <w:r w:rsidRPr="005265D7">
              <w:rPr>
                <w:rFonts w:asciiTheme="majorHAnsi" w:eastAsia="Times New Roman" w:hAnsiTheme="majorHAnsi" w:cstheme="majorHAnsi"/>
                <w:color w:val="000000"/>
                <w:sz w:val="18"/>
                <w:szCs w:val="18"/>
                <w:highlight w:val="magenta"/>
                <w:lang w:val="fr-FR" w:eastAsia="fr-FR"/>
              </w:rPr>
              <w:t xml:space="preserve">,000 </w:t>
            </w:r>
          </w:p>
        </w:tc>
        <w:tc>
          <w:tcPr>
            <w:tcW w:w="989" w:type="dxa"/>
            <w:tcBorders>
              <w:top w:val="nil"/>
              <w:left w:val="nil"/>
              <w:bottom w:val="single" w:sz="8" w:space="0" w:color="auto"/>
              <w:right w:val="single" w:sz="8" w:space="0" w:color="auto"/>
            </w:tcBorders>
            <w:shd w:val="clear" w:color="000000" w:fill="FFFFFF"/>
            <w:noWrap/>
            <w:vAlign w:val="center"/>
            <w:hideMark/>
          </w:tcPr>
          <w:p w14:paraId="3C417B3E" w14:textId="3103FD73"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6</w:t>
            </w:r>
            <w:r w:rsidRPr="005265D7">
              <w:rPr>
                <w:rFonts w:asciiTheme="majorHAnsi" w:eastAsia="Times New Roman" w:hAnsiTheme="majorHAnsi" w:cstheme="majorHAnsi"/>
                <w:color w:val="000000"/>
                <w:sz w:val="18"/>
                <w:szCs w:val="18"/>
                <w:highlight w:val="magenta"/>
                <w:lang w:val="fr-FR" w:eastAsia="fr-FR"/>
              </w:rPr>
              <w:t xml:space="preserve">,000 </w:t>
            </w:r>
          </w:p>
        </w:tc>
        <w:tc>
          <w:tcPr>
            <w:tcW w:w="992" w:type="dxa"/>
            <w:tcBorders>
              <w:top w:val="nil"/>
              <w:left w:val="nil"/>
              <w:bottom w:val="single" w:sz="8" w:space="0" w:color="auto"/>
              <w:right w:val="single" w:sz="8" w:space="0" w:color="auto"/>
            </w:tcBorders>
            <w:shd w:val="clear" w:color="000000" w:fill="FFFFFF"/>
            <w:noWrap/>
            <w:vAlign w:val="center"/>
            <w:hideMark/>
          </w:tcPr>
          <w:p w14:paraId="3721C07B" w14:textId="18E4D592"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6</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115" w:type="dxa"/>
            <w:tcBorders>
              <w:top w:val="nil"/>
              <w:left w:val="nil"/>
              <w:bottom w:val="single" w:sz="8" w:space="0" w:color="auto"/>
              <w:right w:val="single" w:sz="8" w:space="0" w:color="auto"/>
            </w:tcBorders>
            <w:shd w:val="clear" w:color="000000" w:fill="FFFFFF"/>
            <w:noWrap/>
            <w:vAlign w:val="center"/>
            <w:hideMark/>
          </w:tcPr>
          <w:p w14:paraId="24E2090D" w14:textId="0224342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6</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157" w:type="dxa"/>
            <w:tcBorders>
              <w:top w:val="nil"/>
              <w:left w:val="nil"/>
              <w:bottom w:val="single" w:sz="8" w:space="0" w:color="auto"/>
              <w:right w:val="single" w:sz="8" w:space="0" w:color="auto"/>
            </w:tcBorders>
            <w:shd w:val="clear" w:color="000000" w:fill="FFFFFF"/>
            <w:noWrap/>
            <w:vAlign w:val="center"/>
            <w:hideMark/>
          </w:tcPr>
          <w:p w14:paraId="0E81ED73" w14:textId="2F8F2F6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33</w:t>
            </w:r>
            <w:r w:rsidRPr="005265D7">
              <w:rPr>
                <w:rFonts w:asciiTheme="majorHAnsi" w:eastAsia="Times New Roman" w:hAnsiTheme="majorHAnsi" w:cstheme="majorHAnsi"/>
                <w:color w:val="000000"/>
                <w:sz w:val="18"/>
                <w:szCs w:val="18"/>
                <w:highlight w:val="magenta"/>
                <w:lang w:val="fr-FR" w:eastAsia="fr-FR"/>
              </w:rPr>
              <w:t>,</w:t>
            </w:r>
            <w:r w:rsidR="006A1654"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 xml:space="preserve">00 </w:t>
            </w:r>
          </w:p>
        </w:tc>
        <w:tc>
          <w:tcPr>
            <w:tcW w:w="1238" w:type="dxa"/>
            <w:tcBorders>
              <w:top w:val="nil"/>
              <w:left w:val="nil"/>
              <w:bottom w:val="single" w:sz="8" w:space="0" w:color="auto"/>
              <w:right w:val="single" w:sz="8" w:space="0" w:color="auto"/>
            </w:tcBorders>
            <w:shd w:val="clear" w:color="000000" w:fill="FFFFFF"/>
            <w:vAlign w:val="center"/>
            <w:hideMark/>
          </w:tcPr>
          <w:p w14:paraId="297F1152"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30</w:t>
            </w:r>
          </w:p>
        </w:tc>
      </w:tr>
      <w:tr w:rsidR="002E2C5F" w:rsidRPr="007631AE" w14:paraId="108A1902"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407111AE"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4CC01567"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6789F4DC"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32837949"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78D0B34B"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72800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797B32E9"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Information </w:t>
            </w:r>
            <w:proofErr w:type="spellStart"/>
            <w:r w:rsidRPr="008244FA">
              <w:rPr>
                <w:rFonts w:asciiTheme="majorHAnsi" w:eastAsia="Times New Roman" w:hAnsiTheme="majorHAnsi" w:cstheme="majorHAnsi"/>
                <w:color w:val="000000"/>
                <w:sz w:val="18"/>
                <w:szCs w:val="18"/>
                <w:lang w:val="fr-FR" w:eastAsia="fr-FR"/>
              </w:rPr>
              <w:t>Technology</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1047" w:type="dxa"/>
            <w:tcBorders>
              <w:top w:val="nil"/>
              <w:left w:val="nil"/>
              <w:bottom w:val="single" w:sz="8" w:space="0" w:color="auto"/>
              <w:right w:val="single" w:sz="8" w:space="0" w:color="auto"/>
            </w:tcBorders>
            <w:shd w:val="clear" w:color="auto" w:fill="auto"/>
            <w:noWrap/>
            <w:vAlign w:val="center"/>
            <w:hideMark/>
          </w:tcPr>
          <w:p w14:paraId="065D1FCA" w14:textId="599623CD"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1</w:t>
            </w:r>
            <w:r w:rsidRPr="005265D7">
              <w:rPr>
                <w:rFonts w:asciiTheme="majorHAnsi" w:eastAsia="Times New Roman" w:hAnsiTheme="majorHAnsi" w:cstheme="majorHAnsi"/>
                <w:color w:val="000000"/>
                <w:sz w:val="18"/>
                <w:szCs w:val="18"/>
                <w:highlight w:val="magenta"/>
                <w:lang w:val="fr-FR" w:eastAsia="fr-FR"/>
              </w:rPr>
              <w:t xml:space="preserve">5,000 </w:t>
            </w:r>
          </w:p>
        </w:tc>
        <w:tc>
          <w:tcPr>
            <w:tcW w:w="975" w:type="dxa"/>
            <w:gridSpan w:val="2"/>
            <w:tcBorders>
              <w:top w:val="nil"/>
              <w:left w:val="nil"/>
              <w:bottom w:val="single" w:sz="8" w:space="0" w:color="auto"/>
              <w:right w:val="single" w:sz="8" w:space="0" w:color="auto"/>
            </w:tcBorders>
            <w:shd w:val="clear" w:color="auto" w:fill="auto"/>
            <w:noWrap/>
            <w:vAlign w:val="center"/>
            <w:hideMark/>
          </w:tcPr>
          <w:p w14:paraId="3D9947B3"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5,000 </w:t>
            </w:r>
          </w:p>
        </w:tc>
        <w:tc>
          <w:tcPr>
            <w:tcW w:w="989" w:type="dxa"/>
            <w:tcBorders>
              <w:top w:val="nil"/>
              <w:left w:val="nil"/>
              <w:bottom w:val="single" w:sz="8" w:space="0" w:color="auto"/>
              <w:right w:val="single" w:sz="8" w:space="0" w:color="auto"/>
            </w:tcBorders>
            <w:shd w:val="clear" w:color="auto" w:fill="auto"/>
            <w:noWrap/>
            <w:vAlign w:val="center"/>
            <w:hideMark/>
          </w:tcPr>
          <w:p w14:paraId="3C606429"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5,000 </w:t>
            </w:r>
          </w:p>
        </w:tc>
        <w:tc>
          <w:tcPr>
            <w:tcW w:w="992" w:type="dxa"/>
            <w:tcBorders>
              <w:top w:val="nil"/>
              <w:left w:val="nil"/>
              <w:bottom w:val="single" w:sz="8" w:space="0" w:color="auto"/>
              <w:right w:val="single" w:sz="8" w:space="0" w:color="auto"/>
            </w:tcBorders>
            <w:shd w:val="clear" w:color="auto" w:fill="auto"/>
            <w:noWrap/>
            <w:vAlign w:val="center"/>
            <w:hideMark/>
          </w:tcPr>
          <w:p w14:paraId="58EF5355" w14:textId="2241C826"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115" w:type="dxa"/>
            <w:tcBorders>
              <w:top w:val="nil"/>
              <w:left w:val="nil"/>
              <w:bottom w:val="single" w:sz="8" w:space="0" w:color="auto"/>
              <w:right w:val="single" w:sz="8" w:space="0" w:color="auto"/>
            </w:tcBorders>
            <w:shd w:val="clear" w:color="auto" w:fill="auto"/>
            <w:noWrap/>
            <w:vAlign w:val="center"/>
            <w:hideMark/>
          </w:tcPr>
          <w:p w14:paraId="705CC6EE" w14:textId="5E5C636D"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5</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157" w:type="dxa"/>
            <w:tcBorders>
              <w:top w:val="nil"/>
              <w:left w:val="nil"/>
              <w:bottom w:val="single" w:sz="8" w:space="0" w:color="auto"/>
              <w:right w:val="single" w:sz="8" w:space="0" w:color="auto"/>
            </w:tcBorders>
            <w:shd w:val="clear" w:color="auto" w:fill="auto"/>
            <w:noWrap/>
            <w:vAlign w:val="center"/>
            <w:hideMark/>
          </w:tcPr>
          <w:p w14:paraId="32489D9C" w14:textId="4A38F6FF"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35</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238" w:type="dxa"/>
            <w:tcBorders>
              <w:top w:val="nil"/>
              <w:left w:val="nil"/>
              <w:bottom w:val="single" w:sz="8" w:space="0" w:color="auto"/>
              <w:right w:val="single" w:sz="8" w:space="0" w:color="auto"/>
            </w:tcBorders>
            <w:shd w:val="clear" w:color="auto" w:fill="auto"/>
            <w:vAlign w:val="center"/>
            <w:hideMark/>
          </w:tcPr>
          <w:p w14:paraId="26D33AF9"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31</w:t>
            </w:r>
          </w:p>
        </w:tc>
      </w:tr>
      <w:tr w:rsidR="002E2C5F" w:rsidRPr="007631AE" w14:paraId="486D6C1A" w14:textId="77777777" w:rsidTr="002E2C5F">
        <w:trPr>
          <w:trHeight w:val="270"/>
        </w:trPr>
        <w:tc>
          <w:tcPr>
            <w:tcW w:w="2111" w:type="dxa"/>
            <w:vMerge/>
            <w:tcBorders>
              <w:top w:val="nil"/>
              <w:left w:val="single" w:sz="8" w:space="0" w:color="auto"/>
              <w:bottom w:val="nil"/>
              <w:right w:val="single" w:sz="8" w:space="0" w:color="auto"/>
            </w:tcBorders>
            <w:vAlign w:val="center"/>
            <w:hideMark/>
          </w:tcPr>
          <w:p w14:paraId="1CEE1E32"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76092E0A"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5D05DE05"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45235E4D"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78E58CCE"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73100</w:t>
            </w:r>
          </w:p>
        </w:tc>
        <w:tc>
          <w:tcPr>
            <w:tcW w:w="2103" w:type="dxa"/>
            <w:gridSpan w:val="3"/>
            <w:tcBorders>
              <w:top w:val="nil"/>
              <w:left w:val="nil"/>
              <w:bottom w:val="single" w:sz="8" w:space="0" w:color="auto"/>
              <w:right w:val="single" w:sz="8" w:space="0" w:color="auto"/>
            </w:tcBorders>
            <w:shd w:val="clear" w:color="auto" w:fill="auto"/>
            <w:noWrap/>
            <w:vAlign w:val="center"/>
            <w:hideMark/>
          </w:tcPr>
          <w:p w14:paraId="1957BD10"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w:t>
            </w:r>
            <w:proofErr w:type="spellStart"/>
            <w:r w:rsidRPr="008244FA">
              <w:rPr>
                <w:rFonts w:asciiTheme="majorHAnsi" w:eastAsia="Times New Roman" w:hAnsiTheme="majorHAnsi" w:cstheme="majorHAnsi"/>
                <w:color w:val="000000"/>
                <w:sz w:val="18"/>
                <w:szCs w:val="18"/>
                <w:lang w:val="fr-FR" w:eastAsia="fr-FR"/>
              </w:rPr>
              <w:t>Rental</w:t>
            </w:r>
            <w:proofErr w:type="spellEnd"/>
            <w:r w:rsidRPr="008244FA">
              <w:rPr>
                <w:rFonts w:asciiTheme="majorHAnsi" w:eastAsia="Times New Roman" w:hAnsiTheme="majorHAnsi" w:cstheme="majorHAnsi"/>
                <w:color w:val="000000"/>
                <w:sz w:val="18"/>
                <w:szCs w:val="18"/>
                <w:lang w:val="fr-FR" w:eastAsia="fr-FR"/>
              </w:rPr>
              <w:t xml:space="preserve"> and Maintenance - </w:t>
            </w:r>
            <w:proofErr w:type="spellStart"/>
            <w:r w:rsidRPr="008244FA">
              <w:rPr>
                <w:rFonts w:asciiTheme="majorHAnsi" w:eastAsia="Times New Roman" w:hAnsiTheme="majorHAnsi" w:cstheme="majorHAnsi"/>
                <w:color w:val="000000"/>
                <w:sz w:val="18"/>
                <w:szCs w:val="18"/>
                <w:lang w:val="fr-FR" w:eastAsia="fr-FR"/>
              </w:rPr>
              <w:t>Premises</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auto" w:fill="auto"/>
            <w:noWrap/>
            <w:vAlign w:val="center"/>
            <w:hideMark/>
          </w:tcPr>
          <w:p w14:paraId="55FCDCF6" w14:textId="26E315AE" w:rsidR="002E2C5F" w:rsidRPr="005265D7" w:rsidRDefault="006A1654"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20</w:t>
            </w:r>
            <w:r w:rsidR="002E2C5F" w:rsidRPr="005265D7">
              <w:rPr>
                <w:rFonts w:asciiTheme="majorHAnsi" w:eastAsia="Times New Roman" w:hAnsiTheme="majorHAnsi" w:cstheme="majorHAnsi"/>
                <w:color w:val="000000"/>
                <w:sz w:val="18"/>
                <w:szCs w:val="18"/>
                <w:highlight w:val="magenta"/>
                <w:lang w:val="fr-FR" w:eastAsia="fr-FR"/>
              </w:rPr>
              <w:t xml:space="preserve">,000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60B5B483" w14:textId="1D8413B3"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20</w:t>
            </w:r>
            <w:r w:rsidRPr="005265D7">
              <w:rPr>
                <w:rFonts w:asciiTheme="majorHAnsi" w:eastAsia="Times New Roman" w:hAnsiTheme="majorHAnsi" w:cstheme="majorHAnsi"/>
                <w:color w:val="000000"/>
                <w:sz w:val="18"/>
                <w:szCs w:val="18"/>
                <w:highlight w:val="magenta"/>
                <w:lang w:val="fr-FR" w:eastAsia="fr-FR"/>
              </w:rPr>
              <w:t xml:space="preserve">,000 </w:t>
            </w:r>
          </w:p>
        </w:tc>
        <w:tc>
          <w:tcPr>
            <w:tcW w:w="989" w:type="dxa"/>
            <w:tcBorders>
              <w:top w:val="nil"/>
              <w:left w:val="nil"/>
              <w:bottom w:val="single" w:sz="8" w:space="0" w:color="auto"/>
              <w:right w:val="single" w:sz="8" w:space="0" w:color="auto"/>
            </w:tcBorders>
            <w:shd w:val="clear" w:color="000000" w:fill="FFFFFF"/>
            <w:noWrap/>
            <w:vAlign w:val="center"/>
            <w:hideMark/>
          </w:tcPr>
          <w:p w14:paraId="35DAFC0D" w14:textId="7B1EC9BC"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20</w:t>
            </w:r>
            <w:r w:rsidRPr="005265D7">
              <w:rPr>
                <w:rFonts w:asciiTheme="majorHAnsi" w:eastAsia="Times New Roman" w:hAnsiTheme="majorHAnsi" w:cstheme="majorHAnsi"/>
                <w:color w:val="000000"/>
                <w:sz w:val="18"/>
                <w:szCs w:val="18"/>
                <w:highlight w:val="magenta"/>
                <w:lang w:val="fr-FR" w:eastAsia="fr-FR"/>
              </w:rPr>
              <w:t xml:space="preserve">,000 </w:t>
            </w:r>
          </w:p>
        </w:tc>
        <w:tc>
          <w:tcPr>
            <w:tcW w:w="992" w:type="dxa"/>
            <w:tcBorders>
              <w:top w:val="nil"/>
              <w:left w:val="nil"/>
              <w:bottom w:val="single" w:sz="8" w:space="0" w:color="auto"/>
              <w:right w:val="single" w:sz="8" w:space="0" w:color="auto"/>
            </w:tcBorders>
            <w:shd w:val="clear" w:color="000000" w:fill="FFFFFF"/>
            <w:noWrap/>
            <w:vAlign w:val="center"/>
            <w:hideMark/>
          </w:tcPr>
          <w:p w14:paraId="2D045F3B" w14:textId="38E316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20</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115" w:type="dxa"/>
            <w:tcBorders>
              <w:top w:val="nil"/>
              <w:left w:val="nil"/>
              <w:bottom w:val="single" w:sz="8" w:space="0" w:color="auto"/>
              <w:right w:val="single" w:sz="8" w:space="0" w:color="auto"/>
            </w:tcBorders>
            <w:shd w:val="clear" w:color="000000" w:fill="FFFFFF"/>
            <w:noWrap/>
            <w:vAlign w:val="center"/>
            <w:hideMark/>
          </w:tcPr>
          <w:p w14:paraId="1BC6327A" w14:textId="1776058B"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20</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157" w:type="dxa"/>
            <w:tcBorders>
              <w:top w:val="nil"/>
              <w:left w:val="nil"/>
              <w:bottom w:val="single" w:sz="8" w:space="0" w:color="auto"/>
              <w:right w:val="single" w:sz="8" w:space="0" w:color="auto"/>
            </w:tcBorders>
            <w:shd w:val="clear" w:color="000000" w:fill="FFFFFF"/>
            <w:noWrap/>
            <w:vAlign w:val="center"/>
            <w:hideMark/>
          </w:tcPr>
          <w:p w14:paraId="1D8B3635" w14:textId="0BF12636"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100</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238" w:type="dxa"/>
            <w:tcBorders>
              <w:top w:val="nil"/>
              <w:left w:val="nil"/>
              <w:bottom w:val="single" w:sz="8" w:space="0" w:color="auto"/>
              <w:right w:val="single" w:sz="8" w:space="0" w:color="auto"/>
            </w:tcBorders>
            <w:shd w:val="clear" w:color="000000" w:fill="FFFFFF"/>
            <w:vAlign w:val="center"/>
            <w:hideMark/>
          </w:tcPr>
          <w:p w14:paraId="00AB5877"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32</w:t>
            </w:r>
          </w:p>
        </w:tc>
      </w:tr>
      <w:tr w:rsidR="002E2C5F" w:rsidRPr="007631AE" w14:paraId="7E95CC4B" w14:textId="77777777" w:rsidTr="002E2C5F">
        <w:trPr>
          <w:trHeight w:val="360"/>
        </w:trPr>
        <w:tc>
          <w:tcPr>
            <w:tcW w:w="2111" w:type="dxa"/>
            <w:vMerge/>
            <w:tcBorders>
              <w:top w:val="nil"/>
              <w:left w:val="single" w:sz="8" w:space="0" w:color="auto"/>
              <w:bottom w:val="nil"/>
              <w:right w:val="single" w:sz="8" w:space="0" w:color="auto"/>
            </w:tcBorders>
            <w:vAlign w:val="center"/>
            <w:hideMark/>
          </w:tcPr>
          <w:p w14:paraId="28D8F4FE"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263B8785"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02F12445"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78091852"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0FF6F6E8"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73400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106AE917" w14:textId="77777777" w:rsidR="002E2C5F" w:rsidRPr="008244FA" w:rsidRDefault="002E2C5F" w:rsidP="007631AE">
            <w:pPr>
              <w:jc w:val="both"/>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eastAsia="fr-FR"/>
              </w:rPr>
              <w:t xml:space="preserve"> Rental and Maintenance – other equipment </w:t>
            </w:r>
          </w:p>
        </w:tc>
        <w:tc>
          <w:tcPr>
            <w:tcW w:w="1047" w:type="dxa"/>
            <w:tcBorders>
              <w:top w:val="nil"/>
              <w:left w:val="nil"/>
              <w:bottom w:val="single" w:sz="8" w:space="0" w:color="auto"/>
              <w:right w:val="single" w:sz="8" w:space="0" w:color="auto"/>
            </w:tcBorders>
            <w:shd w:val="clear" w:color="auto" w:fill="auto"/>
            <w:noWrap/>
            <w:vAlign w:val="center"/>
            <w:hideMark/>
          </w:tcPr>
          <w:p w14:paraId="707CE3C8"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eastAsia="fr-FR"/>
              </w:rPr>
              <w:t xml:space="preserve">     </w:t>
            </w:r>
            <w:r w:rsidRPr="005265D7">
              <w:rPr>
                <w:rFonts w:asciiTheme="majorHAnsi" w:eastAsia="Times New Roman" w:hAnsiTheme="majorHAnsi" w:cstheme="majorHAnsi"/>
                <w:color w:val="000000"/>
                <w:sz w:val="18"/>
                <w:szCs w:val="18"/>
                <w:highlight w:val="magenta"/>
                <w:lang w:val="fr-FR" w:eastAsia="fr-FR"/>
              </w:rPr>
              <w:t xml:space="preserve">10,000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023B53FD"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10,000 </w:t>
            </w:r>
          </w:p>
        </w:tc>
        <w:tc>
          <w:tcPr>
            <w:tcW w:w="989" w:type="dxa"/>
            <w:tcBorders>
              <w:top w:val="nil"/>
              <w:left w:val="nil"/>
              <w:bottom w:val="single" w:sz="8" w:space="0" w:color="auto"/>
              <w:right w:val="single" w:sz="8" w:space="0" w:color="auto"/>
            </w:tcBorders>
            <w:shd w:val="clear" w:color="000000" w:fill="FFFFFF"/>
            <w:noWrap/>
            <w:vAlign w:val="center"/>
            <w:hideMark/>
          </w:tcPr>
          <w:p w14:paraId="3911CCC7" w14:textId="257FA041"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10,000</w:t>
            </w:r>
            <w:r w:rsidRPr="005265D7">
              <w:rPr>
                <w:rFonts w:asciiTheme="majorHAnsi" w:eastAsia="Times New Roman" w:hAnsiTheme="majorHAnsi" w:cstheme="majorHAnsi"/>
                <w:color w:val="000000"/>
                <w:sz w:val="18"/>
                <w:szCs w:val="18"/>
                <w:highlight w:val="magenta"/>
                <w:lang w:val="fr-FR" w:eastAsia="fr-FR"/>
              </w:rPr>
              <w:t xml:space="preserve"> </w:t>
            </w:r>
          </w:p>
        </w:tc>
        <w:tc>
          <w:tcPr>
            <w:tcW w:w="992" w:type="dxa"/>
            <w:tcBorders>
              <w:top w:val="nil"/>
              <w:left w:val="nil"/>
              <w:bottom w:val="single" w:sz="8" w:space="0" w:color="auto"/>
              <w:right w:val="single" w:sz="8" w:space="0" w:color="auto"/>
            </w:tcBorders>
            <w:shd w:val="clear" w:color="000000" w:fill="FFFFFF"/>
            <w:noWrap/>
            <w:vAlign w:val="center"/>
            <w:hideMark/>
          </w:tcPr>
          <w:p w14:paraId="7AE9CD27"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10,000 </w:t>
            </w:r>
          </w:p>
        </w:tc>
        <w:tc>
          <w:tcPr>
            <w:tcW w:w="1115" w:type="dxa"/>
            <w:tcBorders>
              <w:top w:val="nil"/>
              <w:left w:val="nil"/>
              <w:bottom w:val="single" w:sz="8" w:space="0" w:color="auto"/>
              <w:right w:val="single" w:sz="8" w:space="0" w:color="auto"/>
            </w:tcBorders>
            <w:shd w:val="clear" w:color="000000" w:fill="FFFFFF"/>
            <w:noWrap/>
            <w:vAlign w:val="center"/>
            <w:hideMark/>
          </w:tcPr>
          <w:p w14:paraId="7670405C"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10,000 </w:t>
            </w:r>
          </w:p>
        </w:tc>
        <w:tc>
          <w:tcPr>
            <w:tcW w:w="1157" w:type="dxa"/>
            <w:tcBorders>
              <w:top w:val="nil"/>
              <w:left w:val="nil"/>
              <w:bottom w:val="single" w:sz="8" w:space="0" w:color="auto"/>
              <w:right w:val="single" w:sz="8" w:space="0" w:color="auto"/>
            </w:tcBorders>
            <w:shd w:val="clear" w:color="000000" w:fill="FFFFFF"/>
            <w:noWrap/>
            <w:vAlign w:val="center"/>
            <w:hideMark/>
          </w:tcPr>
          <w:p w14:paraId="4B61F88A" w14:textId="17E8EB87" w:rsidR="002E2C5F" w:rsidRPr="005265D7" w:rsidRDefault="006A1654"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50,000</w:t>
            </w:r>
            <w:r w:rsidR="002E2C5F" w:rsidRPr="005265D7">
              <w:rPr>
                <w:rFonts w:asciiTheme="majorHAnsi" w:eastAsia="Times New Roman" w:hAnsiTheme="majorHAnsi" w:cstheme="majorHAnsi"/>
                <w:color w:val="000000"/>
                <w:sz w:val="18"/>
                <w:szCs w:val="18"/>
                <w:highlight w:val="magenta"/>
                <w:lang w:val="fr-FR" w:eastAsia="fr-FR"/>
              </w:rPr>
              <w:t xml:space="preserve"> </w:t>
            </w:r>
          </w:p>
        </w:tc>
        <w:tc>
          <w:tcPr>
            <w:tcW w:w="1238" w:type="dxa"/>
            <w:tcBorders>
              <w:top w:val="nil"/>
              <w:left w:val="nil"/>
              <w:bottom w:val="single" w:sz="8" w:space="0" w:color="auto"/>
              <w:right w:val="single" w:sz="8" w:space="0" w:color="auto"/>
            </w:tcBorders>
            <w:shd w:val="clear" w:color="000000" w:fill="FFFFFF"/>
            <w:vAlign w:val="center"/>
            <w:hideMark/>
          </w:tcPr>
          <w:p w14:paraId="0888AE5D"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33</w:t>
            </w:r>
          </w:p>
        </w:tc>
      </w:tr>
      <w:tr w:rsidR="002E2C5F" w:rsidRPr="007631AE" w14:paraId="5E13196D"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53CB6762"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3D4A0A78"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48898274"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5E5E656B"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6665AC6F"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74200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6595141C" w14:textId="77777777" w:rsidR="002E2C5F" w:rsidRPr="008244FA" w:rsidRDefault="002E2C5F" w:rsidP="007631AE">
            <w:pPr>
              <w:jc w:val="both"/>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eastAsia="fr-FR"/>
              </w:rPr>
              <w:t xml:space="preserve"> Audio </w:t>
            </w:r>
            <w:proofErr w:type="spellStart"/>
            <w:r w:rsidRPr="008244FA">
              <w:rPr>
                <w:rFonts w:asciiTheme="majorHAnsi" w:eastAsia="Times New Roman" w:hAnsiTheme="majorHAnsi" w:cstheme="majorHAnsi"/>
                <w:color w:val="000000"/>
                <w:sz w:val="18"/>
                <w:szCs w:val="18"/>
                <w:lang w:eastAsia="fr-FR"/>
              </w:rPr>
              <w:t>Visual&amp;Print</w:t>
            </w:r>
            <w:proofErr w:type="spellEnd"/>
            <w:r w:rsidRPr="008244FA">
              <w:rPr>
                <w:rFonts w:asciiTheme="majorHAnsi" w:eastAsia="Times New Roman" w:hAnsiTheme="majorHAnsi" w:cstheme="majorHAnsi"/>
                <w:color w:val="000000"/>
                <w:sz w:val="18"/>
                <w:szCs w:val="18"/>
                <w:lang w:eastAsia="fr-FR"/>
              </w:rPr>
              <w:t xml:space="preserve"> Prod Costs </w:t>
            </w:r>
          </w:p>
        </w:tc>
        <w:tc>
          <w:tcPr>
            <w:tcW w:w="1047" w:type="dxa"/>
            <w:tcBorders>
              <w:top w:val="nil"/>
              <w:left w:val="nil"/>
              <w:bottom w:val="single" w:sz="8" w:space="0" w:color="auto"/>
              <w:right w:val="single" w:sz="8" w:space="0" w:color="auto"/>
            </w:tcBorders>
            <w:shd w:val="clear" w:color="auto" w:fill="auto"/>
            <w:noWrap/>
            <w:vAlign w:val="center"/>
            <w:hideMark/>
          </w:tcPr>
          <w:p w14:paraId="233164B1" w14:textId="56545DA0"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eastAsia="fr-FR"/>
              </w:rPr>
              <w:t xml:space="preserve">       </w:t>
            </w:r>
            <w:r w:rsidR="006A1654" w:rsidRPr="005265D7">
              <w:rPr>
                <w:rFonts w:asciiTheme="majorHAnsi" w:eastAsia="Times New Roman" w:hAnsiTheme="majorHAnsi" w:cstheme="majorHAnsi"/>
                <w:color w:val="000000"/>
                <w:sz w:val="18"/>
                <w:szCs w:val="18"/>
                <w:highlight w:val="magenta"/>
                <w:lang w:eastAsia="fr-FR"/>
              </w:rPr>
              <w:t>4</w:t>
            </w:r>
            <w:r w:rsidRPr="005265D7">
              <w:rPr>
                <w:rFonts w:asciiTheme="majorHAnsi" w:eastAsia="Times New Roman" w:hAnsiTheme="majorHAnsi" w:cstheme="majorHAnsi"/>
                <w:color w:val="000000"/>
                <w:sz w:val="18"/>
                <w:szCs w:val="18"/>
                <w:highlight w:val="magenta"/>
                <w:lang w:val="fr-FR" w:eastAsia="fr-FR"/>
              </w:rPr>
              <w:t xml:space="preserve">,000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38F0B112" w14:textId="66A1952C"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3</w:t>
            </w:r>
            <w:r w:rsidRPr="005265D7">
              <w:rPr>
                <w:rFonts w:asciiTheme="majorHAnsi" w:eastAsia="Times New Roman" w:hAnsiTheme="majorHAnsi" w:cstheme="majorHAnsi"/>
                <w:color w:val="000000"/>
                <w:sz w:val="18"/>
                <w:szCs w:val="18"/>
                <w:highlight w:val="magenta"/>
                <w:lang w:val="fr-FR" w:eastAsia="fr-FR"/>
              </w:rPr>
              <w:t xml:space="preserve">,000 </w:t>
            </w:r>
          </w:p>
        </w:tc>
        <w:tc>
          <w:tcPr>
            <w:tcW w:w="989" w:type="dxa"/>
            <w:tcBorders>
              <w:top w:val="nil"/>
              <w:left w:val="nil"/>
              <w:bottom w:val="single" w:sz="8" w:space="0" w:color="auto"/>
              <w:right w:val="single" w:sz="8" w:space="0" w:color="auto"/>
            </w:tcBorders>
            <w:shd w:val="clear" w:color="000000" w:fill="FFFFFF"/>
            <w:noWrap/>
            <w:vAlign w:val="center"/>
            <w:hideMark/>
          </w:tcPr>
          <w:p w14:paraId="04C5C00E"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10,000 </w:t>
            </w:r>
          </w:p>
        </w:tc>
        <w:tc>
          <w:tcPr>
            <w:tcW w:w="992" w:type="dxa"/>
            <w:tcBorders>
              <w:top w:val="nil"/>
              <w:left w:val="nil"/>
              <w:bottom w:val="single" w:sz="8" w:space="0" w:color="auto"/>
              <w:right w:val="single" w:sz="8" w:space="0" w:color="auto"/>
            </w:tcBorders>
            <w:shd w:val="clear" w:color="000000" w:fill="FFFFFF"/>
            <w:noWrap/>
            <w:vAlign w:val="center"/>
            <w:hideMark/>
          </w:tcPr>
          <w:p w14:paraId="31659BA0" w14:textId="2E538D8C"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7</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115" w:type="dxa"/>
            <w:tcBorders>
              <w:top w:val="nil"/>
              <w:left w:val="nil"/>
              <w:bottom w:val="single" w:sz="8" w:space="0" w:color="auto"/>
              <w:right w:val="single" w:sz="8" w:space="0" w:color="auto"/>
            </w:tcBorders>
            <w:shd w:val="clear" w:color="000000" w:fill="FFFFFF"/>
            <w:noWrap/>
            <w:vAlign w:val="center"/>
            <w:hideMark/>
          </w:tcPr>
          <w:p w14:paraId="221007FE"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10,000 </w:t>
            </w:r>
          </w:p>
        </w:tc>
        <w:tc>
          <w:tcPr>
            <w:tcW w:w="1157" w:type="dxa"/>
            <w:tcBorders>
              <w:top w:val="nil"/>
              <w:left w:val="nil"/>
              <w:bottom w:val="single" w:sz="8" w:space="0" w:color="auto"/>
              <w:right w:val="single" w:sz="8" w:space="0" w:color="auto"/>
            </w:tcBorders>
            <w:shd w:val="clear" w:color="000000" w:fill="FFFFFF"/>
            <w:noWrap/>
            <w:vAlign w:val="center"/>
            <w:hideMark/>
          </w:tcPr>
          <w:p w14:paraId="5C0F5DF5" w14:textId="366FE29F"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w:t>
            </w:r>
            <w:r w:rsidR="006A1654" w:rsidRPr="005265D7">
              <w:rPr>
                <w:rFonts w:asciiTheme="majorHAnsi" w:eastAsia="Times New Roman" w:hAnsiTheme="majorHAnsi" w:cstheme="majorHAnsi"/>
                <w:color w:val="000000"/>
                <w:sz w:val="18"/>
                <w:szCs w:val="18"/>
                <w:highlight w:val="magenta"/>
                <w:lang w:val="fr-FR" w:eastAsia="fr-FR"/>
              </w:rPr>
              <w:t>34</w:t>
            </w:r>
            <w:r w:rsidRPr="005265D7">
              <w:rPr>
                <w:rFonts w:asciiTheme="majorHAnsi" w:eastAsia="Times New Roman" w:hAnsiTheme="majorHAnsi" w:cstheme="majorHAnsi"/>
                <w:color w:val="000000"/>
                <w:sz w:val="18"/>
                <w:szCs w:val="18"/>
                <w:highlight w:val="magenta"/>
                <w:lang w:val="fr-FR" w:eastAsia="fr-FR"/>
              </w:rPr>
              <w:t xml:space="preserve">,000 </w:t>
            </w:r>
          </w:p>
        </w:tc>
        <w:tc>
          <w:tcPr>
            <w:tcW w:w="1238" w:type="dxa"/>
            <w:tcBorders>
              <w:top w:val="nil"/>
              <w:left w:val="nil"/>
              <w:bottom w:val="single" w:sz="8" w:space="0" w:color="auto"/>
              <w:right w:val="single" w:sz="8" w:space="0" w:color="auto"/>
            </w:tcBorders>
            <w:shd w:val="clear" w:color="000000" w:fill="FFFFFF"/>
            <w:vAlign w:val="center"/>
            <w:hideMark/>
          </w:tcPr>
          <w:p w14:paraId="5494732B"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34</w:t>
            </w:r>
          </w:p>
        </w:tc>
      </w:tr>
      <w:tr w:rsidR="002E2C5F" w:rsidRPr="007631AE" w14:paraId="7CC83C6F"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1DC35E84"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6B0DA15A"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1C82186E"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45EFE26B"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4" w:space="0" w:color="auto"/>
              <w:right w:val="single" w:sz="8" w:space="0" w:color="auto"/>
            </w:tcBorders>
            <w:shd w:val="clear" w:color="auto" w:fill="auto"/>
            <w:vAlign w:val="center"/>
            <w:hideMark/>
          </w:tcPr>
          <w:p w14:paraId="1ECDEE07"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75700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5D313D23"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Training, workshops and Confer </w:t>
            </w:r>
          </w:p>
        </w:tc>
        <w:tc>
          <w:tcPr>
            <w:tcW w:w="1047" w:type="dxa"/>
            <w:tcBorders>
              <w:top w:val="nil"/>
              <w:left w:val="nil"/>
              <w:bottom w:val="single" w:sz="8" w:space="0" w:color="auto"/>
              <w:right w:val="single" w:sz="8" w:space="0" w:color="auto"/>
            </w:tcBorders>
            <w:shd w:val="clear" w:color="auto" w:fill="auto"/>
            <w:noWrap/>
            <w:vAlign w:val="center"/>
            <w:hideMark/>
          </w:tcPr>
          <w:p w14:paraId="45034334" w14:textId="5F7B093E" w:rsidR="002E2C5F" w:rsidRPr="006F5817" w:rsidRDefault="002E2C5F" w:rsidP="007631AE">
            <w:pPr>
              <w:jc w:val="right"/>
              <w:rPr>
                <w:rFonts w:asciiTheme="majorHAnsi" w:eastAsia="Times New Roman" w:hAnsiTheme="majorHAnsi" w:cstheme="majorHAnsi"/>
                <w:color w:val="000000"/>
                <w:sz w:val="18"/>
                <w:szCs w:val="18"/>
                <w:highlight w:val="magenta"/>
                <w:lang w:val="fr-FR" w:eastAsia="fr-FR"/>
              </w:rPr>
            </w:pPr>
            <w:r w:rsidRPr="006F5817">
              <w:rPr>
                <w:rFonts w:asciiTheme="majorHAnsi" w:eastAsia="Times New Roman" w:hAnsiTheme="majorHAnsi" w:cstheme="majorHAnsi"/>
                <w:color w:val="000000"/>
                <w:sz w:val="18"/>
                <w:szCs w:val="18"/>
                <w:highlight w:val="magenta"/>
                <w:lang w:val="fr-FR" w:eastAsia="fr-FR"/>
              </w:rPr>
              <w:t xml:space="preserve">     1</w:t>
            </w:r>
            <w:r w:rsidR="006A1654" w:rsidRPr="006F5817">
              <w:rPr>
                <w:rFonts w:asciiTheme="majorHAnsi" w:eastAsia="Times New Roman" w:hAnsiTheme="majorHAnsi" w:cstheme="majorHAnsi"/>
                <w:color w:val="000000"/>
                <w:sz w:val="18"/>
                <w:szCs w:val="18"/>
                <w:highlight w:val="magenta"/>
                <w:lang w:val="fr-FR" w:eastAsia="fr-FR"/>
              </w:rPr>
              <w:t>2</w:t>
            </w:r>
            <w:r w:rsidRPr="006F5817">
              <w:rPr>
                <w:rFonts w:asciiTheme="majorHAnsi" w:eastAsia="Times New Roman" w:hAnsiTheme="majorHAnsi" w:cstheme="majorHAnsi"/>
                <w:color w:val="000000"/>
                <w:sz w:val="18"/>
                <w:szCs w:val="18"/>
                <w:highlight w:val="magenta"/>
                <w:lang w:val="fr-FR" w:eastAsia="fr-FR"/>
              </w:rPr>
              <w:t xml:space="preserve">,000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2935F36A" w14:textId="1B154294" w:rsidR="002E2C5F" w:rsidRPr="006F5817" w:rsidRDefault="002E2C5F" w:rsidP="007631AE">
            <w:pPr>
              <w:jc w:val="right"/>
              <w:rPr>
                <w:rFonts w:asciiTheme="majorHAnsi" w:eastAsia="Times New Roman" w:hAnsiTheme="majorHAnsi" w:cstheme="majorHAnsi"/>
                <w:color w:val="000000"/>
                <w:sz w:val="18"/>
                <w:szCs w:val="18"/>
                <w:highlight w:val="magenta"/>
                <w:lang w:val="fr-FR" w:eastAsia="fr-FR"/>
              </w:rPr>
            </w:pPr>
            <w:r w:rsidRPr="006F5817">
              <w:rPr>
                <w:rFonts w:asciiTheme="majorHAnsi" w:eastAsia="Times New Roman" w:hAnsiTheme="majorHAnsi" w:cstheme="majorHAnsi"/>
                <w:color w:val="000000"/>
                <w:sz w:val="18"/>
                <w:szCs w:val="18"/>
                <w:highlight w:val="magenta"/>
                <w:lang w:val="fr-FR" w:eastAsia="fr-FR"/>
              </w:rPr>
              <w:t xml:space="preserve">        </w:t>
            </w:r>
            <w:r w:rsidR="006A1654" w:rsidRPr="006F5817">
              <w:rPr>
                <w:rFonts w:asciiTheme="majorHAnsi" w:eastAsia="Times New Roman" w:hAnsiTheme="majorHAnsi" w:cstheme="majorHAnsi"/>
                <w:color w:val="000000"/>
                <w:sz w:val="18"/>
                <w:szCs w:val="18"/>
                <w:highlight w:val="magenta"/>
                <w:lang w:val="fr-FR" w:eastAsia="fr-FR"/>
              </w:rPr>
              <w:t>12,5</w:t>
            </w:r>
            <w:r w:rsidRPr="006F5817">
              <w:rPr>
                <w:rFonts w:asciiTheme="majorHAnsi" w:eastAsia="Times New Roman" w:hAnsiTheme="majorHAnsi" w:cstheme="majorHAnsi"/>
                <w:color w:val="000000"/>
                <w:sz w:val="18"/>
                <w:szCs w:val="18"/>
                <w:highlight w:val="magenta"/>
                <w:lang w:val="fr-FR" w:eastAsia="fr-FR"/>
              </w:rPr>
              <w:t xml:space="preserve">00 </w:t>
            </w:r>
          </w:p>
        </w:tc>
        <w:tc>
          <w:tcPr>
            <w:tcW w:w="989" w:type="dxa"/>
            <w:tcBorders>
              <w:top w:val="nil"/>
              <w:left w:val="nil"/>
              <w:bottom w:val="single" w:sz="8" w:space="0" w:color="auto"/>
              <w:right w:val="single" w:sz="8" w:space="0" w:color="auto"/>
            </w:tcBorders>
            <w:shd w:val="clear" w:color="000000" w:fill="FFFFFF"/>
            <w:noWrap/>
            <w:vAlign w:val="center"/>
            <w:hideMark/>
          </w:tcPr>
          <w:p w14:paraId="15C7F4F7" w14:textId="0B56BB65" w:rsidR="002E2C5F" w:rsidRPr="006F5817" w:rsidRDefault="002E2C5F" w:rsidP="007631AE">
            <w:pPr>
              <w:jc w:val="right"/>
              <w:rPr>
                <w:rFonts w:asciiTheme="majorHAnsi" w:eastAsia="Times New Roman" w:hAnsiTheme="majorHAnsi" w:cstheme="majorHAnsi"/>
                <w:color w:val="000000"/>
                <w:sz w:val="18"/>
                <w:szCs w:val="18"/>
                <w:highlight w:val="magenta"/>
                <w:lang w:val="fr-FR" w:eastAsia="fr-FR"/>
              </w:rPr>
            </w:pPr>
            <w:r w:rsidRPr="006F5817">
              <w:rPr>
                <w:rFonts w:asciiTheme="majorHAnsi" w:eastAsia="Times New Roman" w:hAnsiTheme="majorHAnsi" w:cstheme="majorHAnsi"/>
                <w:color w:val="000000"/>
                <w:sz w:val="18"/>
                <w:szCs w:val="18"/>
                <w:highlight w:val="magenta"/>
                <w:lang w:val="fr-FR" w:eastAsia="fr-FR"/>
              </w:rPr>
              <w:t xml:space="preserve">                               </w:t>
            </w:r>
            <w:r w:rsidR="006A1654" w:rsidRPr="006F5817">
              <w:rPr>
                <w:rFonts w:asciiTheme="majorHAnsi" w:eastAsia="Times New Roman" w:hAnsiTheme="majorHAnsi" w:cstheme="majorHAnsi"/>
                <w:color w:val="000000"/>
                <w:sz w:val="18"/>
                <w:szCs w:val="18"/>
                <w:highlight w:val="magenta"/>
                <w:lang w:val="fr-FR" w:eastAsia="fr-FR"/>
              </w:rPr>
              <w:t>12</w:t>
            </w:r>
            <w:r w:rsidRPr="006F5817">
              <w:rPr>
                <w:rFonts w:asciiTheme="majorHAnsi" w:eastAsia="Times New Roman" w:hAnsiTheme="majorHAnsi" w:cstheme="majorHAnsi"/>
                <w:color w:val="000000"/>
                <w:sz w:val="18"/>
                <w:szCs w:val="18"/>
                <w:highlight w:val="magenta"/>
                <w:lang w:val="fr-FR" w:eastAsia="fr-FR"/>
              </w:rPr>
              <w:t>,</w:t>
            </w:r>
            <w:r w:rsidR="006A1654" w:rsidRPr="006F5817">
              <w:rPr>
                <w:rFonts w:asciiTheme="majorHAnsi" w:eastAsia="Times New Roman" w:hAnsiTheme="majorHAnsi" w:cstheme="majorHAnsi"/>
                <w:color w:val="000000"/>
                <w:sz w:val="18"/>
                <w:szCs w:val="18"/>
                <w:highlight w:val="magenta"/>
                <w:lang w:val="fr-FR" w:eastAsia="fr-FR"/>
              </w:rPr>
              <w:t>5</w:t>
            </w:r>
            <w:r w:rsidRPr="006F5817">
              <w:rPr>
                <w:rFonts w:asciiTheme="majorHAnsi" w:eastAsia="Times New Roman" w:hAnsiTheme="majorHAnsi" w:cstheme="majorHAnsi"/>
                <w:color w:val="000000"/>
                <w:sz w:val="18"/>
                <w:szCs w:val="18"/>
                <w:highlight w:val="magenta"/>
                <w:lang w:val="fr-FR" w:eastAsia="fr-FR"/>
              </w:rPr>
              <w:t xml:space="preserve">00 </w:t>
            </w:r>
          </w:p>
        </w:tc>
        <w:tc>
          <w:tcPr>
            <w:tcW w:w="992" w:type="dxa"/>
            <w:tcBorders>
              <w:top w:val="nil"/>
              <w:left w:val="nil"/>
              <w:bottom w:val="single" w:sz="8" w:space="0" w:color="auto"/>
              <w:right w:val="single" w:sz="8" w:space="0" w:color="auto"/>
            </w:tcBorders>
            <w:shd w:val="clear" w:color="000000" w:fill="FFFFFF"/>
            <w:noWrap/>
            <w:vAlign w:val="center"/>
            <w:hideMark/>
          </w:tcPr>
          <w:p w14:paraId="330D57D6" w14:textId="10781387" w:rsidR="002E2C5F" w:rsidRPr="006F5817" w:rsidRDefault="002E2C5F" w:rsidP="007631AE">
            <w:pPr>
              <w:jc w:val="right"/>
              <w:rPr>
                <w:rFonts w:asciiTheme="majorHAnsi" w:eastAsia="Times New Roman" w:hAnsiTheme="majorHAnsi" w:cstheme="majorHAnsi"/>
                <w:color w:val="000000"/>
                <w:sz w:val="18"/>
                <w:szCs w:val="18"/>
                <w:highlight w:val="magenta"/>
                <w:lang w:val="fr-FR" w:eastAsia="fr-FR"/>
              </w:rPr>
            </w:pPr>
            <w:r w:rsidRPr="006F5817">
              <w:rPr>
                <w:rFonts w:asciiTheme="majorHAnsi" w:eastAsia="Times New Roman" w:hAnsiTheme="majorHAnsi" w:cstheme="majorHAnsi"/>
                <w:color w:val="000000"/>
                <w:sz w:val="18"/>
                <w:szCs w:val="18"/>
                <w:highlight w:val="magenta"/>
                <w:lang w:val="fr-FR" w:eastAsia="fr-FR"/>
              </w:rPr>
              <w:t xml:space="preserve">             </w:t>
            </w:r>
            <w:r w:rsidR="006A1654" w:rsidRPr="006F5817">
              <w:rPr>
                <w:rFonts w:asciiTheme="majorHAnsi" w:eastAsia="Times New Roman" w:hAnsiTheme="majorHAnsi" w:cstheme="majorHAnsi"/>
                <w:color w:val="000000"/>
                <w:sz w:val="18"/>
                <w:szCs w:val="18"/>
                <w:highlight w:val="magenta"/>
                <w:lang w:val="fr-FR" w:eastAsia="fr-FR"/>
              </w:rPr>
              <w:t>12</w:t>
            </w:r>
            <w:r w:rsidRPr="006F5817">
              <w:rPr>
                <w:rFonts w:asciiTheme="majorHAnsi" w:eastAsia="Times New Roman" w:hAnsiTheme="majorHAnsi" w:cstheme="majorHAnsi"/>
                <w:color w:val="000000"/>
                <w:sz w:val="18"/>
                <w:szCs w:val="18"/>
                <w:highlight w:val="magenta"/>
                <w:lang w:val="fr-FR" w:eastAsia="fr-FR"/>
              </w:rPr>
              <w:t xml:space="preserve">,000 </w:t>
            </w:r>
          </w:p>
        </w:tc>
        <w:tc>
          <w:tcPr>
            <w:tcW w:w="1115" w:type="dxa"/>
            <w:tcBorders>
              <w:top w:val="nil"/>
              <w:left w:val="nil"/>
              <w:bottom w:val="single" w:sz="8" w:space="0" w:color="auto"/>
              <w:right w:val="single" w:sz="8" w:space="0" w:color="auto"/>
            </w:tcBorders>
            <w:shd w:val="clear" w:color="000000" w:fill="FFFFFF"/>
            <w:noWrap/>
            <w:vAlign w:val="center"/>
            <w:hideMark/>
          </w:tcPr>
          <w:p w14:paraId="21EF77BF" w14:textId="40F9E2A0" w:rsidR="002E2C5F" w:rsidRPr="006F5817" w:rsidRDefault="002E2C5F" w:rsidP="007631AE">
            <w:pPr>
              <w:jc w:val="right"/>
              <w:rPr>
                <w:rFonts w:asciiTheme="majorHAnsi" w:eastAsia="Times New Roman" w:hAnsiTheme="majorHAnsi" w:cstheme="majorHAnsi"/>
                <w:color w:val="000000"/>
                <w:sz w:val="18"/>
                <w:szCs w:val="18"/>
                <w:highlight w:val="magenta"/>
                <w:lang w:val="fr-FR" w:eastAsia="fr-FR"/>
              </w:rPr>
            </w:pPr>
            <w:r w:rsidRPr="006F5817">
              <w:rPr>
                <w:rFonts w:asciiTheme="majorHAnsi" w:eastAsia="Times New Roman" w:hAnsiTheme="majorHAnsi" w:cstheme="majorHAnsi"/>
                <w:color w:val="000000"/>
                <w:sz w:val="18"/>
                <w:szCs w:val="18"/>
                <w:highlight w:val="magenta"/>
                <w:lang w:val="fr-FR" w:eastAsia="fr-FR"/>
              </w:rPr>
              <w:t xml:space="preserve">             </w:t>
            </w:r>
            <w:r w:rsidR="006A1654" w:rsidRPr="006F5817">
              <w:rPr>
                <w:rFonts w:asciiTheme="majorHAnsi" w:eastAsia="Times New Roman" w:hAnsiTheme="majorHAnsi" w:cstheme="majorHAnsi"/>
                <w:color w:val="000000"/>
                <w:sz w:val="18"/>
                <w:szCs w:val="18"/>
                <w:highlight w:val="magenta"/>
                <w:lang w:val="fr-FR" w:eastAsia="fr-FR"/>
              </w:rPr>
              <w:t>12</w:t>
            </w:r>
            <w:r w:rsidRPr="006F5817">
              <w:rPr>
                <w:rFonts w:asciiTheme="majorHAnsi" w:eastAsia="Times New Roman" w:hAnsiTheme="majorHAnsi" w:cstheme="majorHAnsi"/>
                <w:color w:val="000000"/>
                <w:sz w:val="18"/>
                <w:szCs w:val="18"/>
                <w:highlight w:val="magenta"/>
                <w:lang w:val="fr-FR" w:eastAsia="fr-FR"/>
              </w:rPr>
              <w:t xml:space="preserve">,000 </w:t>
            </w:r>
          </w:p>
        </w:tc>
        <w:tc>
          <w:tcPr>
            <w:tcW w:w="1157" w:type="dxa"/>
            <w:tcBorders>
              <w:top w:val="nil"/>
              <w:left w:val="nil"/>
              <w:bottom w:val="single" w:sz="8" w:space="0" w:color="auto"/>
              <w:right w:val="single" w:sz="8" w:space="0" w:color="auto"/>
            </w:tcBorders>
            <w:shd w:val="clear" w:color="000000" w:fill="FFFFFF"/>
            <w:noWrap/>
            <w:vAlign w:val="center"/>
            <w:hideMark/>
          </w:tcPr>
          <w:p w14:paraId="7AD1AD67" w14:textId="548E6A31" w:rsidR="002E2C5F" w:rsidRPr="006F5817" w:rsidRDefault="002E2C5F" w:rsidP="007631AE">
            <w:pPr>
              <w:jc w:val="right"/>
              <w:rPr>
                <w:rFonts w:asciiTheme="majorHAnsi" w:eastAsia="Times New Roman" w:hAnsiTheme="majorHAnsi" w:cstheme="majorHAnsi"/>
                <w:color w:val="000000"/>
                <w:sz w:val="18"/>
                <w:szCs w:val="18"/>
                <w:highlight w:val="magenta"/>
                <w:lang w:val="fr-FR" w:eastAsia="fr-FR"/>
              </w:rPr>
            </w:pPr>
            <w:r w:rsidRPr="006F5817">
              <w:rPr>
                <w:rFonts w:asciiTheme="majorHAnsi" w:eastAsia="Times New Roman" w:hAnsiTheme="majorHAnsi" w:cstheme="majorHAnsi"/>
                <w:color w:val="000000"/>
                <w:sz w:val="18"/>
                <w:szCs w:val="18"/>
                <w:highlight w:val="magenta"/>
                <w:lang w:val="fr-FR" w:eastAsia="fr-FR"/>
              </w:rPr>
              <w:t xml:space="preserve">          </w:t>
            </w:r>
            <w:r w:rsidR="006F5817" w:rsidRPr="006F5817">
              <w:rPr>
                <w:rFonts w:asciiTheme="majorHAnsi" w:eastAsia="Times New Roman" w:hAnsiTheme="majorHAnsi" w:cstheme="majorHAnsi"/>
                <w:color w:val="000000"/>
                <w:sz w:val="18"/>
                <w:szCs w:val="18"/>
                <w:highlight w:val="magenta"/>
                <w:lang w:val="fr-FR" w:eastAsia="fr-FR"/>
              </w:rPr>
              <w:t>61</w:t>
            </w:r>
            <w:r w:rsidRPr="006F5817">
              <w:rPr>
                <w:rFonts w:asciiTheme="majorHAnsi" w:eastAsia="Times New Roman" w:hAnsiTheme="majorHAnsi" w:cstheme="majorHAnsi"/>
                <w:color w:val="000000"/>
                <w:sz w:val="18"/>
                <w:szCs w:val="18"/>
                <w:highlight w:val="magenta"/>
                <w:lang w:val="fr-FR" w:eastAsia="fr-FR"/>
              </w:rPr>
              <w:t xml:space="preserve">,000 </w:t>
            </w:r>
          </w:p>
        </w:tc>
        <w:tc>
          <w:tcPr>
            <w:tcW w:w="1238" w:type="dxa"/>
            <w:tcBorders>
              <w:top w:val="nil"/>
              <w:left w:val="nil"/>
              <w:bottom w:val="single" w:sz="8" w:space="0" w:color="auto"/>
              <w:right w:val="single" w:sz="8" w:space="0" w:color="auto"/>
            </w:tcBorders>
            <w:shd w:val="clear" w:color="000000" w:fill="FFFFFF"/>
            <w:vAlign w:val="center"/>
            <w:hideMark/>
          </w:tcPr>
          <w:p w14:paraId="58F65282"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35</w:t>
            </w:r>
          </w:p>
        </w:tc>
      </w:tr>
      <w:tr w:rsidR="002E2C5F" w:rsidRPr="007631AE" w14:paraId="143DB0F8"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28C36E27"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6C65A382"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single" w:sz="8" w:space="0" w:color="000000"/>
              <w:right w:val="single" w:sz="8" w:space="0" w:color="auto"/>
            </w:tcBorders>
            <w:vAlign w:val="center"/>
            <w:hideMark/>
          </w:tcPr>
          <w:p w14:paraId="09AC1F28"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608" w:type="dxa"/>
            <w:gridSpan w:val="2"/>
            <w:vMerge/>
            <w:tcBorders>
              <w:top w:val="nil"/>
              <w:left w:val="single" w:sz="8" w:space="0" w:color="auto"/>
              <w:bottom w:val="single" w:sz="8" w:space="0" w:color="000000"/>
              <w:right w:val="single" w:sz="8" w:space="0" w:color="auto"/>
            </w:tcBorders>
            <w:vAlign w:val="center"/>
            <w:hideMark/>
          </w:tcPr>
          <w:p w14:paraId="2B340737"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992" w:type="dxa"/>
            <w:gridSpan w:val="2"/>
            <w:tcBorders>
              <w:top w:val="nil"/>
              <w:left w:val="nil"/>
              <w:bottom w:val="single" w:sz="8" w:space="0" w:color="auto"/>
              <w:right w:val="single" w:sz="8" w:space="0" w:color="auto"/>
            </w:tcBorders>
            <w:shd w:val="clear" w:color="auto" w:fill="auto"/>
            <w:vAlign w:val="center"/>
            <w:hideMark/>
          </w:tcPr>
          <w:p w14:paraId="06059FFA"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74500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20D6E8E1" w14:textId="77777777" w:rsidR="002E2C5F" w:rsidRPr="008244FA" w:rsidRDefault="002E2C5F" w:rsidP="007631AE">
            <w:pPr>
              <w:jc w:val="both"/>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w:t>
            </w:r>
            <w:proofErr w:type="spellStart"/>
            <w:r w:rsidRPr="008244FA">
              <w:rPr>
                <w:rFonts w:asciiTheme="majorHAnsi" w:eastAsia="Times New Roman" w:hAnsiTheme="majorHAnsi" w:cstheme="majorHAnsi"/>
                <w:color w:val="000000"/>
                <w:sz w:val="18"/>
                <w:szCs w:val="18"/>
                <w:lang w:val="fr-FR" w:eastAsia="fr-FR"/>
              </w:rPr>
              <w:t>Miscellaneous</w:t>
            </w:r>
            <w:proofErr w:type="spellEnd"/>
            <w:r w:rsidRPr="008244FA">
              <w:rPr>
                <w:rFonts w:asciiTheme="majorHAnsi" w:eastAsia="Times New Roman" w:hAnsiTheme="majorHAnsi" w:cstheme="majorHAnsi"/>
                <w:color w:val="000000"/>
                <w:sz w:val="18"/>
                <w:szCs w:val="18"/>
                <w:lang w:val="fr-FR" w:eastAsia="fr-FR"/>
              </w:rPr>
              <w:t xml:space="preserve"> </w:t>
            </w:r>
            <w:proofErr w:type="spellStart"/>
            <w:r w:rsidRPr="008244FA">
              <w:rPr>
                <w:rFonts w:asciiTheme="majorHAnsi" w:eastAsia="Times New Roman" w:hAnsiTheme="majorHAnsi" w:cstheme="majorHAnsi"/>
                <w:color w:val="000000"/>
                <w:sz w:val="18"/>
                <w:szCs w:val="18"/>
                <w:lang w:val="fr-FR" w:eastAsia="fr-FR"/>
              </w:rPr>
              <w:t>Expenses</w:t>
            </w:r>
            <w:proofErr w:type="spellEnd"/>
            <w:r w:rsidRPr="008244FA">
              <w:rPr>
                <w:rFonts w:asciiTheme="majorHAnsi" w:eastAsia="Times New Roman" w:hAnsiTheme="majorHAnsi" w:cstheme="majorHAnsi"/>
                <w:color w:val="000000"/>
                <w:sz w:val="18"/>
                <w:szCs w:val="18"/>
                <w:lang w:val="fr-FR" w:eastAsia="fr-FR"/>
              </w:rPr>
              <w:t xml:space="preserve"> </w:t>
            </w:r>
          </w:p>
        </w:tc>
        <w:tc>
          <w:tcPr>
            <w:tcW w:w="1047" w:type="dxa"/>
            <w:tcBorders>
              <w:top w:val="nil"/>
              <w:left w:val="nil"/>
              <w:bottom w:val="single" w:sz="8" w:space="0" w:color="auto"/>
              <w:right w:val="single" w:sz="8" w:space="0" w:color="auto"/>
            </w:tcBorders>
            <w:shd w:val="clear" w:color="auto" w:fill="auto"/>
            <w:noWrap/>
            <w:vAlign w:val="center"/>
            <w:hideMark/>
          </w:tcPr>
          <w:p w14:paraId="6FB0B5E9"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3,000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693F91FF" w14:textId="657EDB15"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3,0</w:t>
            </w:r>
            <w:r w:rsidR="006A1654" w:rsidRPr="005265D7">
              <w:rPr>
                <w:rFonts w:asciiTheme="majorHAnsi" w:eastAsia="Times New Roman" w:hAnsiTheme="majorHAnsi" w:cstheme="majorHAnsi"/>
                <w:color w:val="000000"/>
                <w:sz w:val="18"/>
                <w:szCs w:val="18"/>
                <w:highlight w:val="magenta"/>
                <w:lang w:val="fr-FR" w:eastAsia="fr-FR"/>
              </w:rPr>
              <w:t>67</w:t>
            </w:r>
            <w:r w:rsidRPr="005265D7">
              <w:rPr>
                <w:rFonts w:asciiTheme="majorHAnsi" w:eastAsia="Times New Roman" w:hAnsiTheme="majorHAnsi" w:cstheme="majorHAnsi"/>
                <w:color w:val="000000"/>
                <w:sz w:val="18"/>
                <w:szCs w:val="18"/>
                <w:highlight w:val="magenta"/>
                <w:lang w:val="fr-FR" w:eastAsia="fr-FR"/>
              </w:rPr>
              <w:t xml:space="preserve"> </w:t>
            </w:r>
          </w:p>
        </w:tc>
        <w:tc>
          <w:tcPr>
            <w:tcW w:w="989" w:type="dxa"/>
            <w:tcBorders>
              <w:top w:val="nil"/>
              <w:left w:val="nil"/>
              <w:bottom w:val="single" w:sz="8" w:space="0" w:color="auto"/>
              <w:right w:val="single" w:sz="8" w:space="0" w:color="auto"/>
            </w:tcBorders>
            <w:shd w:val="clear" w:color="000000" w:fill="FFFFFF"/>
            <w:noWrap/>
            <w:vAlign w:val="center"/>
            <w:hideMark/>
          </w:tcPr>
          <w:p w14:paraId="46D0C245"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3,000 </w:t>
            </w:r>
          </w:p>
        </w:tc>
        <w:tc>
          <w:tcPr>
            <w:tcW w:w="992" w:type="dxa"/>
            <w:tcBorders>
              <w:top w:val="nil"/>
              <w:left w:val="nil"/>
              <w:bottom w:val="single" w:sz="8" w:space="0" w:color="auto"/>
              <w:right w:val="single" w:sz="8" w:space="0" w:color="auto"/>
            </w:tcBorders>
            <w:shd w:val="clear" w:color="000000" w:fill="FFFFFF"/>
            <w:noWrap/>
            <w:vAlign w:val="center"/>
            <w:hideMark/>
          </w:tcPr>
          <w:p w14:paraId="51B9BAB7"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3,000 </w:t>
            </w:r>
          </w:p>
        </w:tc>
        <w:tc>
          <w:tcPr>
            <w:tcW w:w="1115" w:type="dxa"/>
            <w:tcBorders>
              <w:top w:val="nil"/>
              <w:left w:val="nil"/>
              <w:bottom w:val="single" w:sz="8" w:space="0" w:color="auto"/>
              <w:right w:val="single" w:sz="8" w:space="0" w:color="auto"/>
            </w:tcBorders>
            <w:shd w:val="clear" w:color="000000" w:fill="FFFFFF"/>
            <w:noWrap/>
            <w:vAlign w:val="center"/>
            <w:hideMark/>
          </w:tcPr>
          <w:p w14:paraId="5D3CDCAA" w14:textId="77777777"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3,000 </w:t>
            </w:r>
          </w:p>
        </w:tc>
        <w:tc>
          <w:tcPr>
            <w:tcW w:w="1157" w:type="dxa"/>
            <w:tcBorders>
              <w:top w:val="nil"/>
              <w:left w:val="nil"/>
              <w:bottom w:val="single" w:sz="8" w:space="0" w:color="auto"/>
              <w:right w:val="single" w:sz="8" w:space="0" w:color="auto"/>
            </w:tcBorders>
            <w:shd w:val="clear" w:color="000000" w:fill="FFFFFF"/>
            <w:noWrap/>
            <w:vAlign w:val="center"/>
            <w:hideMark/>
          </w:tcPr>
          <w:p w14:paraId="02EA4BF7" w14:textId="6DE00CE6" w:rsidR="002E2C5F" w:rsidRPr="005265D7" w:rsidRDefault="002E2C5F" w:rsidP="007631AE">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 xml:space="preserve">            15,0</w:t>
            </w:r>
            <w:r w:rsidR="006A1654" w:rsidRPr="005265D7">
              <w:rPr>
                <w:rFonts w:asciiTheme="majorHAnsi" w:eastAsia="Times New Roman" w:hAnsiTheme="majorHAnsi" w:cstheme="majorHAnsi"/>
                <w:color w:val="000000"/>
                <w:sz w:val="18"/>
                <w:szCs w:val="18"/>
                <w:highlight w:val="magenta"/>
                <w:lang w:val="fr-FR" w:eastAsia="fr-FR"/>
              </w:rPr>
              <w:t>67</w:t>
            </w:r>
            <w:r w:rsidRPr="005265D7">
              <w:rPr>
                <w:rFonts w:asciiTheme="majorHAnsi" w:eastAsia="Times New Roman" w:hAnsiTheme="majorHAnsi" w:cstheme="majorHAnsi"/>
                <w:color w:val="000000"/>
                <w:sz w:val="18"/>
                <w:szCs w:val="18"/>
                <w:highlight w:val="magenta"/>
                <w:lang w:val="fr-FR" w:eastAsia="fr-FR"/>
              </w:rPr>
              <w:t xml:space="preserve"> </w:t>
            </w:r>
          </w:p>
        </w:tc>
        <w:tc>
          <w:tcPr>
            <w:tcW w:w="1238" w:type="dxa"/>
            <w:tcBorders>
              <w:top w:val="nil"/>
              <w:left w:val="nil"/>
              <w:bottom w:val="single" w:sz="8" w:space="0" w:color="auto"/>
              <w:right w:val="single" w:sz="8" w:space="0" w:color="auto"/>
            </w:tcBorders>
            <w:shd w:val="clear" w:color="000000" w:fill="FFFFFF"/>
            <w:vAlign w:val="center"/>
            <w:hideMark/>
          </w:tcPr>
          <w:p w14:paraId="7170ECEA" w14:textId="77777777" w:rsidR="002E2C5F" w:rsidRPr="007631AE" w:rsidRDefault="002E2C5F" w:rsidP="007631AE">
            <w:pPr>
              <w:jc w:val="right"/>
              <w:rPr>
                <w:rFonts w:ascii="Calibri" w:eastAsia="Times New Roman" w:hAnsi="Calibri" w:cs="Calibri"/>
                <w:color w:val="000000"/>
                <w:sz w:val="20"/>
                <w:szCs w:val="20"/>
                <w:lang w:val="fr-FR" w:eastAsia="fr-FR"/>
              </w:rPr>
            </w:pPr>
            <w:r w:rsidRPr="007631AE">
              <w:rPr>
                <w:rFonts w:ascii="Calibri" w:eastAsia="Times New Roman" w:hAnsi="Calibri" w:cs="Calibri"/>
                <w:color w:val="000000"/>
                <w:sz w:val="20"/>
                <w:szCs w:val="20"/>
                <w:lang w:val="fr-FR" w:eastAsia="fr-FR"/>
              </w:rPr>
              <w:t>36</w:t>
            </w:r>
          </w:p>
        </w:tc>
      </w:tr>
      <w:tr w:rsidR="002E2C5F" w:rsidRPr="007631AE" w14:paraId="6BD079AD" w14:textId="77777777" w:rsidTr="002E2C5F">
        <w:trPr>
          <w:trHeight w:val="315"/>
        </w:trPr>
        <w:tc>
          <w:tcPr>
            <w:tcW w:w="2111" w:type="dxa"/>
            <w:vMerge/>
            <w:tcBorders>
              <w:top w:val="nil"/>
              <w:left w:val="single" w:sz="8" w:space="0" w:color="auto"/>
              <w:bottom w:val="nil"/>
              <w:right w:val="single" w:sz="8" w:space="0" w:color="auto"/>
            </w:tcBorders>
            <w:vAlign w:val="center"/>
            <w:hideMark/>
          </w:tcPr>
          <w:p w14:paraId="1DBACA20"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single" w:sz="8" w:space="0" w:color="auto"/>
              <w:bottom w:val="single" w:sz="8" w:space="0" w:color="000000"/>
              <w:right w:val="single" w:sz="8" w:space="0" w:color="auto"/>
            </w:tcBorders>
            <w:vAlign w:val="center"/>
            <w:hideMark/>
          </w:tcPr>
          <w:p w14:paraId="21E8F1A9"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4464" w:type="dxa"/>
            <w:gridSpan w:val="8"/>
            <w:tcBorders>
              <w:top w:val="single" w:sz="8" w:space="0" w:color="auto"/>
              <w:left w:val="nil"/>
              <w:bottom w:val="single" w:sz="8" w:space="0" w:color="auto"/>
              <w:right w:val="single" w:sz="4" w:space="0" w:color="auto"/>
            </w:tcBorders>
            <w:shd w:val="clear" w:color="000000" w:fill="C0C0C0"/>
            <w:noWrap/>
            <w:vAlign w:val="center"/>
            <w:hideMark/>
          </w:tcPr>
          <w:p w14:paraId="008BB78A" w14:textId="6E171CE5" w:rsidR="002E2C5F" w:rsidRPr="008244FA" w:rsidRDefault="002E2C5F" w:rsidP="008C3093">
            <w:pPr>
              <w:jc w:val="right"/>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 </w:t>
            </w:r>
            <w:r w:rsidR="008C3093">
              <w:rPr>
                <w:rFonts w:asciiTheme="majorHAnsi" w:eastAsia="Times New Roman" w:hAnsiTheme="majorHAnsi" w:cstheme="majorHAnsi"/>
                <w:b/>
                <w:bCs/>
                <w:color w:val="000000"/>
                <w:sz w:val="18"/>
                <w:szCs w:val="18"/>
                <w:lang w:val="fr-FR" w:eastAsia="fr-FR"/>
              </w:rPr>
              <w:t xml:space="preserve">Subtotal </w:t>
            </w:r>
            <w:proofErr w:type="spellStart"/>
            <w:r w:rsidR="008C3093">
              <w:rPr>
                <w:rFonts w:asciiTheme="majorHAnsi" w:eastAsia="Times New Roman" w:hAnsiTheme="majorHAnsi" w:cstheme="majorHAnsi"/>
                <w:b/>
                <w:bCs/>
                <w:color w:val="000000"/>
                <w:sz w:val="18"/>
                <w:szCs w:val="18"/>
                <w:lang w:val="fr-FR" w:eastAsia="fr-FR"/>
              </w:rPr>
              <w:t>Outcome</w:t>
            </w:r>
            <w:proofErr w:type="spellEnd"/>
            <w:r w:rsidR="008C3093">
              <w:rPr>
                <w:rFonts w:asciiTheme="majorHAnsi" w:eastAsia="Times New Roman" w:hAnsiTheme="majorHAnsi" w:cstheme="majorHAnsi"/>
                <w:b/>
                <w:bCs/>
                <w:color w:val="000000"/>
                <w:sz w:val="18"/>
                <w:szCs w:val="18"/>
                <w:lang w:val="fr-FR" w:eastAsia="fr-FR"/>
              </w:rPr>
              <w:t xml:space="preserve"> 3</w:t>
            </w:r>
          </w:p>
        </w:tc>
        <w:tc>
          <w:tcPr>
            <w:tcW w:w="1047" w:type="dxa"/>
            <w:tcBorders>
              <w:top w:val="single" w:sz="8" w:space="0" w:color="auto"/>
              <w:left w:val="single" w:sz="4" w:space="0" w:color="auto"/>
              <w:bottom w:val="single" w:sz="8" w:space="0" w:color="auto"/>
              <w:right w:val="single" w:sz="4" w:space="0" w:color="auto"/>
            </w:tcBorders>
            <w:shd w:val="clear" w:color="000000" w:fill="C0C0C0"/>
            <w:vAlign w:val="center"/>
          </w:tcPr>
          <w:p w14:paraId="6CBB1717" w14:textId="7A192704" w:rsidR="002E2C5F" w:rsidRPr="005265D7" w:rsidRDefault="002E2C5F" w:rsidP="002E2C5F">
            <w:pPr>
              <w:jc w:val="right"/>
              <w:rPr>
                <w:rFonts w:asciiTheme="majorHAnsi" w:eastAsia="Times New Roman" w:hAnsiTheme="majorHAnsi" w:cstheme="majorHAnsi"/>
                <w:b/>
                <w:bCs/>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2</w:t>
            </w:r>
            <w:r w:rsidR="006A1654" w:rsidRPr="005265D7">
              <w:rPr>
                <w:rFonts w:asciiTheme="majorHAnsi" w:eastAsia="Times New Roman" w:hAnsiTheme="majorHAnsi" w:cstheme="majorHAnsi"/>
                <w:color w:val="000000"/>
                <w:sz w:val="18"/>
                <w:szCs w:val="18"/>
                <w:highlight w:val="magenta"/>
                <w:lang w:val="fr-FR" w:eastAsia="fr-FR"/>
              </w:rPr>
              <w:t>50</w:t>
            </w:r>
            <w:r w:rsidRPr="005265D7">
              <w:rPr>
                <w:rFonts w:asciiTheme="majorHAnsi" w:eastAsia="Times New Roman" w:hAnsiTheme="majorHAnsi" w:cstheme="majorHAnsi"/>
                <w:color w:val="000000"/>
                <w:sz w:val="18"/>
                <w:szCs w:val="18"/>
                <w:highlight w:val="magenta"/>
                <w:lang w:val="fr-FR" w:eastAsia="fr-FR"/>
              </w:rPr>
              <w:t>,</w:t>
            </w:r>
            <w:r w:rsidR="006A1654" w:rsidRPr="005265D7">
              <w:rPr>
                <w:rFonts w:asciiTheme="majorHAnsi" w:eastAsia="Times New Roman" w:hAnsiTheme="majorHAnsi" w:cstheme="majorHAnsi"/>
                <w:color w:val="000000"/>
                <w:sz w:val="18"/>
                <w:szCs w:val="18"/>
                <w:highlight w:val="magenta"/>
                <w:lang w:val="fr-FR" w:eastAsia="fr-FR"/>
              </w:rPr>
              <w:t>840</w:t>
            </w:r>
          </w:p>
        </w:tc>
        <w:tc>
          <w:tcPr>
            <w:tcW w:w="975" w:type="dxa"/>
            <w:gridSpan w:val="2"/>
            <w:tcBorders>
              <w:top w:val="nil"/>
              <w:left w:val="single" w:sz="4" w:space="0" w:color="auto"/>
              <w:bottom w:val="single" w:sz="8" w:space="0" w:color="auto"/>
              <w:right w:val="single" w:sz="8" w:space="0" w:color="auto"/>
            </w:tcBorders>
            <w:shd w:val="clear" w:color="000000" w:fill="C0C0C0"/>
            <w:noWrap/>
            <w:vAlign w:val="center"/>
            <w:hideMark/>
          </w:tcPr>
          <w:p w14:paraId="0B0CE621" w14:textId="60CA65D2" w:rsidR="002E2C5F" w:rsidRPr="005265D7" w:rsidRDefault="006A1654" w:rsidP="002E2C5F">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227,907</w:t>
            </w:r>
          </w:p>
        </w:tc>
        <w:tc>
          <w:tcPr>
            <w:tcW w:w="989" w:type="dxa"/>
            <w:tcBorders>
              <w:top w:val="nil"/>
              <w:left w:val="nil"/>
              <w:bottom w:val="single" w:sz="8" w:space="0" w:color="auto"/>
              <w:right w:val="single" w:sz="8" w:space="0" w:color="auto"/>
            </w:tcBorders>
            <w:shd w:val="clear" w:color="000000" w:fill="C0C0C0"/>
            <w:noWrap/>
            <w:vAlign w:val="center"/>
            <w:hideMark/>
          </w:tcPr>
          <w:p w14:paraId="08E52DED" w14:textId="534B431E" w:rsidR="002E2C5F" w:rsidRPr="005265D7" w:rsidRDefault="006A1654" w:rsidP="002E2C5F">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297,840</w:t>
            </w:r>
          </w:p>
        </w:tc>
        <w:tc>
          <w:tcPr>
            <w:tcW w:w="992" w:type="dxa"/>
            <w:tcBorders>
              <w:top w:val="nil"/>
              <w:left w:val="nil"/>
              <w:bottom w:val="single" w:sz="8" w:space="0" w:color="auto"/>
              <w:right w:val="single" w:sz="8" w:space="0" w:color="auto"/>
            </w:tcBorders>
            <w:shd w:val="clear" w:color="000000" w:fill="C0C0C0"/>
            <w:noWrap/>
            <w:vAlign w:val="center"/>
            <w:hideMark/>
          </w:tcPr>
          <w:p w14:paraId="5B1F82F9" w14:textId="57989C21" w:rsidR="002E2C5F" w:rsidRPr="005265D7" w:rsidRDefault="006A1654" w:rsidP="002E2C5F">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247,690</w:t>
            </w:r>
          </w:p>
        </w:tc>
        <w:tc>
          <w:tcPr>
            <w:tcW w:w="1115" w:type="dxa"/>
            <w:tcBorders>
              <w:top w:val="nil"/>
              <w:left w:val="nil"/>
              <w:bottom w:val="single" w:sz="8" w:space="0" w:color="auto"/>
              <w:right w:val="single" w:sz="8" w:space="0" w:color="auto"/>
            </w:tcBorders>
            <w:shd w:val="clear" w:color="000000" w:fill="C0C0C0"/>
            <w:noWrap/>
            <w:vAlign w:val="center"/>
            <w:hideMark/>
          </w:tcPr>
          <w:p w14:paraId="62F0708C" w14:textId="5E15E4F5" w:rsidR="002E2C5F" w:rsidRPr="005265D7" w:rsidRDefault="006A1654" w:rsidP="002E2C5F">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287,340</w:t>
            </w:r>
          </w:p>
        </w:tc>
        <w:tc>
          <w:tcPr>
            <w:tcW w:w="1157" w:type="dxa"/>
            <w:tcBorders>
              <w:top w:val="nil"/>
              <w:left w:val="nil"/>
              <w:bottom w:val="single" w:sz="8" w:space="0" w:color="auto"/>
              <w:right w:val="single" w:sz="8" w:space="0" w:color="auto"/>
            </w:tcBorders>
            <w:shd w:val="clear" w:color="000000" w:fill="C0C0C0"/>
            <w:noWrap/>
            <w:vAlign w:val="center"/>
            <w:hideMark/>
          </w:tcPr>
          <w:p w14:paraId="3D1A842D" w14:textId="7D8DF311" w:rsidR="002E2C5F" w:rsidRPr="005265D7" w:rsidRDefault="002E2C5F" w:rsidP="002E2C5F">
            <w:pPr>
              <w:jc w:val="right"/>
              <w:rPr>
                <w:rFonts w:asciiTheme="majorHAnsi" w:eastAsia="Times New Roman" w:hAnsiTheme="majorHAnsi" w:cstheme="majorHAnsi"/>
                <w:color w:val="000000"/>
                <w:sz w:val="18"/>
                <w:szCs w:val="18"/>
                <w:highlight w:val="magenta"/>
                <w:lang w:val="fr-FR" w:eastAsia="fr-FR"/>
              </w:rPr>
            </w:pPr>
            <w:r w:rsidRPr="005265D7">
              <w:rPr>
                <w:rFonts w:asciiTheme="majorHAnsi" w:eastAsia="Times New Roman" w:hAnsiTheme="majorHAnsi" w:cstheme="majorHAnsi"/>
                <w:color w:val="000000"/>
                <w:sz w:val="18"/>
                <w:szCs w:val="18"/>
                <w:highlight w:val="magenta"/>
                <w:lang w:val="fr-FR" w:eastAsia="fr-FR"/>
              </w:rPr>
              <w:t>1,3</w:t>
            </w:r>
            <w:r w:rsidR="006A1654" w:rsidRPr="005265D7">
              <w:rPr>
                <w:rFonts w:asciiTheme="majorHAnsi" w:eastAsia="Times New Roman" w:hAnsiTheme="majorHAnsi" w:cstheme="majorHAnsi"/>
                <w:color w:val="000000"/>
                <w:sz w:val="18"/>
                <w:szCs w:val="18"/>
                <w:highlight w:val="magenta"/>
                <w:lang w:val="fr-FR" w:eastAsia="fr-FR"/>
              </w:rPr>
              <w:t>1</w:t>
            </w:r>
            <w:r w:rsidRPr="005265D7">
              <w:rPr>
                <w:rFonts w:asciiTheme="majorHAnsi" w:eastAsia="Times New Roman" w:hAnsiTheme="majorHAnsi" w:cstheme="majorHAnsi"/>
                <w:color w:val="000000"/>
                <w:sz w:val="18"/>
                <w:szCs w:val="18"/>
                <w:highlight w:val="magenta"/>
                <w:lang w:val="fr-FR" w:eastAsia="fr-FR"/>
              </w:rPr>
              <w:t>1,617</w:t>
            </w:r>
          </w:p>
        </w:tc>
        <w:tc>
          <w:tcPr>
            <w:tcW w:w="1238" w:type="dxa"/>
            <w:tcBorders>
              <w:top w:val="nil"/>
              <w:left w:val="nil"/>
              <w:bottom w:val="single" w:sz="8" w:space="0" w:color="auto"/>
              <w:right w:val="single" w:sz="8" w:space="0" w:color="auto"/>
            </w:tcBorders>
            <w:shd w:val="clear" w:color="000000" w:fill="C0C0C0"/>
            <w:noWrap/>
            <w:vAlign w:val="center"/>
            <w:hideMark/>
          </w:tcPr>
          <w:p w14:paraId="3D4D799B" w14:textId="7D700269" w:rsidR="002E2C5F" w:rsidRPr="008244FA" w:rsidRDefault="002E2C5F" w:rsidP="007631AE">
            <w:pPr>
              <w:jc w:val="right"/>
              <w:rPr>
                <w:rFonts w:asciiTheme="majorHAnsi" w:eastAsia="Times New Roman" w:hAnsiTheme="majorHAnsi" w:cstheme="majorHAnsi"/>
                <w:color w:val="000000"/>
                <w:sz w:val="18"/>
                <w:szCs w:val="18"/>
                <w:lang w:val="fr-FR" w:eastAsia="fr-FR"/>
              </w:rPr>
            </w:pPr>
          </w:p>
        </w:tc>
      </w:tr>
      <w:tr w:rsidR="002E2C5F" w:rsidRPr="007631AE" w14:paraId="04841940" w14:textId="77777777" w:rsidTr="002E2C5F">
        <w:trPr>
          <w:trHeight w:val="315"/>
        </w:trPr>
        <w:tc>
          <w:tcPr>
            <w:tcW w:w="211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D8C641"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Project Management </w:t>
            </w:r>
            <w:proofErr w:type="spellStart"/>
            <w:r w:rsidRPr="008244FA">
              <w:rPr>
                <w:rFonts w:asciiTheme="majorHAnsi" w:eastAsia="Times New Roman" w:hAnsiTheme="majorHAnsi" w:cstheme="majorHAnsi"/>
                <w:color w:val="000000"/>
                <w:sz w:val="18"/>
                <w:szCs w:val="18"/>
                <w:lang w:val="fr-FR" w:eastAsia="fr-FR"/>
              </w:rPr>
              <w:t>Costs</w:t>
            </w:r>
            <w:proofErr w:type="spellEnd"/>
          </w:p>
        </w:tc>
        <w:tc>
          <w:tcPr>
            <w:tcW w:w="1189" w:type="dxa"/>
            <w:vMerge w:val="restart"/>
            <w:tcBorders>
              <w:top w:val="nil"/>
              <w:left w:val="nil"/>
              <w:bottom w:val="single" w:sz="8" w:space="0" w:color="000000"/>
              <w:right w:val="single" w:sz="8" w:space="0" w:color="auto"/>
            </w:tcBorders>
            <w:shd w:val="clear" w:color="auto" w:fill="auto"/>
            <w:vAlign w:val="center"/>
            <w:hideMark/>
          </w:tcPr>
          <w:p w14:paraId="123A6E61"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UNDP</w:t>
            </w:r>
          </w:p>
        </w:tc>
        <w:tc>
          <w:tcPr>
            <w:tcW w:w="761" w:type="dxa"/>
            <w:vMerge w:val="restart"/>
            <w:tcBorders>
              <w:top w:val="nil"/>
              <w:left w:val="single" w:sz="8" w:space="0" w:color="auto"/>
              <w:bottom w:val="nil"/>
              <w:right w:val="single" w:sz="8" w:space="0" w:color="auto"/>
            </w:tcBorders>
            <w:shd w:val="clear" w:color="auto" w:fill="auto"/>
            <w:vAlign w:val="center"/>
            <w:hideMark/>
          </w:tcPr>
          <w:p w14:paraId="032292A2" w14:textId="77777777" w:rsidR="002E2C5F" w:rsidRPr="008244FA" w:rsidRDefault="002E2C5F" w:rsidP="007631AE">
            <w:pPr>
              <w:jc w:val="cente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62000</w:t>
            </w:r>
          </w:p>
        </w:tc>
        <w:tc>
          <w:tcPr>
            <w:tcW w:w="608" w:type="dxa"/>
            <w:gridSpan w:val="2"/>
            <w:vMerge w:val="restart"/>
            <w:tcBorders>
              <w:top w:val="nil"/>
              <w:left w:val="single" w:sz="8" w:space="0" w:color="auto"/>
              <w:bottom w:val="nil"/>
              <w:right w:val="single" w:sz="8" w:space="0" w:color="auto"/>
            </w:tcBorders>
            <w:shd w:val="clear" w:color="000000" w:fill="FFFFFF"/>
            <w:vAlign w:val="center"/>
            <w:hideMark/>
          </w:tcPr>
          <w:p w14:paraId="605FF869" w14:textId="77777777" w:rsidR="002E2C5F" w:rsidRPr="008244FA" w:rsidRDefault="002E2C5F" w:rsidP="007631AE">
            <w:pPr>
              <w:jc w:val="cente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GEFTF</w:t>
            </w:r>
          </w:p>
        </w:tc>
        <w:tc>
          <w:tcPr>
            <w:tcW w:w="992" w:type="dxa"/>
            <w:gridSpan w:val="2"/>
            <w:tcBorders>
              <w:top w:val="nil"/>
              <w:left w:val="nil"/>
              <w:bottom w:val="single" w:sz="4" w:space="0" w:color="auto"/>
              <w:right w:val="single" w:sz="8" w:space="0" w:color="auto"/>
            </w:tcBorders>
            <w:shd w:val="clear" w:color="000000" w:fill="FFFFFF"/>
            <w:vAlign w:val="center"/>
            <w:hideMark/>
          </w:tcPr>
          <w:p w14:paraId="5CC9D0C0" w14:textId="40DBBCA2" w:rsidR="002E2C5F" w:rsidRPr="008244FA" w:rsidRDefault="002E2C5F" w:rsidP="007631AE">
            <w:pPr>
              <w:jc w:val="center"/>
              <w:rPr>
                <w:rFonts w:asciiTheme="majorHAnsi" w:eastAsia="Times New Roman" w:hAnsiTheme="majorHAnsi" w:cstheme="majorHAnsi"/>
                <w:sz w:val="18"/>
                <w:szCs w:val="18"/>
                <w:lang w:val="fr-FR" w:eastAsia="fr-FR"/>
              </w:rPr>
            </w:pPr>
            <w:r w:rsidRPr="009B7ED8">
              <w:rPr>
                <w:rFonts w:asciiTheme="majorHAnsi" w:eastAsia="Times New Roman" w:hAnsiTheme="majorHAnsi" w:cstheme="majorHAnsi"/>
                <w:color w:val="000000" w:themeColor="text1"/>
                <w:sz w:val="18"/>
                <w:szCs w:val="18"/>
                <w:highlight w:val="magenta"/>
                <w:lang w:val="fr-FR" w:eastAsia="fr-FR"/>
              </w:rPr>
              <w:t>7459</w:t>
            </w:r>
            <w:r w:rsidR="009F5964" w:rsidRPr="009B7ED8">
              <w:rPr>
                <w:rFonts w:asciiTheme="majorHAnsi" w:eastAsia="Times New Roman" w:hAnsiTheme="majorHAnsi" w:cstheme="majorHAnsi"/>
                <w:color w:val="000000" w:themeColor="text1"/>
                <w:sz w:val="18"/>
                <w:szCs w:val="18"/>
                <w:highlight w:val="magenta"/>
                <w:lang w:val="fr-FR" w:eastAsia="fr-FR"/>
              </w:rPr>
              <w:t>6</w:t>
            </w:r>
          </w:p>
        </w:tc>
        <w:tc>
          <w:tcPr>
            <w:tcW w:w="2103" w:type="dxa"/>
            <w:gridSpan w:val="3"/>
            <w:tcBorders>
              <w:top w:val="nil"/>
              <w:left w:val="nil"/>
              <w:bottom w:val="single" w:sz="8" w:space="0" w:color="auto"/>
              <w:right w:val="single" w:sz="4" w:space="0" w:color="auto"/>
            </w:tcBorders>
            <w:shd w:val="clear" w:color="000000" w:fill="FFFFFF"/>
            <w:noWrap/>
            <w:vAlign w:val="center"/>
            <w:hideMark/>
          </w:tcPr>
          <w:p w14:paraId="455A4937" w14:textId="77777777" w:rsidR="002E2C5F" w:rsidRPr="008244FA" w:rsidRDefault="002E2C5F" w:rsidP="007631AE">
            <w:pPr>
              <w:jc w:val="both"/>
              <w:rPr>
                <w:rFonts w:asciiTheme="majorHAnsi" w:eastAsia="Times New Roman" w:hAnsiTheme="majorHAnsi" w:cstheme="majorHAnsi"/>
                <w:sz w:val="18"/>
                <w:szCs w:val="18"/>
                <w:lang w:eastAsia="fr-FR"/>
              </w:rPr>
            </w:pPr>
            <w:r w:rsidRPr="008244FA">
              <w:rPr>
                <w:rFonts w:asciiTheme="majorHAnsi" w:eastAsia="Times New Roman" w:hAnsiTheme="majorHAnsi" w:cstheme="majorHAnsi"/>
                <w:sz w:val="18"/>
                <w:szCs w:val="18"/>
                <w:lang w:eastAsia="fr-FR"/>
              </w:rPr>
              <w:t>Services to projects GOE for CO</w:t>
            </w:r>
          </w:p>
        </w:tc>
        <w:tc>
          <w:tcPr>
            <w:tcW w:w="1047" w:type="dxa"/>
            <w:tcBorders>
              <w:top w:val="nil"/>
              <w:left w:val="single" w:sz="4" w:space="0" w:color="auto"/>
              <w:bottom w:val="single" w:sz="8" w:space="0" w:color="auto"/>
              <w:right w:val="single" w:sz="8" w:space="0" w:color="auto"/>
            </w:tcBorders>
            <w:shd w:val="clear" w:color="000000" w:fill="FFFFFF"/>
            <w:noWrap/>
            <w:vAlign w:val="center"/>
            <w:hideMark/>
          </w:tcPr>
          <w:p w14:paraId="33B7994D"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9,910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2580DC0B"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9,910</w:t>
            </w:r>
          </w:p>
        </w:tc>
        <w:tc>
          <w:tcPr>
            <w:tcW w:w="989" w:type="dxa"/>
            <w:tcBorders>
              <w:top w:val="nil"/>
              <w:left w:val="nil"/>
              <w:bottom w:val="single" w:sz="8" w:space="0" w:color="auto"/>
              <w:right w:val="single" w:sz="8" w:space="0" w:color="auto"/>
            </w:tcBorders>
            <w:shd w:val="clear" w:color="000000" w:fill="FFFFFF"/>
            <w:noWrap/>
            <w:vAlign w:val="center"/>
            <w:hideMark/>
          </w:tcPr>
          <w:p w14:paraId="5B8646E5"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9,910</w:t>
            </w:r>
          </w:p>
        </w:tc>
        <w:tc>
          <w:tcPr>
            <w:tcW w:w="992" w:type="dxa"/>
            <w:tcBorders>
              <w:top w:val="nil"/>
              <w:left w:val="nil"/>
              <w:bottom w:val="single" w:sz="8" w:space="0" w:color="auto"/>
              <w:right w:val="single" w:sz="8" w:space="0" w:color="auto"/>
            </w:tcBorders>
            <w:shd w:val="clear" w:color="000000" w:fill="FFFFFF"/>
            <w:noWrap/>
            <w:vAlign w:val="center"/>
            <w:hideMark/>
          </w:tcPr>
          <w:p w14:paraId="495AA22C"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9,910</w:t>
            </w:r>
          </w:p>
        </w:tc>
        <w:tc>
          <w:tcPr>
            <w:tcW w:w="1115" w:type="dxa"/>
            <w:tcBorders>
              <w:top w:val="nil"/>
              <w:left w:val="nil"/>
              <w:bottom w:val="single" w:sz="8" w:space="0" w:color="auto"/>
              <w:right w:val="single" w:sz="8" w:space="0" w:color="auto"/>
            </w:tcBorders>
            <w:shd w:val="clear" w:color="000000" w:fill="FFFFFF"/>
            <w:noWrap/>
            <w:vAlign w:val="center"/>
            <w:hideMark/>
          </w:tcPr>
          <w:p w14:paraId="350C49CD" w14:textId="78DB1310"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9B7ED8">
              <w:rPr>
                <w:rFonts w:asciiTheme="majorHAnsi" w:eastAsia="Times New Roman" w:hAnsiTheme="majorHAnsi" w:cstheme="majorHAnsi"/>
                <w:color w:val="000000" w:themeColor="text1"/>
                <w:sz w:val="18"/>
                <w:szCs w:val="18"/>
                <w:highlight w:val="magenta"/>
                <w:lang w:val="fr-FR" w:eastAsia="fr-FR"/>
              </w:rPr>
              <w:t>9,9</w:t>
            </w:r>
            <w:r w:rsidR="00C13DCB" w:rsidRPr="009B7ED8">
              <w:rPr>
                <w:rFonts w:asciiTheme="majorHAnsi" w:eastAsia="Times New Roman" w:hAnsiTheme="majorHAnsi" w:cstheme="majorHAnsi"/>
                <w:color w:val="000000" w:themeColor="text1"/>
                <w:sz w:val="18"/>
                <w:szCs w:val="18"/>
                <w:highlight w:val="magenta"/>
                <w:lang w:val="fr-FR" w:eastAsia="fr-FR"/>
              </w:rPr>
              <w:t>09</w:t>
            </w:r>
          </w:p>
        </w:tc>
        <w:tc>
          <w:tcPr>
            <w:tcW w:w="1157" w:type="dxa"/>
            <w:tcBorders>
              <w:top w:val="nil"/>
              <w:left w:val="nil"/>
              <w:bottom w:val="single" w:sz="8" w:space="0" w:color="auto"/>
              <w:right w:val="single" w:sz="8" w:space="0" w:color="auto"/>
            </w:tcBorders>
            <w:shd w:val="clear" w:color="000000" w:fill="FFFFFF"/>
            <w:noWrap/>
            <w:vAlign w:val="center"/>
            <w:hideMark/>
          </w:tcPr>
          <w:p w14:paraId="337812D1"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49,549</w:t>
            </w:r>
          </w:p>
        </w:tc>
        <w:tc>
          <w:tcPr>
            <w:tcW w:w="1238" w:type="dxa"/>
            <w:tcBorders>
              <w:top w:val="nil"/>
              <w:left w:val="nil"/>
              <w:bottom w:val="single" w:sz="8" w:space="0" w:color="auto"/>
              <w:right w:val="single" w:sz="8" w:space="0" w:color="auto"/>
            </w:tcBorders>
            <w:shd w:val="clear" w:color="000000" w:fill="FFFFFF"/>
            <w:vAlign w:val="center"/>
            <w:hideMark/>
          </w:tcPr>
          <w:p w14:paraId="2076B17F" w14:textId="77777777" w:rsidR="002E2C5F" w:rsidRPr="007631AE" w:rsidRDefault="002E2C5F" w:rsidP="007631AE">
            <w:pPr>
              <w:jc w:val="right"/>
              <w:rPr>
                <w:rFonts w:ascii="Calibri" w:eastAsia="Times New Roman" w:hAnsi="Calibri" w:cs="Calibri"/>
                <w:sz w:val="20"/>
                <w:szCs w:val="20"/>
                <w:lang w:val="fr-FR" w:eastAsia="fr-FR"/>
              </w:rPr>
            </w:pPr>
            <w:r w:rsidRPr="007631AE">
              <w:rPr>
                <w:rFonts w:ascii="Calibri" w:eastAsia="Times New Roman" w:hAnsi="Calibri" w:cs="Calibri"/>
                <w:sz w:val="20"/>
                <w:szCs w:val="20"/>
                <w:lang w:val="fr-FR" w:eastAsia="fr-FR"/>
              </w:rPr>
              <w:t>37</w:t>
            </w:r>
          </w:p>
        </w:tc>
      </w:tr>
      <w:tr w:rsidR="002E2C5F" w:rsidRPr="007631AE" w14:paraId="7C64D572" w14:textId="77777777" w:rsidTr="002E2C5F">
        <w:trPr>
          <w:trHeight w:val="330"/>
        </w:trPr>
        <w:tc>
          <w:tcPr>
            <w:tcW w:w="2111" w:type="dxa"/>
            <w:vMerge/>
            <w:tcBorders>
              <w:top w:val="single" w:sz="4" w:space="0" w:color="auto"/>
              <w:left w:val="single" w:sz="4" w:space="0" w:color="auto"/>
              <w:bottom w:val="single" w:sz="4" w:space="0" w:color="auto"/>
              <w:right w:val="single" w:sz="4" w:space="0" w:color="auto"/>
            </w:tcBorders>
            <w:vAlign w:val="center"/>
            <w:hideMark/>
          </w:tcPr>
          <w:p w14:paraId="5AC963FF"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nil"/>
              <w:bottom w:val="single" w:sz="8" w:space="0" w:color="000000"/>
              <w:right w:val="single" w:sz="8" w:space="0" w:color="auto"/>
            </w:tcBorders>
            <w:vAlign w:val="center"/>
            <w:hideMark/>
          </w:tcPr>
          <w:p w14:paraId="7B0E0CDE"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nil"/>
              <w:right w:val="single" w:sz="8" w:space="0" w:color="auto"/>
            </w:tcBorders>
            <w:vAlign w:val="center"/>
            <w:hideMark/>
          </w:tcPr>
          <w:p w14:paraId="493145F1" w14:textId="77777777" w:rsidR="002E2C5F" w:rsidRPr="008244FA" w:rsidRDefault="002E2C5F" w:rsidP="007631AE">
            <w:pPr>
              <w:rPr>
                <w:rFonts w:asciiTheme="majorHAnsi" w:eastAsia="Times New Roman" w:hAnsiTheme="majorHAnsi" w:cstheme="majorHAnsi"/>
                <w:sz w:val="18"/>
                <w:szCs w:val="18"/>
                <w:lang w:val="fr-FR" w:eastAsia="fr-FR"/>
              </w:rPr>
            </w:pPr>
          </w:p>
        </w:tc>
        <w:tc>
          <w:tcPr>
            <w:tcW w:w="608" w:type="dxa"/>
            <w:gridSpan w:val="2"/>
            <w:vMerge/>
            <w:tcBorders>
              <w:top w:val="nil"/>
              <w:left w:val="single" w:sz="8" w:space="0" w:color="auto"/>
              <w:bottom w:val="nil"/>
              <w:right w:val="single" w:sz="8" w:space="0" w:color="auto"/>
            </w:tcBorders>
            <w:vAlign w:val="center"/>
            <w:hideMark/>
          </w:tcPr>
          <w:p w14:paraId="0254FF54" w14:textId="77777777" w:rsidR="002E2C5F" w:rsidRPr="008244FA" w:rsidRDefault="002E2C5F" w:rsidP="007631AE">
            <w:pPr>
              <w:rPr>
                <w:rFonts w:asciiTheme="majorHAnsi" w:eastAsia="Times New Roman" w:hAnsiTheme="majorHAnsi" w:cstheme="majorHAnsi"/>
                <w:sz w:val="18"/>
                <w:szCs w:val="18"/>
                <w:lang w:val="fr-FR" w:eastAsia="fr-FR"/>
              </w:rPr>
            </w:pPr>
          </w:p>
        </w:tc>
        <w:tc>
          <w:tcPr>
            <w:tcW w:w="992" w:type="dxa"/>
            <w:gridSpan w:val="2"/>
            <w:tcBorders>
              <w:top w:val="nil"/>
              <w:left w:val="nil"/>
              <w:bottom w:val="single" w:sz="4" w:space="0" w:color="auto"/>
              <w:right w:val="single" w:sz="8" w:space="0" w:color="auto"/>
            </w:tcBorders>
            <w:shd w:val="clear" w:color="000000" w:fill="FFFFFF"/>
            <w:vAlign w:val="center"/>
            <w:hideMark/>
          </w:tcPr>
          <w:p w14:paraId="11D3E5A7" w14:textId="77777777" w:rsidR="002E2C5F" w:rsidRPr="008244FA" w:rsidRDefault="002E2C5F" w:rsidP="007631AE">
            <w:pPr>
              <w:jc w:val="cente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71400</w:t>
            </w:r>
          </w:p>
        </w:tc>
        <w:tc>
          <w:tcPr>
            <w:tcW w:w="2103" w:type="dxa"/>
            <w:gridSpan w:val="3"/>
            <w:tcBorders>
              <w:top w:val="nil"/>
              <w:left w:val="nil"/>
              <w:bottom w:val="single" w:sz="8" w:space="0" w:color="auto"/>
              <w:right w:val="single" w:sz="4" w:space="0" w:color="auto"/>
            </w:tcBorders>
            <w:shd w:val="clear" w:color="000000" w:fill="FFFFFF"/>
            <w:noWrap/>
            <w:vAlign w:val="center"/>
            <w:hideMark/>
          </w:tcPr>
          <w:p w14:paraId="091DEAA0" w14:textId="77777777" w:rsidR="002E2C5F" w:rsidRPr="008244FA" w:rsidRDefault="002E2C5F" w:rsidP="007631AE">
            <w:pPr>
              <w:jc w:val="both"/>
              <w:rPr>
                <w:rFonts w:asciiTheme="majorHAnsi" w:eastAsia="Times New Roman" w:hAnsiTheme="majorHAnsi" w:cstheme="majorHAnsi"/>
                <w:sz w:val="18"/>
                <w:szCs w:val="18"/>
                <w:lang w:val="fr-FR" w:eastAsia="fr-FR"/>
              </w:rPr>
            </w:pPr>
            <w:proofErr w:type="spellStart"/>
            <w:r w:rsidRPr="008244FA">
              <w:rPr>
                <w:rFonts w:asciiTheme="majorHAnsi" w:eastAsia="Times New Roman" w:hAnsiTheme="majorHAnsi" w:cstheme="majorHAnsi"/>
                <w:sz w:val="18"/>
                <w:szCs w:val="18"/>
                <w:lang w:val="fr-FR" w:eastAsia="fr-FR"/>
              </w:rPr>
              <w:t>Contractual</w:t>
            </w:r>
            <w:proofErr w:type="spellEnd"/>
            <w:r w:rsidRPr="008244FA">
              <w:rPr>
                <w:rFonts w:asciiTheme="majorHAnsi" w:eastAsia="Times New Roman" w:hAnsiTheme="majorHAnsi" w:cstheme="majorHAnsi"/>
                <w:sz w:val="18"/>
                <w:szCs w:val="18"/>
                <w:lang w:val="fr-FR" w:eastAsia="fr-FR"/>
              </w:rPr>
              <w:t xml:space="preserve"> Services-</w:t>
            </w:r>
            <w:proofErr w:type="spellStart"/>
            <w:r w:rsidRPr="008244FA">
              <w:rPr>
                <w:rFonts w:asciiTheme="majorHAnsi" w:eastAsia="Times New Roman" w:hAnsiTheme="majorHAnsi" w:cstheme="majorHAnsi"/>
                <w:sz w:val="18"/>
                <w:szCs w:val="18"/>
                <w:lang w:val="fr-FR" w:eastAsia="fr-FR"/>
              </w:rPr>
              <w:t>Individual</w:t>
            </w:r>
            <w:proofErr w:type="spellEnd"/>
          </w:p>
        </w:tc>
        <w:tc>
          <w:tcPr>
            <w:tcW w:w="1047" w:type="dxa"/>
            <w:tcBorders>
              <w:top w:val="nil"/>
              <w:left w:val="single" w:sz="4" w:space="0" w:color="auto"/>
              <w:bottom w:val="single" w:sz="8" w:space="0" w:color="auto"/>
              <w:right w:val="single" w:sz="8" w:space="0" w:color="auto"/>
            </w:tcBorders>
            <w:shd w:val="clear" w:color="000000" w:fill="FFFFFF"/>
            <w:noWrap/>
            <w:vAlign w:val="center"/>
            <w:hideMark/>
          </w:tcPr>
          <w:p w14:paraId="5BBEB405" w14:textId="26D3A81C"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18</w:t>
            </w:r>
            <w:r w:rsidR="002E2C5F" w:rsidRPr="005265D7">
              <w:rPr>
                <w:rFonts w:asciiTheme="majorHAnsi" w:eastAsia="Times New Roman" w:hAnsiTheme="majorHAnsi" w:cstheme="majorHAnsi"/>
                <w:sz w:val="18"/>
                <w:szCs w:val="18"/>
                <w:highlight w:val="magenta"/>
                <w:lang w:val="fr-FR" w:eastAsia="fr-FR"/>
              </w:rPr>
              <w:t>,000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3E0D10FD" w14:textId="3BC79646"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18</w:t>
            </w:r>
            <w:r w:rsidR="002E2C5F" w:rsidRPr="005265D7">
              <w:rPr>
                <w:rFonts w:asciiTheme="majorHAnsi" w:eastAsia="Times New Roman" w:hAnsiTheme="majorHAnsi" w:cstheme="majorHAnsi"/>
                <w:sz w:val="18"/>
                <w:szCs w:val="18"/>
                <w:highlight w:val="magenta"/>
                <w:lang w:val="fr-FR" w:eastAsia="fr-FR"/>
              </w:rPr>
              <w:t>,000</w:t>
            </w:r>
          </w:p>
        </w:tc>
        <w:tc>
          <w:tcPr>
            <w:tcW w:w="989" w:type="dxa"/>
            <w:tcBorders>
              <w:top w:val="nil"/>
              <w:left w:val="nil"/>
              <w:bottom w:val="single" w:sz="8" w:space="0" w:color="auto"/>
              <w:right w:val="single" w:sz="8" w:space="0" w:color="auto"/>
            </w:tcBorders>
            <w:shd w:val="clear" w:color="000000" w:fill="FFFFFF"/>
            <w:noWrap/>
            <w:vAlign w:val="center"/>
            <w:hideMark/>
          </w:tcPr>
          <w:p w14:paraId="16518657" w14:textId="4B074864"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18</w:t>
            </w:r>
            <w:r w:rsidR="002E2C5F" w:rsidRPr="005265D7">
              <w:rPr>
                <w:rFonts w:asciiTheme="majorHAnsi" w:eastAsia="Times New Roman" w:hAnsiTheme="majorHAnsi" w:cstheme="majorHAnsi"/>
                <w:sz w:val="18"/>
                <w:szCs w:val="18"/>
                <w:highlight w:val="magenta"/>
                <w:lang w:val="fr-FR" w:eastAsia="fr-FR"/>
              </w:rPr>
              <w:t>,000</w:t>
            </w:r>
          </w:p>
        </w:tc>
        <w:tc>
          <w:tcPr>
            <w:tcW w:w="992" w:type="dxa"/>
            <w:tcBorders>
              <w:top w:val="nil"/>
              <w:left w:val="nil"/>
              <w:bottom w:val="single" w:sz="8" w:space="0" w:color="auto"/>
              <w:right w:val="single" w:sz="8" w:space="0" w:color="auto"/>
            </w:tcBorders>
            <w:shd w:val="clear" w:color="000000" w:fill="FFFFFF"/>
            <w:noWrap/>
            <w:vAlign w:val="center"/>
            <w:hideMark/>
          </w:tcPr>
          <w:p w14:paraId="509B7592" w14:textId="6F9AEAD2"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18</w:t>
            </w:r>
            <w:r w:rsidR="002E2C5F" w:rsidRPr="005265D7">
              <w:rPr>
                <w:rFonts w:asciiTheme="majorHAnsi" w:eastAsia="Times New Roman" w:hAnsiTheme="majorHAnsi" w:cstheme="majorHAnsi"/>
                <w:sz w:val="18"/>
                <w:szCs w:val="18"/>
                <w:highlight w:val="magenta"/>
                <w:lang w:val="fr-FR" w:eastAsia="fr-FR"/>
              </w:rPr>
              <w:t>,000</w:t>
            </w:r>
          </w:p>
        </w:tc>
        <w:tc>
          <w:tcPr>
            <w:tcW w:w="1115" w:type="dxa"/>
            <w:tcBorders>
              <w:top w:val="nil"/>
              <w:left w:val="nil"/>
              <w:bottom w:val="single" w:sz="8" w:space="0" w:color="auto"/>
              <w:right w:val="single" w:sz="8" w:space="0" w:color="auto"/>
            </w:tcBorders>
            <w:shd w:val="clear" w:color="000000" w:fill="FFFFFF"/>
            <w:noWrap/>
            <w:vAlign w:val="center"/>
            <w:hideMark/>
          </w:tcPr>
          <w:p w14:paraId="76FA4431" w14:textId="5E4F9E1F"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18</w:t>
            </w:r>
            <w:r w:rsidR="002E2C5F" w:rsidRPr="005265D7">
              <w:rPr>
                <w:rFonts w:asciiTheme="majorHAnsi" w:eastAsia="Times New Roman" w:hAnsiTheme="majorHAnsi" w:cstheme="majorHAnsi"/>
                <w:sz w:val="18"/>
                <w:szCs w:val="18"/>
                <w:highlight w:val="magenta"/>
                <w:lang w:val="fr-FR" w:eastAsia="fr-FR"/>
              </w:rPr>
              <w:t>,000</w:t>
            </w:r>
          </w:p>
        </w:tc>
        <w:tc>
          <w:tcPr>
            <w:tcW w:w="1157" w:type="dxa"/>
            <w:tcBorders>
              <w:top w:val="nil"/>
              <w:left w:val="nil"/>
              <w:bottom w:val="single" w:sz="8" w:space="0" w:color="auto"/>
              <w:right w:val="single" w:sz="8" w:space="0" w:color="auto"/>
            </w:tcBorders>
            <w:shd w:val="clear" w:color="000000" w:fill="FFFFFF"/>
            <w:noWrap/>
            <w:vAlign w:val="center"/>
            <w:hideMark/>
          </w:tcPr>
          <w:p w14:paraId="7A170A0D" w14:textId="287332E3"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90</w:t>
            </w:r>
            <w:r w:rsidR="002E2C5F" w:rsidRPr="005265D7">
              <w:rPr>
                <w:rFonts w:asciiTheme="majorHAnsi" w:eastAsia="Times New Roman" w:hAnsiTheme="majorHAnsi" w:cstheme="majorHAnsi"/>
                <w:sz w:val="18"/>
                <w:szCs w:val="18"/>
                <w:highlight w:val="magenta"/>
                <w:lang w:val="fr-FR" w:eastAsia="fr-FR"/>
              </w:rPr>
              <w:t>,000</w:t>
            </w:r>
          </w:p>
        </w:tc>
        <w:tc>
          <w:tcPr>
            <w:tcW w:w="1238" w:type="dxa"/>
            <w:tcBorders>
              <w:top w:val="nil"/>
              <w:left w:val="nil"/>
              <w:bottom w:val="single" w:sz="8" w:space="0" w:color="auto"/>
              <w:right w:val="single" w:sz="8" w:space="0" w:color="auto"/>
            </w:tcBorders>
            <w:shd w:val="clear" w:color="000000" w:fill="FFFFFF"/>
            <w:vAlign w:val="center"/>
            <w:hideMark/>
          </w:tcPr>
          <w:p w14:paraId="60E99779" w14:textId="77777777" w:rsidR="002E2C5F" w:rsidRPr="007631AE" w:rsidRDefault="002E2C5F" w:rsidP="007631AE">
            <w:pPr>
              <w:jc w:val="right"/>
              <w:rPr>
                <w:rFonts w:ascii="Calibri" w:eastAsia="Times New Roman" w:hAnsi="Calibri" w:cs="Calibri"/>
                <w:sz w:val="20"/>
                <w:szCs w:val="20"/>
                <w:lang w:val="fr-FR" w:eastAsia="fr-FR"/>
              </w:rPr>
            </w:pPr>
            <w:r w:rsidRPr="007631AE">
              <w:rPr>
                <w:rFonts w:ascii="Calibri" w:eastAsia="Times New Roman" w:hAnsi="Calibri" w:cs="Calibri"/>
                <w:sz w:val="20"/>
                <w:szCs w:val="20"/>
                <w:lang w:val="fr-FR" w:eastAsia="fr-FR"/>
              </w:rPr>
              <w:t>38</w:t>
            </w:r>
          </w:p>
        </w:tc>
      </w:tr>
      <w:tr w:rsidR="002E2C5F" w:rsidRPr="007631AE" w14:paraId="57D99AF0" w14:textId="77777777" w:rsidTr="002E2C5F">
        <w:trPr>
          <w:trHeight w:val="330"/>
        </w:trPr>
        <w:tc>
          <w:tcPr>
            <w:tcW w:w="2111" w:type="dxa"/>
            <w:vMerge/>
            <w:tcBorders>
              <w:top w:val="single" w:sz="4" w:space="0" w:color="auto"/>
              <w:left w:val="single" w:sz="4" w:space="0" w:color="auto"/>
              <w:bottom w:val="single" w:sz="4" w:space="0" w:color="auto"/>
              <w:right w:val="single" w:sz="4" w:space="0" w:color="auto"/>
            </w:tcBorders>
            <w:vAlign w:val="center"/>
            <w:hideMark/>
          </w:tcPr>
          <w:p w14:paraId="435D641C"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1189" w:type="dxa"/>
            <w:vMerge/>
            <w:tcBorders>
              <w:top w:val="nil"/>
              <w:left w:val="nil"/>
              <w:bottom w:val="single" w:sz="8" w:space="0" w:color="000000"/>
              <w:right w:val="single" w:sz="8" w:space="0" w:color="auto"/>
            </w:tcBorders>
            <w:vAlign w:val="center"/>
            <w:hideMark/>
          </w:tcPr>
          <w:p w14:paraId="70D65D03"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nil"/>
              <w:right w:val="single" w:sz="8" w:space="0" w:color="auto"/>
            </w:tcBorders>
            <w:vAlign w:val="center"/>
            <w:hideMark/>
          </w:tcPr>
          <w:p w14:paraId="29449AC1" w14:textId="77777777" w:rsidR="002E2C5F" w:rsidRPr="008244FA" w:rsidRDefault="002E2C5F" w:rsidP="007631AE">
            <w:pPr>
              <w:rPr>
                <w:rFonts w:asciiTheme="majorHAnsi" w:eastAsia="Times New Roman" w:hAnsiTheme="majorHAnsi" w:cstheme="majorHAnsi"/>
                <w:sz w:val="18"/>
                <w:szCs w:val="18"/>
                <w:lang w:val="fr-FR" w:eastAsia="fr-FR"/>
              </w:rPr>
            </w:pPr>
          </w:p>
        </w:tc>
        <w:tc>
          <w:tcPr>
            <w:tcW w:w="608" w:type="dxa"/>
            <w:gridSpan w:val="2"/>
            <w:vMerge/>
            <w:tcBorders>
              <w:top w:val="nil"/>
              <w:left w:val="single" w:sz="8" w:space="0" w:color="auto"/>
              <w:bottom w:val="nil"/>
              <w:right w:val="single" w:sz="8" w:space="0" w:color="auto"/>
            </w:tcBorders>
            <w:vAlign w:val="center"/>
            <w:hideMark/>
          </w:tcPr>
          <w:p w14:paraId="47F1AB4A" w14:textId="77777777" w:rsidR="002E2C5F" w:rsidRPr="008244FA" w:rsidRDefault="002E2C5F" w:rsidP="007631AE">
            <w:pPr>
              <w:rPr>
                <w:rFonts w:asciiTheme="majorHAnsi" w:eastAsia="Times New Roman" w:hAnsiTheme="majorHAnsi" w:cstheme="majorHAnsi"/>
                <w:sz w:val="18"/>
                <w:szCs w:val="18"/>
                <w:lang w:val="fr-FR" w:eastAsia="fr-FR"/>
              </w:rPr>
            </w:pPr>
          </w:p>
        </w:tc>
        <w:tc>
          <w:tcPr>
            <w:tcW w:w="992" w:type="dxa"/>
            <w:gridSpan w:val="2"/>
            <w:tcBorders>
              <w:top w:val="nil"/>
              <w:left w:val="nil"/>
              <w:bottom w:val="single" w:sz="4" w:space="0" w:color="auto"/>
              <w:right w:val="single" w:sz="8" w:space="0" w:color="auto"/>
            </w:tcBorders>
            <w:shd w:val="clear" w:color="000000" w:fill="FFFFFF"/>
            <w:vAlign w:val="center"/>
            <w:hideMark/>
          </w:tcPr>
          <w:p w14:paraId="1D45132C" w14:textId="77777777" w:rsidR="002E2C5F" w:rsidRPr="008244FA" w:rsidRDefault="002E2C5F" w:rsidP="007631AE">
            <w:pPr>
              <w:jc w:val="cente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74100</w:t>
            </w:r>
          </w:p>
        </w:tc>
        <w:tc>
          <w:tcPr>
            <w:tcW w:w="2103" w:type="dxa"/>
            <w:gridSpan w:val="3"/>
            <w:tcBorders>
              <w:top w:val="nil"/>
              <w:left w:val="nil"/>
              <w:bottom w:val="single" w:sz="8" w:space="0" w:color="auto"/>
              <w:right w:val="single" w:sz="8" w:space="0" w:color="auto"/>
            </w:tcBorders>
            <w:shd w:val="clear" w:color="000000" w:fill="FFFFFF"/>
            <w:noWrap/>
            <w:vAlign w:val="center"/>
            <w:hideMark/>
          </w:tcPr>
          <w:p w14:paraId="7DFD37ED" w14:textId="77777777" w:rsidR="002E2C5F" w:rsidRPr="008244FA" w:rsidRDefault="002E2C5F" w:rsidP="007631AE">
            <w:pPr>
              <w:jc w:val="both"/>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Audit</w:t>
            </w:r>
          </w:p>
        </w:tc>
        <w:tc>
          <w:tcPr>
            <w:tcW w:w="1047" w:type="dxa"/>
            <w:tcBorders>
              <w:top w:val="nil"/>
              <w:left w:val="nil"/>
              <w:bottom w:val="single" w:sz="8" w:space="0" w:color="auto"/>
              <w:right w:val="single" w:sz="8" w:space="0" w:color="auto"/>
            </w:tcBorders>
            <w:shd w:val="clear" w:color="000000" w:fill="FFFFFF"/>
            <w:noWrap/>
            <w:vAlign w:val="center"/>
            <w:hideMark/>
          </w:tcPr>
          <w:p w14:paraId="76578118"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0</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16007B9E"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0</w:t>
            </w:r>
          </w:p>
        </w:tc>
        <w:tc>
          <w:tcPr>
            <w:tcW w:w="989" w:type="dxa"/>
            <w:tcBorders>
              <w:top w:val="nil"/>
              <w:left w:val="nil"/>
              <w:bottom w:val="single" w:sz="8" w:space="0" w:color="auto"/>
              <w:right w:val="single" w:sz="8" w:space="0" w:color="auto"/>
            </w:tcBorders>
            <w:shd w:val="clear" w:color="000000" w:fill="FFFFFF"/>
            <w:noWrap/>
            <w:vAlign w:val="center"/>
            <w:hideMark/>
          </w:tcPr>
          <w:p w14:paraId="2B9326A7"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0</w:t>
            </w:r>
          </w:p>
        </w:tc>
        <w:tc>
          <w:tcPr>
            <w:tcW w:w="992" w:type="dxa"/>
            <w:tcBorders>
              <w:top w:val="nil"/>
              <w:left w:val="nil"/>
              <w:bottom w:val="single" w:sz="8" w:space="0" w:color="auto"/>
              <w:right w:val="single" w:sz="8" w:space="0" w:color="auto"/>
            </w:tcBorders>
            <w:shd w:val="clear" w:color="000000" w:fill="FFFFFF"/>
            <w:noWrap/>
            <w:vAlign w:val="center"/>
            <w:hideMark/>
          </w:tcPr>
          <w:p w14:paraId="473EAEBB"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0</w:t>
            </w:r>
          </w:p>
        </w:tc>
        <w:tc>
          <w:tcPr>
            <w:tcW w:w="1115" w:type="dxa"/>
            <w:tcBorders>
              <w:top w:val="nil"/>
              <w:left w:val="nil"/>
              <w:bottom w:val="single" w:sz="8" w:space="0" w:color="auto"/>
              <w:right w:val="single" w:sz="8" w:space="0" w:color="auto"/>
            </w:tcBorders>
            <w:shd w:val="clear" w:color="000000" w:fill="FFFFFF"/>
            <w:noWrap/>
            <w:vAlign w:val="center"/>
            <w:hideMark/>
          </w:tcPr>
          <w:p w14:paraId="4AC22283"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25,000</w:t>
            </w:r>
          </w:p>
        </w:tc>
        <w:tc>
          <w:tcPr>
            <w:tcW w:w="1157" w:type="dxa"/>
            <w:tcBorders>
              <w:top w:val="nil"/>
              <w:left w:val="nil"/>
              <w:bottom w:val="single" w:sz="8" w:space="0" w:color="auto"/>
              <w:right w:val="single" w:sz="8" w:space="0" w:color="auto"/>
            </w:tcBorders>
            <w:shd w:val="clear" w:color="000000" w:fill="FFFFFF"/>
            <w:noWrap/>
            <w:vAlign w:val="center"/>
            <w:hideMark/>
          </w:tcPr>
          <w:p w14:paraId="14B2C89E" w14:textId="77777777" w:rsidR="002E2C5F" w:rsidRPr="004A140A" w:rsidRDefault="002E2C5F" w:rsidP="007631AE">
            <w:pPr>
              <w:jc w:val="right"/>
              <w:rPr>
                <w:rFonts w:asciiTheme="majorHAnsi" w:eastAsia="Times New Roman" w:hAnsiTheme="majorHAnsi" w:cstheme="majorHAnsi"/>
                <w:sz w:val="18"/>
                <w:szCs w:val="18"/>
                <w:highlight w:val="cyan"/>
                <w:lang w:val="fr-FR" w:eastAsia="fr-FR"/>
              </w:rPr>
            </w:pPr>
            <w:r w:rsidRPr="004A140A">
              <w:rPr>
                <w:rFonts w:asciiTheme="majorHAnsi" w:eastAsia="Times New Roman" w:hAnsiTheme="majorHAnsi" w:cstheme="majorHAnsi"/>
                <w:sz w:val="18"/>
                <w:szCs w:val="18"/>
                <w:highlight w:val="cyan"/>
                <w:lang w:val="fr-FR" w:eastAsia="fr-FR"/>
              </w:rPr>
              <w:t>25,000</w:t>
            </w:r>
          </w:p>
        </w:tc>
        <w:tc>
          <w:tcPr>
            <w:tcW w:w="1238" w:type="dxa"/>
            <w:tcBorders>
              <w:top w:val="nil"/>
              <w:left w:val="nil"/>
              <w:bottom w:val="single" w:sz="8" w:space="0" w:color="auto"/>
              <w:right w:val="single" w:sz="8" w:space="0" w:color="auto"/>
            </w:tcBorders>
            <w:shd w:val="clear" w:color="000000" w:fill="FFFFFF"/>
            <w:vAlign w:val="center"/>
            <w:hideMark/>
          </w:tcPr>
          <w:p w14:paraId="29C724C0" w14:textId="77777777" w:rsidR="002E2C5F" w:rsidRPr="007631AE" w:rsidRDefault="002E2C5F" w:rsidP="007631AE">
            <w:pPr>
              <w:jc w:val="right"/>
              <w:rPr>
                <w:rFonts w:ascii="Calibri" w:eastAsia="Times New Roman" w:hAnsi="Calibri" w:cs="Calibri"/>
                <w:sz w:val="20"/>
                <w:szCs w:val="20"/>
                <w:lang w:val="fr-FR" w:eastAsia="fr-FR"/>
              </w:rPr>
            </w:pPr>
            <w:r w:rsidRPr="007631AE">
              <w:rPr>
                <w:rFonts w:ascii="Calibri" w:eastAsia="Times New Roman" w:hAnsi="Calibri" w:cs="Calibri"/>
                <w:sz w:val="20"/>
                <w:szCs w:val="20"/>
                <w:lang w:val="fr-FR" w:eastAsia="fr-FR"/>
              </w:rPr>
              <w:t>39</w:t>
            </w:r>
          </w:p>
        </w:tc>
      </w:tr>
      <w:tr w:rsidR="00D55B53" w:rsidRPr="007631AE" w14:paraId="72B5FAD6" w14:textId="77777777" w:rsidTr="005265D7">
        <w:trPr>
          <w:trHeight w:val="315"/>
        </w:trPr>
        <w:tc>
          <w:tcPr>
            <w:tcW w:w="2111" w:type="dxa"/>
            <w:vMerge/>
            <w:tcBorders>
              <w:top w:val="single" w:sz="4" w:space="0" w:color="auto"/>
              <w:left w:val="single" w:sz="4" w:space="0" w:color="auto"/>
              <w:bottom w:val="single" w:sz="4" w:space="0" w:color="auto"/>
              <w:right w:val="single" w:sz="4" w:space="0" w:color="auto"/>
            </w:tcBorders>
            <w:vAlign w:val="center"/>
            <w:hideMark/>
          </w:tcPr>
          <w:p w14:paraId="5219C413" w14:textId="77777777" w:rsidR="00D55B53" w:rsidRPr="008244FA" w:rsidRDefault="00D55B53" w:rsidP="00D55B53">
            <w:pPr>
              <w:rPr>
                <w:rFonts w:asciiTheme="majorHAnsi" w:eastAsia="Times New Roman" w:hAnsiTheme="majorHAnsi" w:cstheme="majorHAnsi"/>
                <w:color w:val="000000"/>
                <w:sz w:val="18"/>
                <w:szCs w:val="18"/>
                <w:lang w:val="fr-FR" w:eastAsia="fr-FR"/>
              </w:rPr>
            </w:pPr>
          </w:p>
        </w:tc>
        <w:tc>
          <w:tcPr>
            <w:tcW w:w="1189" w:type="dxa"/>
            <w:vMerge/>
            <w:tcBorders>
              <w:top w:val="nil"/>
              <w:left w:val="nil"/>
              <w:bottom w:val="single" w:sz="8" w:space="0" w:color="000000"/>
              <w:right w:val="single" w:sz="8" w:space="0" w:color="auto"/>
            </w:tcBorders>
            <w:vAlign w:val="center"/>
            <w:hideMark/>
          </w:tcPr>
          <w:p w14:paraId="4183F368" w14:textId="77777777" w:rsidR="00D55B53" w:rsidRPr="008244FA" w:rsidRDefault="00D55B53" w:rsidP="00D55B53">
            <w:pPr>
              <w:rPr>
                <w:rFonts w:asciiTheme="majorHAnsi" w:eastAsia="Times New Roman" w:hAnsiTheme="majorHAnsi" w:cstheme="majorHAnsi"/>
                <w:color w:val="000000"/>
                <w:sz w:val="18"/>
                <w:szCs w:val="18"/>
                <w:lang w:val="fr-FR" w:eastAsia="fr-FR"/>
              </w:rPr>
            </w:pPr>
          </w:p>
        </w:tc>
        <w:tc>
          <w:tcPr>
            <w:tcW w:w="4464" w:type="dxa"/>
            <w:gridSpan w:val="8"/>
            <w:tcBorders>
              <w:top w:val="single" w:sz="8" w:space="0" w:color="auto"/>
              <w:left w:val="nil"/>
              <w:bottom w:val="single" w:sz="8" w:space="0" w:color="auto"/>
              <w:right w:val="single" w:sz="4" w:space="0" w:color="auto"/>
            </w:tcBorders>
            <w:shd w:val="clear" w:color="000000" w:fill="AEAAAA"/>
            <w:vAlign w:val="center"/>
            <w:hideMark/>
          </w:tcPr>
          <w:p w14:paraId="7E1DA2D6" w14:textId="176A3FC7" w:rsidR="00D55B53" w:rsidRPr="008C3093" w:rsidRDefault="00D55B53" w:rsidP="00D55B53">
            <w:pPr>
              <w:jc w:val="right"/>
              <w:rPr>
                <w:rFonts w:asciiTheme="majorHAnsi" w:eastAsia="Times New Roman" w:hAnsiTheme="majorHAnsi" w:cstheme="majorHAnsi"/>
                <w:b/>
                <w:bCs/>
                <w:sz w:val="18"/>
                <w:szCs w:val="18"/>
                <w:lang w:val="fr-FR" w:eastAsia="fr-FR"/>
              </w:rPr>
            </w:pPr>
            <w:r w:rsidRPr="008244FA">
              <w:rPr>
                <w:rFonts w:asciiTheme="majorHAnsi" w:eastAsia="Times New Roman" w:hAnsiTheme="majorHAnsi" w:cstheme="majorHAnsi"/>
                <w:sz w:val="18"/>
                <w:szCs w:val="18"/>
                <w:lang w:val="fr-FR" w:eastAsia="fr-FR"/>
              </w:rPr>
              <w:t> </w:t>
            </w:r>
            <w:r w:rsidRPr="008C3093">
              <w:rPr>
                <w:rFonts w:asciiTheme="majorHAnsi" w:eastAsia="Times New Roman" w:hAnsiTheme="majorHAnsi" w:cstheme="majorHAnsi"/>
                <w:b/>
                <w:bCs/>
                <w:sz w:val="18"/>
                <w:szCs w:val="18"/>
                <w:lang w:val="fr-FR" w:eastAsia="fr-FR"/>
              </w:rPr>
              <w:t>Subtotal PMC</w:t>
            </w:r>
          </w:p>
        </w:tc>
        <w:tc>
          <w:tcPr>
            <w:tcW w:w="1047" w:type="dxa"/>
            <w:tcBorders>
              <w:top w:val="nil"/>
              <w:left w:val="nil"/>
              <w:bottom w:val="single" w:sz="8" w:space="0" w:color="auto"/>
              <w:right w:val="single" w:sz="8" w:space="0" w:color="auto"/>
            </w:tcBorders>
            <w:shd w:val="clear" w:color="000000" w:fill="AEAAAA"/>
            <w:vAlign w:val="center"/>
          </w:tcPr>
          <w:p w14:paraId="5113D302" w14:textId="68250793"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27,910</w:t>
            </w:r>
          </w:p>
        </w:tc>
        <w:tc>
          <w:tcPr>
            <w:tcW w:w="975" w:type="dxa"/>
            <w:gridSpan w:val="2"/>
            <w:tcBorders>
              <w:top w:val="nil"/>
              <w:left w:val="nil"/>
              <w:bottom w:val="single" w:sz="8" w:space="0" w:color="auto"/>
              <w:right w:val="single" w:sz="8" w:space="0" w:color="auto"/>
            </w:tcBorders>
            <w:shd w:val="clear" w:color="000000" w:fill="AEAAAA"/>
            <w:noWrap/>
            <w:vAlign w:val="center"/>
            <w:hideMark/>
          </w:tcPr>
          <w:p w14:paraId="51FCE593" w14:textId="7CEEA3F2"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27,910</w:t>
            </w:r>
          </w:p>
        </w:tc>
        <w:tc>
          <w:tcPr>
            <w:tcW w:w="989" w:type="dxa"/>
            <w:tcBorders>
              <w:top w:val="nil"/>
              <w:left w:val="nil"/>
              <w:bottom w:val="single" w:sz="8" w:space="0" w:color="auto"/>
              <w:right w:val="single" w:sz="8" w:space="0" w:color="auto"/>
            </w:tcBorders>
            <w:shd w:val="clear" w:color="000000" w:fill="AEAAAA"/>
            <w:noWrap/>
            <w:vAlign w:val="center"/>
            <w:hideMark/>
          </w:tcPr>
          <w:p w14:paraId="6E001FBA" w14:textId="2C6E1A8C"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27,910</w:t>
            </w:r>
          </w:p>
        </w:tc>
        <w:tc>
          <w:tcPr>
            <w:tcW w:w="992" w:type="dxa"/>
            <w:tcBorders>
              <w:top w:val="nil"/>
              <w:left w:val="nil"/>
              <w:bottom w:val="single" w:sz="8" w:space="0" w:color="auto"/>
              <w:right w:val="single" w:sz="8" w:space="0" w:color="auto"/>
            </w:tcBorders>
            <w:shd w:val="clear" w:color="000000" w:fill="AEAAAA"/>
            <w:noWrap/>
            <w:vAlign w:val="center"/>
            <w:hideMark/>
          </w:tcPr>
          <w:p w14:paraId="15CE0EEB" w14:textId="0AC252E8"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27,910</w:t>
            </w:r>
          </w:p>
        </w:tc>
        <w:tc>
          <w:tcPr>
            <w:tcW w:w="1115" w:type="dxa"/>
            <w:tcBorders>
              <w:top w:val="nil"/>
              <w:left w:val="nil"/>
              <w:bottom w:val="single" w:sz="8" w:space="0" w:color="auto"/>
              <w:right w:val="single" w:sz="8" w:space="0" w:color="auto"/>
            </w:tcBorders>
            <w:shd w:val="clear" w:color="000000" w:fill="AEAAAA"/>
            <w:noWrap/>
            <w:vAlign w:val="center"/>
            <w:hideMark/>
          </w:tcPr>
          <w:p w14:paraId="1D1F1A06" w14:textId="1CAA729C"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52,909</w:t>
            </w:r>
          </w:p>
        </w:tc>
        <w:tc>
          <w:tcPr>
            <w:tcW w:w="1157" w:type="dxa"/>
            <w:tcBorders>
              <w:top w:val="nil"/>
              <w:left w:val="nil"/>
              <w:bottom w:val="single" w:sz="8" w:space="0" w:color="auto"/>
              <w:right w:val="single" w:sz="8" w:space="0" w:color="auto"/>
            </w:tcBorders>
            <w:shd w:val="clear" w:color="000000" w:fill="A6A6A6"/>
            <w:noWrap/>
            <w:vAlign w:val="center"/>
            <w:hideMark/>
          </w:tcPr>
          <w:p w14:paraId="4D362B0D" w14:textId="023C9C41"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164,549</w:t>
            </w:r>
          </w:p>
        </w:tc>
        <w:tc>
          <w:tcPr>
            <w:tcW w:w="1238" w:type="dxa"/>
            <w:tcBorders>
              <w:top w:val="nil"/>
              <w:left w:val="nil"/>
              <w:bottom w:val="single" w:sz="8" w:space="0" w:color="auto"/>
              <w:right w:val="single" w:sz="8" w:space="0" w:color="auto"/>
            </w:tcBorders>
            <w:shd w:val="clear" w:color="000000" w:fill="A6A6A6"/>
            <w:noWrap/>
            <w:vAlign w:val="center"/>
            <w:hideMark/>
          </w:tcPr>
          <w:p w14:paraId="321E6784" w14:textId="5E533216" w:rsidR="00D55B53" w:rsidRPr="008244FA" w:rsidRDefault="00D55B53" w:rsidP="00D55B53">
            <w:pPr>
              <w:jc w:val="right"/>
              <w:rPr>
                <w:rFonts w:asciiTheme="majorHAnsi" w:eastAsia="Times New Roman" w:hAnsiTheme="majorHAnsi" w:cstheme="majorHAnsi"/>
                <w:sz w:val="18"/>
                <w:szCs w:val="18"/>
                <w:lang w:val="fr-FR" w:eastAsia="fr-FR"/>
              </w:rPr>
            </w:pPr>
          </w:p>
        </w:tc>
      </w:tr>
      <w:tr w:rsidR="002E2C5F" w:rsidRPr="007631AE" w14:paraId="79E17974" w14:textId="77777777" w:rsidTr="002E2C5F">
        <w:trPr>
          <w:trHeight w:val="315"/>
        </w:trPr>
        <w:tc>
          <w:tcPr>
            <w:tcW w:w="2111" w:type="dxa"/>
            <w:vMerge w:val="restart"/>
            <w:tcBorders>
              <w:top w:val="nil"/>
              <w:left w:val="single" w:sz="4" w:space="0" w:color="auto"/>
              <w:bottom w:val="single" w:sz="4" w:space="0" w:color="auto"/>
              <w:right w:val="single" w:sz="4" w:space="0" w:color="auto"/>
            </w:tcBorders>
            <w:shd w:val="clear" w:color="auto" w:fill="auto"/>
            <w:vAlign w:val="center"/>
            <w:hideMark/>
          </w:tcPr>
          <w:p w14:paraId="4A64EA77" w14:textId="77777777" w:rsidR="002E2C5F" w:rsidRPr="008244FA" w:rsidRDefault="002E2C5F" w:rsidP="007631AE">
            <w:pPr>
              <w:jc w:val="center"/>
              <w:rPr>
                <w:rFonts w:asciiTheme="majorHAnsi" w:eastAsia="Times New Roman" w:hAnsiTheme="majorHAnsi" w:cstheme="majorHAnsi"/>
                <w:color w:val="000000"/>
                <w:sz w:val="18"/>
                <w:szCs w:val="18"/>
                <w:lang w:val="fr-FR" w:eastAsia="fr-FR"/>
              </w:rPr>
            </w:pPr>
            <w:proofErr w:type="spellStart"/>
            <w:r w:rsidRPr="008244FA">
              <w:rPr>
                <w:rFonts w:asciiTheme="majorHAnsi" w:eastAsia="Times New Roman" w:hAnsiTheme="majorHAnsi" w:cstheme="majorHAnsi"/>
                <w:color w:val="000000"/>
                <w:sz w:val="18"/>
                <w:szCs w:val="18"/>
                <w:lang w:val="fr-FR" w:eastAsia="fr-FR"/>
              </w:rPr>
              <w:t>Cofinancing</w:t>
            </w:r>
            <w:proofErr w:type="spellEnd"/>
          </w:p>
        </w:tc>
        <w:tc>
          <w:tcPr>
            <w:tcW w:w="1189" w:type="dxa"/>
            <w:vMerge/>
            <w:tcBorders>
              <w:top w:val="nil"/>
              <w:left w:val="nil"/>
              <w:bottom w:val="single" w:sz="8" w:space="0" w:color="000000"/>
              <w:right w:val="single" w:sz="8" w:space="0" w:color="auto"/>
            </w:tcBorders>
            <w:vAlign w:val="center"/>
            <w:hideMark/>
          </w:tcPr>
          <w:p w14:paraId="1C83A17D" w14:textId="77777777" w:rsidR="002E2C5F" w:rsidRPr="008244FA" w:rsidRDefault="002E2C5F" w:rsidP="007631AE">
            <w:pPr>
              <w:rPr>
                <w:rFonts w:asciiTheme="majorHAnsi" w:eastAsia="Times New Roman" w:hAnsiTheme="majorHAnsi" w:cstheme="majorHAnsi"/>
                <w:color w:val="000000"/>
                <w:sz w:val="18"/>
                <w:szCs w:val="18"/>
                <w:lang w:val="fr-FR" w:eastAsia="fr-FR"/>
              </w:rPr>
            </w:pPr>
          </w:p>
        </w:tc>
        <w:tc>
          <w:tcPr>
            <w:tcW w:w="761" w:type="dxa"/>
            <w:vMerge w:val="restart"/>
            <w:tcBorders>
              <w:top w:val="nil"/>
              <w:left w:val="single" w:sz="8" w:space="0" w:color="auto"/>
              <w:bottom w:val="nil"/>
              <w:right w:val="single" w:sz="8" w:space="0" w:color="auto"/>
            </w:tcBorders>
            <w:shd w:val="clear" w:color="000000" w:fill="FFFFFF"/>
            <w:vAlign w:val="center"/>
            <w:hideMark/>
          </w:tcPr>
          <w:p w14:paraId="502CD4BF" w14:textId="71E15F90" w:rsidR="002E2C5F" w:rsidRPr="008244FA" w:rsidRDefault="002E2C5F" w:rsidP="007631AE">
            <w:pPr>
              <w:jc w:val="cente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 </w:t>
            </w:r>
            <w:r>
              <w:rPr>
                <w:rFonts w:asciiTheme="majorHAnsi" w:eastAsia="Times New Roman" w:hAnsiTheme="majorHAnsi" w:cstheme="majorHAnsi"/>
                <w:sz w:val="18"/>
                <w:szCs w:val="18"/>
                <w:lang w:val="fr-FR" w:eastAsia="fr-FR"/>
              </w:rPr>
              <w:t>04000</w:t>
            </w:r>
          </w:p>
        </w:tc>
        <w:tc>
          <w:tcPr>
            <w:tcW w:w="608" w:type="dxa"/>
            <w:gridSpan w:val="2"/>
            <w:vMerge w:val="restart"/>
            <w:tcBorders>
              <w:top w:val="nil"/>
              <w:left w:val="single" w:sz="8" w:space="0" w:color="auto"/>
              <w:bottom w:val="nil"/>
              <w:right w:val="single" w:sz="8" w:space="0" w:color="auto"/>
            </w:tcBorders>
            <w:shd w:val="clear" w:color="000000" w:fill="FFFFFF"/>
            <w:vAlign w:val="center"/>
            <w:hideMark/>
          </w:tcPr>
          <w:p w14:paraId="62EA96C7" w14:textId="77777777" w:rsidR="002E2C5F" w:rsidRPr="008244FA" w:rsidRDefault="002E2C5F" w:rsidP="007631AE">
            <w:pPr>
              <w:jc w:val="cente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UNDP</w:t>
            </w:r>
          </w:p>
        </w:tc>
        <w:tc>
          <w:tcPr>
            <w:tcW w:w="992" w:type="dxa"/>
            <w:gridSpan w:val="2"/>
            <w:tcBorders>
              <w:top w:val="single" w:sz="4" w:space="0" w:color="auto"/>
              <w:left w:val="nil"/>
              <w:bottom w:val="single" w:sz="4" w:space="0" w:color="auto"/>
              <w:right w:val="single" w:sz="8" w:space="0" w:color="auto"/>
            </w:tcBorders>
            <w:shd w:val="clear" w:color="000000" w:fill="FFFFFF"/>
            <w:vAlign w:val="center"/>
            <w:hideMark/>
          </w:tcPr>
          <w:p w14:paraId="5CA72B1B" w14:textId="77777777" w:rsidR="002E2C5F" w:rsidRPr="008244FA" w:rsidRDefault="002E2C5F" w:rsidP="007631AE">
            <w:pPr>
              <w:jc w:val="cente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75700</w:t>
            </w:r>
          </w:p>
        </w:tc>
        <w:tc>
          <w:tcPr>
            <w:tcW w:w="2103" w:type="dxa"/>
            <w:gridSpan w:val="3"/>
            <w:tcBorders>
              <w:top w:val="nil"/>
              <w:left w:val="nil"/>
              <w:bottom w:val="single" w:sz="8" w:space="0" w:color="auto"/>
              <w:right w:val="single" w:sz="4" w:space="0" w:color="auto"/>
            </w:tcBorders>
            <w:shd w:val="clear" w:color="000000" w:fill="FFFFFF"/>
            <w:noWrap/>
            <w:vAlign w:val="center"/>
            <w:hideMark/>
          </w:tcPr>
          <w:p w14:paraId="142D8A58" w14:textId="77777777" w:rsidR="002E2C5F" w:rsidRPr="008244FA" w:rsidRDefault="002E2C5F" w:rsidP="007631AE">
            <w:pPr>
              <w:jc w:val="both"/>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 xml:space="preserve">Training, workshops and Confer </w:t>
            </w:r>
          </w:p>
        </w:tc>
        <w:tc>
          <w:tcPr>
            <w:tcW w:w="1047" w:type="dxa"/>
            <w:tcBorders>
              <w:top w:val="nil"/>
              <w:left w:val="single" w:sz="4" w:space="0" w:color="auto"/>
              <w:bottom w:val="single" w:sz="8" w:space="0" w:color="auto"/>
              <w:right w:val="single" w:sz="8" w:space="0" w:color="auto"/>
            </w:tcBorders>
            <w:shd w:val="clear" w:color="000000" w:fill="FFFFFF"/>
            <w:noWrap/>
            <w:vAlign w:val="center"/>
            <w:hideMark/>
          </w:tcPr>
          <w:p w14:paraId="32211C26" w14:textId="77777777" w:rsidR="002E2C5F" w:rsidRPr="005265D7" w:rsidRDefault="002E2C5F"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 </w:t>
            </w:r>
          </w:p>
        </w:tc>
        <w:tc>
          <w:tcPr>
            <w:tcW w:w="975" w:type="dxa"/>
            <w:gridSpan w:val="2"/>
            <w:tcBorders>
              <w:top w:val="nil"/>
              <w:left w:val="nil"/>
              <w:bottom w:val="single" w:sz="8" w:space="0" w:color="auto"/>
              <w:right w:val="single" w:sz="8" w:space="0" w:color="auto"/>
            </w:tcBorders>
            <w:shd w:val="clear" w:color="000000" w:fill="FFFFFF"/>
            <w:noWrap/>
            <w:vAlign w:val="center"/>
            <w:hideMark/>
          </w:tcPr>
          <w:p w14:paraId="3B41B0E7" w14:textId="27DD4F75"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5,000</w:t>
            </w:r>
            <w:r w:rsidR="002E2C5F" w:rsidRPr="005265D7">
              <w:rPr>
                <w:rFonts w:asciiTheme="majorHAnsi" w:eastAsia="Times New Roman" w:hAnsiTheme="majorHAnsi" w:cstheme="majorHAnsi"/>
                <w:sz w:val="18"/>
                <w:szCs w:val="18"/>
                <w:highlight w:val="magenta"/>
                <w:lang w:val="fr-FR" w:eastAsia="fr-FR"/>
              </w:rPr>
              <w:t> </w:t>
            </w:r>
          </w:p>
        </w:tc>
        <w:tc>
          <w:tcPr>
            <w:tcW w:w="989" w:type="dxa"/>
            <w:tcBorders>
              <w:top w:val="nil"/>
              <w:left w:val="nil"/>
              <w:bottom w:val="single" w:sz="8" w:space="0" w:color="auto"/>
              <w:right w:val="single" w:sz="8" w:space="0" w:color="auto"/>
            </w:tcBorders>
            <w:shd w:val="clear" w:color="000000" w:fill="FFFFFF"/>
            <w:noWrap/>
            <w:vAlign w:val="center"/>
            <w:hideMark/>
          </w:tcPr>
          <w:p w14:paraId="622C5240" w14:textId="073D8F4D"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5,000</w:t>
            </w:r>
          </w:p>
        </w:tc>
        <w:tc>
          <w:tcPr>
            <w:tcW w:w="992" w:type="dxa"/>
            <w:tcBorders>
              <w:top w:val="nil"/>
              <w:left w:val="nil"/>
              <w:bottom w:val="single" w:sz="8" w:space="0" w:color="auto"/>
              <w:right w:val="single" w:sz="8" w:space="0" w:color="auto"/>
            </w:tcBorders>
            <w:shd w:val="clear" w:color="000000" w:fill="FFFFFF"/>
            <w:noWrap/>
            <w:vAlign w:val="center"/>
            <w:hideMark/>
          </w:tcPr>
          <w:p w14:paraId="595C5444" w14:textId="4C16C95B"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5,000</w:t>
            </w:r>
          </w:p>
        </w:tc>
        <w:tc>
          <w:tcPr>
            <w:tcW w:w="1115" w:type="dxa"/>
            <w:tcBorders>
              <w:top w:val="nil"/>
              <w:left w:val="nil"/>
              <w:bottom w:val="single" w:sz="8" w:space="0" w:color="auto"/>
              <w:right w:val="single" w:sz="8" w:space="0" w:color="auto"/>
            </w:tcBorders>
            <w:shd w:val="clear" w:color="000000" w:fill="FFFFFF"/>
            <w:noWrap/>
            <w:vAlign w:val="center"/>
            <w:hideMark/>
          </w:tcPr>
          <w:p w14:paraId="46198793" w14:textId="6C286793"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5</w:t>
            </w:r>
            <w:r w:rsidR="002E2C5F" w:rsidRPr="005265D7">
              <w:rPr>
                <w:rFonts w:asciiTheme="majorHAnsi" w:eastAsia="Times New Roman" w:hAnsiTheme="majorHAnsi" w:cstheme="majorHAnsi"/>
                <w:sz w:val="18"/>
                <w:szCs w:val="18"/>
                <w:highlight w:val="magenta"/>
                <w:lang w:val="fr-FR" w:eastAsia="fr-FR"/>
              </w:rPr>
              <w:t>,000</w:t>
            </w:r>
          </w:p>
        </w:tc>
        <w:tc>
          <w:tcPr>
            <w:tcW w:w="1157" w:type="dxa"/>
            <w:tcBorders>
              <w:top w:val="nil"/>
              <w:left w:val="nil"/>
              <w:bottom w:val="single" w:sz="8" w:space="0" w:color="auto"/>
              <w:right w:val="single" w:sz="8" w:space="0" w:color="auto"/>
            </w:tcBorders>
            <w:shd w:val="clear" w:color="000000" w:fill="FFFFFF"/>
            <w:noWrap/>
            <w:vAlign w:val="center"/>
            <w:hideMark/>
          </w:tcPr>
          <w:p w14:paraId="5C72E832" w14:textId="379A13BC" w:rsidR="002E2C5F" w:rsidRPr="005265D7" w:rsidRDefault="00D55B53" w:rsidP="007631AE">
            <w:pPr>
              <w:jc w:val="right"/>
              <w:rPr>
                <w:rFonts w:asciiTheme="majorHAnsi" w:eastAsia="Times New Roman" w:hAnsiTheme="majorHAnsi" w:cstheme="majorHAnsi"/>
                <w:sz w:val="18"/>
                <w:szCs w:val="18"/>
                <w:highlight w:val="magenta"/>
                <w:lang w:val="fr-FR" w:eastAsia="fr-FR"/>
              </w:rPr>
            </w:pPr>
            <w:r w:rsidRPr="005265D7">
              <w:rPr>
                <w:rFonts w:asciiTheme="majorHAnsi" w:eastAsia="Times New Roman" w:hAnsiTheme="majorHAnsi" w:cstheme="majorHAnsi"/>
                <w:sz w:val="18"/>
                <w:szCs w:val="18"/>
                <w:highlight w:val="magenta"/>
                <w:lang w:val="fr-FR" w:eastAsia="fr-FR"/>
              </w:rPr>
              <w:t>20,000</w:t>
            </w:r>
          </w:p>
        </w:tc>
        <w:tc>
          <w:tcPr>
            <w:tcW w:w="1238" w:type="dxa"/>
            <w:tcBorders>
              <w:top w:val="nil"/>
              <w:left w:val="nil"/>
              <w:bottom w:val="single" w:sz="8" w:space="0" w:color="auto"/>
              <w:right w:val="single" w:sz="8" w:space="0" w:color="auto"/>
            </w:tcBorders>
            <w:shd w:val="clear" w:color="000000" w:fill="FFFFFF"/>
            <w:vAlign w:val="center"/>
            <w:hideMark/>
          </w:tcPr>
          <w:p w14:paraId="3F429F2E" w14:textId="77777777" w:rsidR="002E2C5F" w:rsidRPr="007631AE" w:rsidRDefault="002E2C5F" w:rsidP="007631AE">
            <w:pPr>
              <w:jc w:val="right"/>
              <w:rPr>
                <w:rFonts w:ascii="Calibri" w:eastAsia="Times New Roman" w:hAnsi="Calibri" w:cs="Calibri"/>
                <w:sz w:val="20"/>
                <w:szCs w:val="20"/>
                <w:lang w:val="fr-FR" w:eastAsia="fr-FR"/>
              </w:rPr>
            </w:pPr>
            <w:r w:rsidRPr="007631AE">
              <w:rPr>
                <w:rFonts w:ascii="Calibri" w:eastAsia="Times New Roman" w:hAnsi="Calibri" w:cs="Calibri"/>
                <w:sz w:val="20"/>
                <w:szCs w:val="20"/>
                <w:lang w:val="fr-FR" w:eastAsia="fr-FR"/>
              </w:rPr>
              <w:t>40</w:t>
            </w:r>
          </w:p>
        </w:tc>
      </w:tr>
      <w:tr w:rsidR="00D55B53" w:rsidRPr="007631AE" w14:paraId="1475136F" w14:textId="77777777" w:rsidTr="00D55B53">
        <w:trPr>
          <w:trHeight w:val="315"/>
        </w:trPr>
        <w:tc>
          <w:tcPr>
            <w:tcW w:w="2111" w:type="dxa"/>
            <w:vMerge/>
            <w:tcBorders>
              <w:top w:val="nil"/>
              <w:left w:val="single" w:sz="4" w:space="0" w:color="auto"/>
              <w:bottom w:val="single" w:sz="4" w:space="0" w:color="auto"/>
              <w:right w:val="single" w:sz="4" w:space="0" w:color="auto"/>
            </w:tcBorders>
            <w:vAlign w:val="center"/>
            <w:hideMark/>
          </w:tcPr>
          <w:p w14:paraId="59FD5DDC" w14:textId="77777777" w:rsidR="00D55B53" w:rsidRPr="008244FA" w:rsidRDefault="00D55B53" w:rsidP="00D55B53">
            <w:pPr>
              <w:rPr>
                <w:rFonts w:asciiTheme="majorHAnsi" w:eastAsia="Times New Roman" w:hAnsiTheme="majorHAnsi" w:cstheme="majorHAnsi"/>
                <w:color w:val="000000"/>
                <w:sz w:val="18"/>
                <w:szCs w:val="18"/>
                <w:lang w:val="fr-FR" w:eastAsia="fr-FR"/>
              </w:rPr>
            </w:pPr>
          </w:p>
        </w:tc>
        <w:tc>
          <w:tcPr>
            <w:tcW w:w="1189" w:type="dxa"/>
            <w:vMerge/>
            <w:tcBorders>
              <w:top w:val="nil"/>
              <w:left w:val="nil"/>
              <w:bottom w:val="single" w:sz="8" w:space="0" w:color="000000"/>
              <w:right w:val="single" w:sz="8" w:space="0" w:color="auto"/>
            </w:tcBorders>
            <w:vAlign w:val="center"/>
            <w:hideMark/>
          </w:tcPr>
          <w:p w14:paraId="6806B189" w14:textId="77777777" w:rsidR="00D55B53" w:rsidRPr="008244FA" w:rsidRDefault="00D55B53" w:rsidP="00D55B53">
            <w:pPr>
              <w:rPr>
                <w:rFonts w:asciiTheme="majorHAnsi" w:eastAsia="Times New Roman" w:hAnsiTheme="majorHAnsi" w:cstheme="majorHAnsi"/>
                <w:color w:val="000000"/>
                <w:sz w:val="18"/>
                <w:szCs w:val="18"/>
                <w:lang w:val="fr-FR" w:eastAsia="fr-FR"/>
              </w:rPr>
            </w:pPr>
          </w:p>
        </w:tc>
        <w:tc>
          <w:tcPr>
            <w:tcW w:w="761" w:type="dxa"/>
            <w:vMerge/>
            <w:tcBorders>
              <w:top w:val="nil"/>
              <w:left w:val="single" w:sz="8" w:space="0" w:color="auto"/>
              <w:bottom w:val="nil"/>
              <w:right w:val="single" w:sz="8" w:space="0" w:color="auto"/>
            </w:tcBorders>
            <w:vAlign w:val="center"/>
            <w:hideMark/>
          </w:tcPr>
          <w:p w14:paraId="1D60C5BE" w14:textId="77777777" w:rsidR="00D55B53" w:rsidRPr="008244FA" w:rsidRDefault="00D55B53" w:rsidP="00D55B53">
            <w:pPr>
              <w:rPr>
                <w:rFonts w:asciiTheme="majorHAnsi" w:eastAsia="Times New Roman" w:hAnsiTheme="majorHAnsi" w:cstheme="majorHAnsi"/>
                <w:sz w:val="18"/>
                <w:szCs w:val="18"/>
                <w:lang w:val="fr-FR" w:eastAsia="fr-FR"/>
              </w:rPr>
            </w:pPr>
          </w:p>
        </w:tc>
        <w:tc>
          <w:tcPr>
            <w:tcW w:w="608" w:type="dxa"/>
            <w:gridSpan w:val="2"/>
            <w:vMerge/>
            <w:tcBorders>
              <w:top w:val="nil"/>
              <w:left w:val="single" w:sz="8" w:space="0" w:color="auto"/>
              <w:bottom w:val="nil"/>
              <w:right w:val="single" w:sz="8" w:space="0" w:color="auto"/>
            </w:tcBorders>
            <w:vAlign w:val="center"/>
            <w:hideMark/>
          </w:tcPr>
          <w:p w14:paraId="248ED70D" w14:textId="77777777" w:rsidR="00D55B53" w:rsidRPr="008244FA" w:rsidRDefault="00D55B53" w:rsidP="00D55B53">
            <w:pPr>
              <w:rPr>
                <w:rFonts w:asciiTheme="majorHAnsi" w:eastAsia="Times New Roman" w:hAnsiTheme="majorHAnsi" w:cstheme="majorHAnsi"/>
                <w:sz w:val="18"/>
                <w:szCs w:val="18"/>
                <w:lang w:val="fr-FR" w:eastAsia="fr-FR"/>
              </w:rPr>
            </w:pPr>
          </w:p>
        </w:tc>
        <w:tc>
          <w:tcPr>
            <w:tcW w:w="992" w:type="dxa"/>
            <w:gridSpan w:val="2"/>
            <w:tcBorders>
              <w:top w:val="nil"/>
              <w:left w:val="nil"/>
              <w:bottom w:val="single" w:sz="4" w:space="0" w:color="auto"/>
              <w:right w:val="single" w:sz="8" w:space="0" w:color="auto"/>
            </w:tcBorders>
            <w:shd w:val="clear" w:color="000000" w:fill="FFFFFF"/>
            <w:vAlign w:val="center"/>
            <w:hideMark/>
          </w:tcPr>
          <w:p w14:paraId="16DCDD13" w14:textId="77777777" w:rsidR="00D55B53" w:rsidRPr="008244FA" w:rsidRDefault="00D55B53" w:rsidP="00D55B53">
            <w:pPr>
              <w:jc w:val="cente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71400</w:t>
            </w:r>
          </w:p>
        </w:tc>
        <w:tc>
          <w:tcPr>
            <w:tcW w:w="2103" w:type="dxa"/>
            <w:gridSpan w:val="3"/>
            <w:tcBorders>
              <w:top w:val="nil"/>
              <w:left w:val="nil"/>
              <w:bottom w:val="single" w:sz="8" w:space="0" w:color="auto"/>
              <w:right w:val="single" w:sz="4" w:space="0" w:color="auto"/>
            </w:tcBorders>
            <w:shd w:val="clear" w:color="000000" w:fill="FFFFFF"/>
            <w:noWrap/>
            <w:vAlign w:val="center"/>
            <w:hideMark/>
          </w:tcPr>
          <w:p w14:paraId="3219E317" w14:textId="77777777" w:rsidR="00D55B53" w:rsidRPr="008244FA" w:rsidRDefault="00D55B53" w:rsidP="00D55B53">
            <w:pPr>
              <w:jc w:val="both"/>
              <w:rPr>
                <w:rFonts w:asciiTheme="majorHAnsi" w:eastAsia="Times New Roman" w:hAnsiTheme="majorHAnsi" w:cstheme="majorHAnsi"/>
                <w:sz w:val="18"/>
                <w:szCs w:val="18"/>
                <w:lang w:val="fr-FR" w:eastAsia="fr-FR"/>
              </w:rPr>
            </w:pPr>
            <w:proofErr w:type="spellStart"/>
            <w:r w:rsidRPr="008244FA">
              <w:rPr>
                <w:rFonts w:asciiTheme="majorHAnsi" w:eastAsia="Times New Roman" w:hAnsiTheme="majorHAnsi" w:cstheme="majorHAnsi"/>
                <w:sz w:val="18"/>
                <w:szCs w:val="18"/>
                <w:lang w:val="fr-FR" w:eastAsia="fr-FR"/>
              </w:rPr>
              <w:t>Contractual</w:t>
            </w:r>
            <w:proofErr w:type="spellEnd"/>
            <w:r w:rsidRPr="008244FA">
              <w:rPr>
                <w:rFonts w:asciiTheme="majorHAnsi" w:eastAsia="Times New Roman" w:hAnsiTheme="majorHAnsi" w:cstheme="majorHAnsi"/>
                <w:sz w:val="18"/>
                <w:szCs w:val="18"/>
                <w:lang w:val="fr-FR" w:eastAsia="fr-FR"/>
              </w:rPr>
              <w:t xml:space="preserve"> Services - </w:t>
            </w:r>
            <w:proofErr w:type="spellStart"/>
            <w:r w:rsidRPr="008244FA">
              <w:rPr>
                <w:rFonts w:asciiTheme="majorHAnsi" w:eastAsia="Times New Roman" w:hAnsiTheme="majorHAnsi" w:cstheme="majorHAnsi"/>
                <w:sz w:val="18"/>
                <w:szCs w:val="18"/>
                <w:lang w:val="fr-FR" w:eastAsia="fr-FR"/>
              </w:rPr>
              <w:t>Individual</w:t>
            </w:r>
            <w:proofErr w:type="spellEnd"/>
            <w:r w:rsidRPr="008244FA">
              <w:rPr>
                <w:rFonts w:asciiTheme="majorHAnsi" w:eastAsia="Times New Roman" w:hAnsiTheme="majorHAnsi" w:cstheme="majorHAnsi"/>
                <w:sz w:val="18"/>
                <w:szCs w:val="18"/>
                <w:lang w:val="fr-FR" w:eastAsia="fr-FR"/>
              </w:rPr>
              <w:t xml:space="preserve"> </w:t>
            </w:r>
          </w:p>
        </w:tc>
        <w:tc>
          <w:tcPr>
            <w:tcW w:w="1047" w:type="dxa"/>
            <w:tcBorders>
              <w:top w:val="nil"/>
              <w:left w:val="nil"/>
              <w:bottom w:val="single" w:sz="8" w:space="0" w:color="auto"/>
              <w:right w:val="single" w:sz="8" w:space="0" w:color="auto"/>
            </w:tcBorders>
            <w:shd w:val="clear" w:color="auto" w:fill="FFFFFF" w:themeFill="background1"/>
            <w:noWrap/>
            <w:vAlign w:val="center"/>
            <w:hideMark/>
          </w:tcPr>
          <w:p w14:paraId="2629C43F" w14:textId="28A7F652"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36,000</w:t>
            </w:r>
          </w:p>
        </w:tc>
        <w:tc>
          <w:tcPr>
            <w:tcW w:w="975" w:type="dxa"/>
            <w:gridSpan w:val="2"/>
            <w:tcBorders>
              <w:top w:val="nil"/>
              <w:left w:val="nil"/>
              <w:bottom w:val="single" w:sz="8" w:space="0" w:color="auto"/>
              <w:right w:val="single" w:sz="8" w:space="0" w:color="auto"/>
            </w:tcBorders>
            <w:shd w:val="clear" w:color="auto" w:fill="FFFFFF" w:themeFill="background1"/>
            <w:noWrap/>
            <w:vAlign w:val="center"/>
            <w:hideMark/>
          </w:tcPr>
          <w:p w14:paraId="2B5A6507" w14:textId="2219D024"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36,000</w:t>
            </w:r>
          </w:p>
        </w:tc>
        <w:tc>
          <w:tcPr>
            <w:tcW w:w="989" w:type="dxa"/>
            <w:tcBorders>
              <w:top w:val="nil"/>
              <w:left w:val="nil"/>
              <w:bottom w:val="single" w:sz="8" w:space="0" w:color="auto"/>
              <w:right w:val="single" w:sz="8" w:space="0" w:color="auto"/>
            </w:tcBorders>
            <w:shd w:val="clear" w:color="auto" w:fill="FFFFFF" w:themeFill="background1"/>
            <w:noWrap/>
            <w:vAlign w:val="center"/>
            <w:hideMark/>
          </w:tcPr>
          <w:p w14:paraId="45E2839A" w14:textId="2749A80B"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36,000</w:t>
            </w:r>
          </w:p>
        </w:tc>
        <w:tc>
          <w:tcPr>
            <w:tcW w:w="992" w:type="dxa"/>
            <w:tcBorders>
              <w:top w:val="nil"/>
              <w:left w:val="nil"/>
              <w:bottom w:val="single" w:sz="8" w:space="0" w:color="auto"/>
              <w:right w:val="single" w:sz="8" w:space="0" w:color="auto"/>
            </w:tcBorders>
            <w:shd w:val="clear" w:color="auto" w:fill="FFFFFF" w:themeFill="background1"/>
            <w:noWrap/>
            <w:vAlign w:val="center"/>
            <w:hideMark/>
          </w:tcPr>
          <w:p w14:paraId="1DDF7E6B" w14:textId="22A48DEA"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36,000</w:t>
            </w:r>
          </w:p>
        </w:tc>
        <w:tc>
          <w:tcPr>
            <w:tcW w:w="1115" w:type="dxa"/>
            <w:tcBorders>
              <w:top w:val="nil"/>
              <w:left w:val="nil"/>
              <w:bottom w:val="single" w:sz="8" w:space="0" w:color="auto"/>
              <w:right w:val="single" w:sz="8" w:space="0" w:color="auto"/>
            </w:tcBorders>
            <w:shd w:val="clear" w:color="auto" w:fill="FFFFFF" w:themeFill="background1"/>
            <w:noWrap/>
            <w:vAlign w:val="center"/>
            <w:hideMark/>
          </w:tcPr>
          <w:p w14:paraId="22018FB0" w14:textId="79133F38"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36,000</w:t>
            </w:r>
          </w:p>
        </w:tc>
        <w:tc>
          <w:tcPr>
            <w:tcW w:w="1157" w:type="dxa"/>
            <w:tcBorders>
              <w:top w:val="nil"/>
              <w:left w:val="nil"/>
              <w:bottom w:val="single" w:sz="8" w:space="0" w:color="auto"/>
              <w:right w:val="single" w:sz="8" w:space="0" w:color="auto"/>
            </w:tcBorders>
            <w:shd w:val="clear" w:color="auto" w:fill="FFFFFF" w:themeFill="background1"/>
            <w:noWrap/>
            <w:vAlign w:val="center"/>
            <w:hideMark/>
          </w:tcPr>
          <w:p w14:paraId="30F20AFC" w14:textId="540E854F"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180,000</w:t>
            </w:r>
          </w:p>
        </w:tc>
        <w:tc>
          <w:tcPr>
            <w:tcW w:w="1238" w:type="dxa"/>
            <w:tcBorders>
              <w:top w:val="nil"/>
              <w:left w:val="nil"/>
              <w:bottom w:val="single" w:sz="8" w:space="0" w:color="auto"/>
              <w:right w:val="single" w:sz="8" w:space="0" w:color="auto"/>
            </w:tcBorders>
            <w:shd w:val="clear" w:color="000000" w:fill="FFFFFF"/>
            <w:vAlign w:val="center"/>
            <w:hideMark/>
          </w:tcPr>
          <w:p w14:paraId="509C3A4A" w14:textId="77777777" w:rsidR="00D55B53" w:rsidRPr="007631AE" w:rsidRDefault="00D55B53" w:rsidP="00D55B53">
            <w:pPr>
              <w:jc w:val="right"/>
              <w:rPr>
                <w:rFonts w:ascii="Calibri" w:eastAsia="Times New Roman" w:hAnsi="Calibri" w:cs="Calibri"/>
                <w:sz w:val="20"/>
                <w:szCs w:val="20"/>
                <w:lang w:val="fr-FR" w:eastAsia="fr-FR"/>
              </w:rPr>
            </w:pPr>
            <w:r w:rsidRPr="007631AE">
              <w:rPr>
                <w:rFonts w:ascii="Calibri" w:eastAsia="Times New Roman" w:hAnsi="Calibri" w:cs="Calibri"/>
                <w:sz w:val="20"/>
                <w:szCs w:val="20"/>
                <w:lang w:val="fr-FR" w:eastAsia="fr-FR"/>
              </w:rPr>
              <w:t>41</w:t>
            </w:r>
          </w:p>
        </w:tc>
      </w:tr>
      <w:tr w:rsidR="00D55B53" w:rsidRPr="007631AE" w14:paraId="66EE76C9" w14:textId="77777777" w:rsidTr="005265D7">
        <w:trPr>
          <w:trHeight w:val="315"/>
        </w:trPr>
        <w:tc>
          <w:tcPr>
            <w:tcW w:w="2111" w:type="dxa"/>
            <w:vMerge/>
            <w:tcBorders>
              <w:top w:val="nil"/>
              <w:left w:val="single" w:sz="4" w:space="0" w:color="auto"/>
              <w:bottom w:val="single" w:sz="4" w:space="0" w:color="auto"/>
              <w:right w:val="single" w:sz="4" w:space="0" w:color="auto"/>
            </w:tcBorders>
            <w:vAlign w:val="center"/>
            <w:hideMark/>
          </w:tcPr>
          <w:p w14:paraId="6A774809" w14:textId="77777777" w:rsidR="00D55B53" w:rsidRPr="008244FA" w:rsidRDefault="00D55B53" w:rsidP="00D55B53">
            <w:pPr>
              <w:rPr>
                <w:rFonts w:asciiTheme="majorHAnsi" w:eastAsia="Times New Roman" w:hAnsiTheme="majorHAnsi" w:cstheme="majorHAnsi"/>
                <w:color w:val="000000"/>
                <w:sz w:val="18"/>
                <w:szCs w:val="18"/>
                <w:lang w:val="fr-FR" w:eastAsia="fr-FR"/>
              </w:rPr>
            </w:pPr>
          </w:p>
        </w:tc>
        <w:tc>
          <w:tcPr>
            <w:tcW w:w="1189" w:type="dxa"/>
            <w:vMerge/>
            <w:tcBorders>
              <w:top w:val="nil"/>
              <w:left w:val="nil"/>
              <w:bottom w:val="single" w:sz="8" w:space="0" w:color="000000"/>
              <w:right w:val="single" w:sz="8" w:space="0" w:color="auto"/>
            </w:tcBorders>
            <w:vAlign w:val="center"/>
            <w:hideMark/>
          </w:tcPr>
          <w:p w14:paraId="7D1382BE" w14:textId="77777777" w:rsidR="00D55B53" w:rsidRPr="008244FA" w:rsidRDefault="00D55B53" w:rsidP="00D55B53">
            <w:pPr>
              <w:rPr>
                <w:rFonts w:asciiTheme="majorHAnsi" w:eastAsia="Times New Roman" w:hAnsiTheme="majorHAnsi" w:cstheme="majorHAnsi"/>
                <w:color w:val="000000"/>
                <w:sz w:val="18"/>
                <w:szCs w:val="18"/>
                <w:lang w:val="fr-FR" w:eastAsia="fr-FR"/>
              </w:rPr>
            </w:pPr>
          </w:p>
        </w:tc>
        <w:tc>
          <w:tcPr>
            <w:tcW w:w="1042" w:type="dxa"/>
            <w:gridSpan w:val="2"/>
            <w:tcBorders>
              <w:top w:val="nil"/>
              <w:left w:val="nil"/>
              <w:bottom w:val="single" w:sz="8" w:space="0" w:color="auto"/>
              <w:right w:val="nil"/>
            </w:tcBorders>
            <w:shd w:val="clear" w:color="000000" w:fill="BFBFBF"/>
            <w:vAlign w:val="center"/>
            <w:hideMark/>
          </w:tcPr>
          <w:p w14:paraId="708BAE6D" w14:textId="77777777" w:rsidR="00D55B53" w:rsidRPr="008244FA" w:rsidRDefault="00D55B53" w:rsidP="00D55B53">
            <w:pPr>
              <w:jc w:val="cente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 </w:t>
            </w:r>
          </w:p>
        </w:tc>
        <w:tc>
          <w:tcPr>
            <w:tcW w:w="761" w:type="dxa"/>
            <w:gridSpan w:val="2"/>
            <w:tcBorders>
              <w:top w:val="nil"/>
              <w:left w:val="nil"/>
              <w:bottom w:val="single" w:sz="8" w:space="0" w:color="auto"/>
              <w:right w:val="nil"/>
            </w:tcBorders>
            <w:shd w:val="clear" w:color="000000" w:fill="BFBFBF"/>
            <w:vAlign w:val="center"/>
            <w:hideMark/>
          </w:tcPr>
          <w:p w14:paraId="39AF9218" w14:textId="77777777" w:rsidR="00D55B53" w:rsidRPr="008244FA" w:rsidRDefault="00D55B53" w:rsidP="00D55B53">
            <w:pPr>
              <w:jc w:val="cente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 </w:t>
            </w:r>
          </w:p>
        </w:tc>
        <w:tc>
          <w:tcPr>
            <w:tcW w:w="608" w:type="dxa"/>
            <w:gridSpan w:val="2"/>
            <w:tcBorders>
              <w:top w:val="nil"/>
              <w:left w:val="nil"/>
              <w:bottom w:val="single" w:sz="8" w:space="0" w:color="auto"/>
              <w:right w:val="nil"/>
            </w:tcBorders>
            <w:shd w:val="clear" w:color="000000" w:fill="BFBFBF"/>
            <w:vAlign w:val="center"/>
            <w:hideMark/>
          </w:tcPr>
          <w:p w14:paraId="1F847E5C" w14:textId="77777777" w:rsidR="00D55B53" w:rsidRPr="008244FA" w:rsidRDefault="00D55B53" w:rsidP="00D55B53">
            <w:pPr>
              <w:jc w:val="both"/>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 </w:t>
            </w:r>
          </w:p>
        </w:tc>
        <w:tc>
          <w:tcPr>
            <w:tcW w:w="992" w:type="dxa"/>
            <w:tcBorders>
              <w:top w:val="nil"/>
              <w:left w:val="nil"/>
              <w:bottom w:val="single" w:sz="8" w:space="0" w:color="auto"/>
              <w:right w:val="nil"/>
            </w:tcBorders>
            <w:shd w:val="clear" w:color="000000" w:fill="BFBFBF"/>
            <w:vAlign w:val="center"/>
            <w:hideMark/>
          </w:tcPr>
          <w:p w14:paraId="38F04885" w14:textId="77777777" w:rsidR="00D55B53" w:rsidRPr="008244FA" w:rsidRDefault="00D55B53" w:rsidP="00D55B53">
            <w:pPr>
              <w:jc w:val="both"/>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 </w:t>
            </w:r>
          </w:p>
        </w:tc>
        <w:tc>
          <w:tcPr>
            <w:tcW w:w="1061" w:type="dxa"/>
            <w:tcBorders>
              <w:top w:val="nil"/>
              <w:left w:val="nil"/>
              <w:bottom w:val="single" w:sz="8" w:space="0" w:color="auto"/>
              <w:right w:val="single" w:sz="4" w:space="0" w:color="auto"/>
            </w:tcBorders>
            <w:shd w:val="clear" w:color="000000" w:fill="BFBFBF"/>
            <w:noWrap/>
            <w:vAlign w:val="center"/>
            <w:hideMark/>
          </w:tcPr>
          <w:p w14:paraId="751AD986" w14:textId="300B983F" w:rsidR="00D55B53" w:rsidRPr="008C3093" w:rsidRDefault="00D55B53" w:rsidP="00D55B53">
            <w:pPr>
              <w:jc w:val="both"/>
              <w:rPr>
                <w:rFonts w:asciiTheme="majorHAnsi" w:eastAsia="Times New Roman" w:hAnsiTheme="majorHAnsi" w:cstheme="majorHAnsi"/>
                <w:b/>
                <w:bCs/>
                <w:sz w:val="18"/>
                <w:szCs w:val="18"/>
                <w:lang w:val="fr-FR" w:eastAsia="fr-FR"/>
              </w:rPr>
            </w:pPr>
            <w:r w:rsidRPr="008C3093">
              <w:rPr>
                <w:rFonts w:asciiTheme="majorHAnsi" w:eastAsia="Times New Roman" w:hAnsiTheme="majorHAnsi" w:cstheme="majorHAnsi"/>
                <w:b/>
                <w:bCs/>
                <w:sz w:val="18"/>
                <w:szCs w:val="18"/>
                <w:lang w:val="fr-FR" w:eastAsia="fr-FR"/>
              </w:rPr>
              <w:t>Subtotal TRAC</w:t>
            </w:r>
          </w:p>
        </w:tc>
        <w:tc>
          <w:tcPr>
            <w:tcW w:w="1047" w:type="dxa"/>
            <w:tcBorders>
              <w:top w:val="single" w:sz="8" w:space="0" w:color="auto"/>
              <w:left w:val="single" w:sz="8" w:space="0" w:color="auto"/>
              <w:bottom w:val="single" w:sz="8" w:space="0" w:color="auto"/>
              <w:right w:val="single" w:sz="8" w:space="0" w:color="auto"/>
            </w:tcBorders>
            <w:shd w:val="clear" w:color="000000" w:fill="BFBFBF"/>
            <w:vAlign w:val="center"/>
          </w:tcPr>
          <w:p w14:paraId="7CD8E260" w14:textId="506671AA"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36,000</w:t>
            </w:r>
          </w:p>
        </w:tc>
        <w:tc>
          <w:tcPr>
            <w:tcW w:w="975" w:type="dxa"/>
            <w:gridSpan w:val="2"/>
            <w:tcBorders>
              <w:top w:val="nil"/>
              <w:left w:val="nil"/>
              <w:bottom w:val="single" w:sz="8" w:space="0" w:color="auto"/>
              <w:right w:val="single" w:sz="8" w:space="0" w:color="auto"/>
            </w:tcBorders>
            <w:shd w:val="clear" w:color="000000" w:fill="BFBFBF"/>
            <w:noWrap/>
            <w:vAlign w:val="center"/>
            <w:hideMark/>
          </w:tcPr>
          <w:p w14:paraId="2217E743" w14:textId="38EA4301"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41,000</w:t>
            </w:r>
          </w:p>
        </w:tc>
        <w:tc>
          <w:tcPr>
            <w:tcW w:w="989" w:type="dxa"/>
            <w:tcBorders>
              <w:top w:val="nil"/>
              <w:left w:val="nil"/>
              <w:bottom w:val="single" w:sz="8" w:space="0" w:color="auto"/>
              <w:right w:val="single" w:sz="8" w:space="0" w:color="auto"/>
            </w:tcBorders>
            <w:shd w:val="clear" w:color="000000" w:fill="BFBFBF"/>
            <w:noWrap/>
            <w:vAlign w:val="center"/>
            <w:hideMark/>
          </w:tcPr>
          <w:p w14:paraId="0A0FB94E" w14:textId="7DCB90B4"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41,000</w:t>
            </w:r>
          </w:p>
        </w:tc>
        <w:tc>
          <w:tcPr>
            <w:tcW w:w="992" w:type="dxa"/>
            <w:tcBorders>
              <w:top w:val="nil"/>
              <w:left w:val="nil"/>
              <w:bottom w:val="single" w:sz="8" w:space="0" w:color="auto"/>
              <w:right w:val="single" w:sz="8" w:space="0" w:color="auto"/>
            </w:tcBorders>
            <w:shd w:val="clear" w:color="000000" w:fill="BFBFBF"/>
            <w:noWrap/>
            <w:vAlign w:val="center"/>
            <w:hideMark/>
          </w:tcPr>
          <w:p w14:paraId="18448F26" w14:textId="67752A83"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41,000</w:t>
            </w:r>
          </w:p>
        </w:tc>
        <w:tc>
          <w:tcPr>
            <w:tcW w:w="1115" w:type="dxa"/>
            <w:tcBorders>
              <w:top w:val="nil"/>
              <w:left w:val="nil"/>
              <w:bottom w:val="single" w:sz="8" w:space="0" w:color="auto"/>
              <w:right w:val="single" w:sz="8" w:space="0" w:color="auto"/>
            </w:tcBorders>
            <w:shd w:val="clear" w:color="000000" w:fill="BFBFBF"/>
            <w:noWrap/>
            <w:vAlign w:val="center"/>
            <w:hideMark/>
          </w:tcPr>
          <w:p w14:paraId="193465EC" w14:textId="59EC8DF7"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41,000</w:t>
            </w:r>
          </w:p>
        </w:tc>
        <w:tc>
          <w:tcPr>
            <w:tcW w:w="1157" w:type="dxa"/>
            <w:tcBorders>
              <w:top w:val="nil"/>
              <w:left w:val="nil"/>
              <w:bottom w:val="single" w:sz="8" w:space="0" w:color="auto"/>
              <w:right w:val="single" w:sz="8" w:space="0" w:color="auto"/>
            </w:tcBorders>
            <w:shd w:val="clear" w:color="000000" w:fill="BFBFBF"/>
            <w:noWrap/>
            <w:vAlign w:val="center"/>
            <w:hideMark/>
          </w:tcPr>
          <w:p w14:paraId="0A36BC4B" w14:textId="4EF45013" w:rsidR="00D55B53" w:rsidRPr="00D55B53" w:rsidRDefault="00D55B53" w:rsidP="00D55B53">
            <w:pPr>
              <w:jc w:val="right"/>
              <w:rPr>
                <w:rFonts w:asciiTheme="majorHAnsi" w:eastAsia="Times New Roman" w:hAnsiTheme="majorHAnsi" w:cstheme="majorHAnsi"/>
                <w:sz w:val="18"/>
                <w:szCs w:val="18"/>
                <w:lang w:val="fr-FR" w:eastAsia="fr-FR"/>
              </w:rPr>
            </w:pPr>
            <w:r w:rsidRPr="00D55B53">
              <w:rPr>
                <w:rFonts w:ascii="Calibri" w:hAnsi="Calibri" w:cs="Calibri"/>
                <w:sz w:val="18"/>
                <w:szCs w:val="20"/>
              </w:rPr>
              <w:t>200,000</w:t>
            </w:r>
          </w:p>
        </w:tc>
        <w:tc>
          <w:tcPr>
            <w:tcW w:w="1238" w:type="dxa"/>
            <w:tcBorders>
              <w:top w:val="nil"/>
              <w:left w:val="nil"/>
              <w:bottom w:val="single" w:sz="8" w:space="0" w:color="auto"/>
              <w:right w:val="single" w:sz="8" w:space="0" w:color="auto"/>
            </w:tcBorders>
            <w:shd w:val="clear" w:color="000000" w:fill="BFBFBF"/>
            <w:noWrap/>
            <w:vAlign w:val="center"/>
            <w:hideMark/>
          </w:tcPr>
          <w:p w14:paraId="70E24D81" w14:textId="3B9544F5" w:rsidR="00D55B53" w:rsidRPr="008244FA" w:rsidRDefault="00D55B53" w:rsidP="00D55B53">
            <w:pPr>
              <w:jc w:val="right"/>
              <w:rPr>
                <w:rFonts w:asciiTheme="majorHAnsi" w:eastAsia="Times New Roman" w:hAnsiTheme="majorHAnsi" w:cstheme="majorHAnsi"/>
                <w:sz w:val="18"/>
                <w:szCs w:val="18"/>
                <w:lang w:val="fr-FR" w:eastAsia="fr-FR"/>
              </w:rPr>
            </w:pPr>
          </w:p>
        </w:tc>
      </w:tr>
      <w:tr w:rsidR="00D55B53" w:rsidRPr="007631AE" w14:paraId="6AB4D0E4" w14:textId="77777777" w:rsidTr="002E2C5F">
        <w:trPr>
          <w:trHeight w:val="315"/>
        </w:trPr>
        <w:tc>
          <w:tcPr>
            <w:tcW w:w="2111" w:type="dxa"/>
            <w:tcBorders>
              <w:top w:val="nil"/>
              <w:left w:val="single" w:sz="8" w:space="0" w:color="auto"/>
              <w:bottom w:val="single" w:sz="8" w:space="0" w:color="auto"/>
              <w:right w:val="single" w:sz="8" w:space="0" w:color="auto"/>
            </w:tcBorders>
            <w:shd w:val="clear" w:color="auto" w:fill="auto"/>
            <w:vAlign w:val="center"/>
            <w:hideMark/>
          </w:tcPr>
          <w:p w14:paraId="654FE05F" w14:textId="77777777" w:rsidR="00D55B53" w:rsidRPr="008244FA" w:rsidRDefault="00D55B53" w:rsidP="00D55B53">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1189" w:type="dxa"/>
            <w:vMerge/>
            <w:tcBorders>
              <w:top w:val="nil"/>
              <w:left w:val="nil"/>
              <w:bottom w:val="single" w:sz="8" w:space="0" w:color="000000"/>
              <w:right w:val="single" w:sz="8" w:space="0" w:color="auto"/>
            </w:tcBorders>
            <w:vAlign w:val="center"/>
            <w:hideMark/>
          </w:tcPr>
          <w:p w14:paraId="445F972B" w14:textId="77777777" w:rsidR="00D55B53" w:rsidRPr="008244FA" w:rsidRDefault="00D55B53" w:rsidP="00D55B53">
            <w:pPr>
              <w:rPr>
                <w:rFonts w:asciiTheme="majorHAnsi" w:eastAsia="Times New Roman" w:hAnsiTheme="majorHAnsi" w:cstheme="majorHAnsi"/>
                <w:color w:val="000000"/>
                <w:sz w:val="18"/>
                <w:szCs w:val="18"/>
                <w:lang w:val="fr-FR" w:eastAsia="fr-FR"/>
              </w:rPr>
            </w:pPr>
          </w:p>
        </w:tc>
        <w:tc>
          <w:tcPr>
            <w:tcW w:w="4464" w:type="dxa"/>
            <w:gridSpan w:val="8"/>
            <w:tcBorders>
              <w:top w:val="nil"/>
              <w:left w:val="nil"/>
              <w:bottom w:val="single" w:sz="8" w:space="0" w:color="auto"/>
              <w:right w:val="single" w:sz="4" w:space="0" w:color="auto"/>
            </w:tcBorders>
            <w:shd w:val="clear" w:color="000000" w:fill="BFBFBF"/>
            <w:noWrap/>
            <w:vAlign w:val="center"/>
            <w:hideMark/>
          </w:tcPr>
          <w:p w14:paraId="223733B9" w14:textId="77777777" w:rsidR="00D55B53" w:rsidRPr="008244FA" w:rsidRDefault="00D55B53" w:rsidP="00D55B53">
            <w:pPr>
              <w:jc w:val="both"/>
              <w:rPr>
                <w:rFonts w:asciiTheme="majorHAnsi" w:eastAsia="Times New Roman" w:hAnsiTheme="majorHAnsi" w:cstheme="majorHAnsi"/>
                <w:b/>
                <w:bCs/>
                <w:sz w:val="18"/>
                <w:szCs w:val="18"/>
                <w:lang w:val="fr-FR" w:eastAsia="fr-FR"/>
              </w:rPr>
            </w:pPr>
            <w:r w:rsidRPr="008244FA">
              <w:rPr>
                <w:rFonts w:asciiTheme="majorHAnsi" w:eastAsia="Times New Roman" w:hAnsiTheme="majorHAnsi" w:cstheme="majorHAnsi"/>
                <w:b/>
                <w:bCs/>
                <w:sz w:val="18"/>
                <w:szCs w:val="18"/>
                <w:lang w:val="fr-FR" w:eastAsia="fr-FR"/>
              </w:rPr>
              <w:t>Total Mangement</w:t>
            </w:r>
          </w:p>
        </w:tc>
        <w:tc>
          <w:tcPr>
            <w:tcW w:w="1047" w:type="dxa"/>
            <w:tcBorders>
              <w:top w:val="nil"/>
              <w:left w:val="single" w:sz="4" w:space="0" w:color="auto"/>
              <w:bottom w:val="single" w:sz="8" w:space="0" w:color="auto"/>
              <w:right w:val="nil"/>
            </w:tcBorders>
            <w:shd w:val="clear" w:color="000000" w:fill="BFBFBF"/>
            <w:vAlign w:val="center"/>
          </w:tcPr>
          <w:p w14:paraId="0209E5CF" w14:textId="1B945EE4" w:rsidR="00D55B53" w:rsidRPr="005265D7" w:rsidRDefault="00D55B53" w:rsidP="00D55B53">
            <w:pPr>
              <w:jc w:val="right"/>
              <w:rPr>
                <w:rFonts w:asciiTheme="majorHAnsi" w:eastAsia="Times New Roman" w:hAnsiTheme="majorHAnsi" w:cstheme="majorHAnsi"/>
                <w:b/>
                <w:bCs/>
                <w:sz w:val="18"/>
                <w:szCs w:val="18"/>
                <w:highlight w:val="magenta"/>
                <w:lang w:val="fr-FR" w:eastAsia="fr-FR"/>
              </w:rPr>
            </w:pPr>
            <w:r w:rsidRPr="005265D7">
              <w:rPr>
                <w:rFonts w:ascii="Calibri" w:hAnsi="Calibri" w:cs="Calibri"/>
                <w:sz w:val="18"/>
                <w:szCs w:val="20"/>
                <w:highlight w:val="magenta"/>
              </w:rPr>
              <w:t>63,910</w:t>
            </w:r>
          </w:p>
        </w:tc>
        <w:tc>
          <w:tcPr>
            <w:tcW w:w="975" w:type="dxa"/>
            <w:gridSpan w:val="2"/>
            <w:tcBorders>
              <w:top w:val="nil"/>
              <w:left w:val="single" w:sz="8" w:space="0" w:color="auto"/>
              <w:bottom w:val="nil"/>
              <w:right w:val="single" w:sz="8" w:space="0" w:color="auto"/>
            </w:tcBorders>
            <w:shd w:val="clear" w:color="000000" w:fill="BFBFBF"/>
            <w:noWrap/>
            <w:vAlign w:val="center"/>
            <w:hideMark/>
          </w:tcPr>
          <w:p w14:paraId="3AC817A6" w14:textId="47216607"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68,910</w:t>
            </w:r>
          </w:p>
        </w:tc>
        <w:tc>
          <w:tcPr>
            <w:tcW w:w="989" w:type="dxa"/>
            <w:tcBorders>
              <w:top w:val="nil"/>
              <w:left w:val="nil"/>
              <w:bottom w:val="single" w:sz="8" w:space="0" w:color="auto"/>
              <w:right w:val="single" w:sz="8" w:space="0" w:color="auto"/>
            </w:tcBorders>
            <w:shd w:val="clear" w:color="000000" w:fill="BFBFBF"/>
            <w:noWrap/>
            <w:vAlign w:val="center"/>
            <w:hideMark/>
          </w:tcPr>
          <w:p w14:paraId="2940142C" w14:textId="1B997C5A"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68,910</w:t>
            </w:r>
          </w:p>
        </w:tc>
        <w:tc>
          <w:tcPr>
            <w:tcW w:w="992" w:type="dxa"/>
            <w:tcBorders>
              <w:top w:val="nil"/>
              <w:left w:val="nil"/>
              <w:bottom w:val="single" w:sz="8" w:space="0" w:color="auto"/>
              <w:right w:val="single" w:sz="8" w:space="0" w:color="auto"/>
            </w:tcBorders>
            <w:shd w:val="clear" w:color="000000" w:fill="BFBFBF"/>
            <w:noWrap/>
            <w:vAlign w:val="center"/>
            <w:hideMark/>
          </w:tcPr>
          <w:p w14:paraId="1A529FCC" w14:textId="5A152F81"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sz w:val="18"/>
                <w:szCs w:val="20"/>
                <w:highlight w:val="magenta"/>
              </w:rPr>
              <w:t>68,910</w:t>
            </w:r>
          </w:p>
        </w:tc>
        <w:tc>
          <w:tcPr>
            <w:tcW w:w="1115" w:type="dxa"/>
            <w:tcBorders>
              <w:top w:val="nil"/>
              <w:left w:val="nil"/>
              <w:bottom w:val="single" w:sz="8" w:space="0" w:color="auto"/>
              <w:right w:val="single" w:sz="8" w:space="0" w:color="auto"/>
            </w:tcBorders>
            <w:shd w:val="clear" w:color="000000" w:fill="BFBFBF"/>
            <w:noWrap/>
            <w:vAlign w:val="center"/>
            <w:hideMark/>
          </w:tcPr>
          <w:p w14:paraId="6EC91758" w14:textId="2DB93447" w:rsidR="00D55B53" w:rsidRPr="00D55B53" w:rsidRDefault="00D55B53" w:rsidP="00D55B53">
            <w:pPr>
              <w:jc w:val="right"/>
              <w:rPr>
                <w:rFonts w:asciiTheme="majorHAnsi" w:eastAsia="Times New Roman" w:hAnsiTheme="majorHAnsi" w:cstheme="majorHAnsi"/>
                <w:color w:val="000000" w:themeColor="text1"/>
                <w:sz w:val="18"/>
                <w:szCs w:val="18"/>
                <w:highlight w:val="magenta"/>
                <w:lang w:val="fr-FR" w:eastAsia="fr-FR"/>
              </w:rPr>
            </w:pPr>
            <w:r w:rsidRPr="00D55B53">
              <w:rPr>
                <w:rFonts w:ascii="Calibri" w:hAnsi="Calibri" w:cs="Calibri"/>
                <w:sz w:val="18"/>
                <w:szCs w:val="20"/>
                <w:highlight w:val="magenta"/>
              </w:rPr>
              <w:t>93,909</w:t>
            </w:r>
          </w:p>
        </w:tc>
        <w:tc>
          <w:tcPr>
            <w:tcW w:w="1157" w:type="dxa"/>
            <w:tcBorders>
              <w:top w:val="nil"/>
              <w:left w:val="nil"/>
              <w:bottom w:val="single" w:sz="8" w:space="0" w:color="auto"/>
              <w:right w:val="single" w:sz="8" w:space="0" w:color="auto"/>
            </w:tcBorders>
            <w:shd w:val="clear" w:color="000000" w:fill="BFBFBF"/>
            <w:noWrap/>
            <w:vAlign w:val="center"/>
            <w:hideMark/>
          </w:tcPr>
          <w:p w14:paraId="33917AB0" w14:textId="316B3220" w:rsidR="00D55B53" w:rsidRPr="00D55B53" w:rsidRDefault="00D55B53" w:rsidP="00D55B53">
            <w:pPr>
              <w:jc w:val="right"/>
              <w:rPr>
                <w:rFonts w:asciiTheme="majorHAnsi" w:eastAsia="Times New Roman" w:hAnsiTheme="majorHAnsi" w:cstheme="majorHAnsi"/>
                <w:sz w:val="18"/>
                <w:szCs w:val="18"/>
                <w:lang w:val="fr-FR" w:eastAsia="fr-FR"/>
              </w:rPr>
            </w:pPr>
            <w:r w:rsidRPr="00D55B53">
              <w:rPr>
                <w:rFonts w:ascii="Calibri" w:hAnsi="Calibri" w:cs="Calibri"/>
                <w:sz w:val="18"/>
                <w:szCs w:val="20"/>
              </w:rPr>
              <w:t>364,549</w:t>
            </w:r>
          </w:p>
        </w:tc>
        <w:tc>
          <w:tcPr>
            <w:tcW w:w="1238" w:type="dxa"/>
            <w:tcBorders>
              <w:top w:val="nil"/>
              <w:left w:val="nil"/>
              <w:bottom w:val="single" w:sz="8" w:space="0" w:color="auto"/>
              <w:right w:val="single" w:sz="8" w:space="0" w:color="auto"/>
            </w:tcBorders>
            <w:shd w:val="clear" w:color="000000" w:fill="BFBFBF"/>
            <w:noWrap/>
            <w:vAlign w:val="center"/>
            <w:hideMark/>
          </w:tcPr>
          <w:p w14:paraId="6F1C852E" w14:textId="3D395791" w:rsidR="00D55B53" w:rsidRPr="008244FA" w:rsidRDefault="00D55B53" w:rsidP="00D55B53">
            <w:pPr>
              <w:jc w:val="right"/>
              <w:rPr>
                <w:rFonts w:asciiTheme="majorHAnsi" w:eastAsia="Times New Roman" w:hAnsiTheme="majorHAnsi" w:cstheme="majorHAnsi"/>
                <w:sz w:val="18"/>
                <w:szCs w:val="18"/>
                <w:lang w:val="fr-FR" w:eastAsia="fr-FR"/>
              </w:rPr>
            </w:pPr>
          </w:p>
        </w:tc>
      </w:tr>
      <w:tr w:rsidR="00D55B53" w:rsidRPr="007631AE" w14:paraId="1723255A" w14:textId="77777777" w:rsidTr="002E2C5F">
        <w:trPr>
          <w:trHeight w:val="315"/>
        </w:trPr>
        <w:tc>
          <w:tcPr>
            <w:tcW w:w="2111" w:type="dxa"/>
            <w:tcBorders>
              <w:top w:val="nil"/>
              <w:left w:val="single" w:sz="8" w:space="0" w:color="auto"/>
              <w:bottom w:val="single" w:sz="8" w:space="0" w:color="auto"/>
              <w:right w:val="single" w:sz="8" w:space="0" w:color="auto"/>
            </w:tcBorders>
            <w:shd w:val="clear" w:color="auto" w:fill="auto"/>
            <w:vAlign w:val="center"/>
            <w:hideMark/>
          </w:tcPr>
          <w:p w14:paraId="35BE9C63" w14:textId="77777777" w:rsidR="00D55B53" w:rsidRPr="008244FA" w:rsidRDefault="00D55B53" w:rsidP="00D55B53">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1189" w:type="dxa"/>
            <w:tcBorders>
              <w:top w:val="nil"/>
              <w:left w:val="nil"/>
              <w:bottom w:val="single" w:sz="8" w:space="0" w:color="auto"/>
              <w:right w:val="nil"/>
            </w:tcBorders>
            <w:shd w:val="clear" w:color="auto" w:fill="auto"/>
            <w:vAlign w:val="center"/>
            <w:hideMark/>
          </w:tcPr>
          <w:p w14:paraId="6C824878" w14:textId="77777777" w:rsidR="00D55B53" w:rsidRPr="008244FA" w:rsidRDefault="00D55B53" w:rsidP="00D55B53">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4464" w:type="dxa"/>
            <w:gridSpan w:val="8"/>
            <w:tcBorders>
              <w:top w:val="single" w:sz="8" w:space="0" w:color="auto"/>
              <w:left w:val="single" w:sz="8" w:space="0" w:color="auto"/>
              <w:bottom w:val="single" w:sz="8" w:space="0" w:color="auto"/>
              <w:right w:val="single" w:sz="4" w:space="0" w:color="auto"/>
            </w:tcBorders>
            <w:shd w:val="clear" w:color="000000" w:fill="BFBFBF"/>
            <w:noWrap/>
            <w:vAlign w:val="center"/>
            <w:hideMark/>
          </w:tcPr>
          <w:p w14:paraId="5D2320DF" w14:textId="77777777" w:rsidR="00D55B53" w:rsidRPr="008244FA" w:rsidRDefault="00D55B53" w:rsidP="00D55B53">
            <w:pPr>
              <w:jc w:val="both"/>
              <w:rPr>
                <w:rFonts w:asciiTheme="majorHAnsi" w:eastAsia="Times New Roman" w:hAnsiTheme="majorHAnsi" w:cstheme="majorHAnsi"/>
                <w:b/>
                <w:bCs/>
                <w:sz w:val="18"/>
                <w:szCs w:val="18"/>
                <w:lang w:val="fr-FR" w:eastAsia="fr-FR"/>
              </w:rPr>
            </w:pPr>
            <w:r w:rsidRPr="008244FA">
              <w:rPr>
                <w:rFonts w:asciiTheme="majorHAnsi" w:eastAsia="Times New Roman" w:hAnsiTheme="majorHAnsi" w:cstheme="majorHAnsi"/>
                <w:b/>
                <w:bCs/>
                <w:sz w:val="18"/>
                <w:szCs w:val="18"/>
                <w:lang w:val="fr-FR" w:eastAsia="fr-FR"/>
              </w:rPr>
              <w:t>Project Total (GEF)</w:t>
            </w:r>
          </w:p>
        </w:tc>
        <w:tc>
          <w:tcPr>
            <w:tcW w:w="1047" w:type="dxa"/>
            <w:tcBorders>
              <w:top w:val="single" w:sz="8" w:space="0" w:color="auto"/>
              <w:left w:val="single" w:sz="4" w:space="0" w:color="auto"/>
              <w:bottom w:val="single" w:sz="8" w:space="0" w:color="auto"/>
              <w:right w:val="nil"/>
            </w:tcBorders>
            <w:shd w:val="clear" w:color="000000" w:fill="BFBFBF"/>
            <w:vAlign w:val="center"/>
          </w:tcPr>
          <w:p w14:paraId="2DB51F00" w14:textId="4C8D1D91" w:rsidR="00D55B53" w:rsidRPr="005265D7" w:rsidRDefault="00D55B53" w:rsidP="00D55B53">
            <w:pPr>
              <w:jc w:val="right"/>
              <w:rPr>
                <w:rFonts w:asciiTheme="majorHAnsi" w:eastAsia="Times New Roman" w:hAnsiTheme="majorHAnsi" w:cstheme="majorHAnsi"/>
                <w:b/>
                <w:bCs/>
                <w:sz w:val="18"/>
                <w:szCs w:val="18"/>
                <w:highlight w:val="magenta"/>
                <w:lang w:val="fr-FR" w:eastAsia="fr-FR"/>
              </w:rPr>
            </w:pPr>
            <w:r w:rsidRPr="005265D7">
              <w:rPr>
                <w:rFonts w:ascii="Calibri Light" w:hAnsi="Calibri Light" w:cs="Calibri Light"/>
                <w:b/>
                <w:bCs/>
                <w:sz w:val="18"/>
                <w:szCs w:val="20"/>
                <w:highlight w:val="magenta"/>
              </w:rPr>
              <w:t>744,250</w:t>
            </w:r>
          </w:p>
        </w:tc>
        <w:tc>
          <w:tcPr>
            <w:tcW w:w="975" w:type="dxa"/>
            <w:gridSpan w:val="2"/>
            <w:tcBorders>
              <w:top w:val="single" w:sz="8" w:space="0" w:color="auto"/>
              <w:left w:val="single" w:sz="8" w:space="0" w:color="auto"/>
              <w:bottom w:val="nil"/>
              <w:right w:val="single" w:sz="8" w:space="0" w:color="auto"/>
            </w:tcBorders>
            <w:shd w:val="clear" w:color="000000" w:fill="BFBFBF"/>
            <w:noWrap/>
            <w:vAlign w:val="center"/>
            <w:hideMark/>
          </w:tcPr>
          <w:p w14:paraId="27B0FFD4" w14:textId="073307BB" w:rsidR="00D55B53" w:rsidRPr="005265D7" w:rsidRDefault="00D55B53" w:rsidP="00D55B53">
            <w:pPr>
              <w:jc w:val="right"/>
              <w:rPr>
                <w:rFonts w:asciiTheme="majorHAnsi" w:eastAsia="Times New Roman" w:hAnsiTheme="majorHAnsi" w:cstheme="majorHAnsi"/>
                <w:b/>
                <w:bCs/>
                <w:sz w:val="18"/>
                <w:szCs w:val="18"/>
                <w:highlight w:val="magenta"/>
                <w:lang w:val="fr-FR" w:eastAsia="fr-FR"/>
              </w:rPr>
            </w:pPr>
            <w:r w:rsidRPr="005265D7">
              <w:rPr>
                <w:rFonts w:ascii="Calibri Light" w:hAnsi="Calibri Light" w:cs="Calibri Light"/>
                <w:b/>
                <w:bCs/>
                <w:sz w:val="18"/>
                <w:szCs w:val="20"/>
                <w:highlight w:val="magenta"/>
              </w:rPr>
              <w:t>645,317</w:t>
            </w:r>
          </w:p>
        </w:tc>
        <w:tc>
          <w:tcPr>
            <w:tcW w:w="989" w:type="dxa"/>
            <w:tcBorders>
              <w:top w:val="nil"/>
              <w:left w:val="nil"/>
              <w:bottom w:val="single" w:sz="8" w:space="0" w:color="auto"/>
              <w:right w:val="single" w:sz="8" w:space="0" w:color="auto"/>
            </w:tcBorders>
            <w:shd w:val="clear" w:color="000000" w:fill="BFBFBF"/>
            <w:noWrap/>
            <w:vAlign w:val="center"/>
            <w:hideMark/>
          </w:tcPr>
          <w:p w14:paraId="4C53224F" w14:textId="0E8E195B" w:rsidR="00D55B53" w:rsidRPr="005265D7" w:rsidRDefault="00D55B53" w:rsidP="00D55B53">
            <w:pPr>
              <w:jc w:val="right"/>
              <w:rPr>
                <w:rFonts w:asciiTheme="majorHAnsi" w:eastAsia="Times New Roman" w:hAnsiTheme="majorHAnsi" w:cstheme="majorHAnsi"/>
                <w:b/>
                <w:bCs/>
                <w:sz w:val="18"/>
                <w:szCs w:val="18"/>
                <w:highlight w:val="magenta"/>
                <w:lang w:val="fr-FR" w:eastAsia="fr-FR"/>
              </w:rPr>
            </w:pPr>
            <w:r w:rsidRPr="005265D7">
              <w:rPr>
                <w:rFonts w:ascii="Calibri Light" w:hAnsi="Calibri Light" w:cs="Calibri Light"/>
                <w:b/>
                <w:bCs/>
                <w:sz w:val="18"/>
                <w:szCs w:val="20"/>
                <w:highlight w:val="magenta"/>
              </w:rPr>
              <w:t>729,250</w:t>
            </w:r>
          </w:p>
        </w:tc>
        <w:tc>
          <w:tcPr>
            <w:tcW w:w="992" w:type="dxa"/>
            <w:tcBorders>
              <w:top w:val="nil"/>
              <w:left w:val="nil"/>
              <w:bottom w:val="single" w:sz="8" w:space="0" w:color="auto"/>
              <w:right w:val="single" w:sz="8" w:space="0" w:color="auto"/>
            </w:tcBorders>
            <w:shd w:val="clear" w:color="000000" w:fill="BFBFBF"/>
            <w:noWrap/>
            <w:vAlign w:val="center"/>
            <w:hideMark/>
          </w:tcPr>
          <w:p w14:paraId="2C5816AE" w14:textId="5C9694BF" w:rsidR="00D55B53" w:rsidRPr="005265D7" w:rsidRDefault="00D55B53" w:rsidP="00D55B53">
            <w:pPr>
              <w:jc w:val="right"/>
              <w:rPr>
                <w:rFonts w:asciiTheme="majorHAnsi" w:eastAsia="Times New Roman" w:hAnsiTheme="majorHAnsi" w:cstheme="majorHAnsi"/>
                <w:b/>
                <w:bCs/>
                <w:sz w:val="18"/>
                <w:szCs w:val="18"/>
                <w:highlight w:val="magenta"/>
                <w:lang w:val="fr-FR" w:eastAsia="fr-FR"/>
              </w:rPr>
            </w:pPr>
            <w:r w:rsidRPr="005265D7">
              <w:rPr>
                <w:rFonts w:ascii="Calibri Light" w:hAnsi="Calibri Light" w:cs="Calibri Light"/>
                <w:b/>
                <w:bCs/>
                <w:sz w:val="18"/>
                <w:szCs w:val="20"/>
                <w:highlight w:val="magenta"/>
              </w:rPr>
              <w:t>663,100</w:t>
            </w:r>
          </w:p>
        </w:tc>
        <w:tc>
          <w:tcPr>
            <w:tcW w:w="1115" w:type="dxa"/>
            <w:tcBorders>
              <w:top w:val="nil"/>
              <w:left w:val="nil"/>
              <w:bottom w:val="single" w:sz="8" w:space="0" w:color="auto"/>
              <w:right w:val="single" w:sz="8" w:space="0" w:color="auto"/>
            </w:tcBorders>
            <w:shd w:val="clear" w:color="000000" w:fill="BFBFBF"/>
            <w:noWrap/>
            <w:vAlign w:val="center"/>
            <w:hideMark/>
          </w:tcPr>
          <w:p w14:paraId="4A6ACCDB" w14:textId="6C9494FA" w:rsidR="00D55B53" w:rsidRPr="00D55B53" w:rsidRDefault="00D55B53" w:rsidP="00D55B53">
            <w:pPr>
              <w:jc w:val="right"/>
              <w:rPr>
                <w:rFonts w:asciiTheme="majorHAnsi" w:eastAsia="Times New Roman" w:hAnsiTheme="majorHAnsi" w:cstheme="majorHAnsi"/>
                <w:b/>
                <w:bCs/>
                <w:color w:val="000000" w:themeColor="text1"/>
                <w:sz w:val="18"/>
                <w:szCs w:val="18"/>
                <w:highlight w:val="magenta"/>
                <w:lang w:val="fr-FR" w:eastAsia="fr-FR"/>
              </w:rPr>
            </w:pPr>
            <w:r w:rsidRPr="00D55B53">
              <w:rPr>
                <w:rFonts w:ascii="Calibri Light" w:hAnsi="Calibri Light" w:cs="Calibri Light"/>
                <w:b/>
                <w:bCs/>
                <w:sz w:val="18"/>
                <w:szCs w:val="20"/>
                <w:highlight w:val="magenta"/>
              </w:rPr>
              <w:t>718,083</w:t>
            </w:r>
          </w:p>
        </w:tc>
        <w:tc>
          <w:tcPr>
            <w:tcW w:w="1157" w:type="dxa"/>
            <w:tcBorders>
              <w:top w:val="nil"/>
              <w:left w:val="nil"/>
              <w:bottom w:val="single" w:sz="8" w:space="0" w:color="auto"/>
              <w:right w:val="single" w:sz="8" w:space="0" w:color="auto"/>
            </w:tcBorders>
            <w:shd w:val="clear" w:color="000000" w:fill="BFBFBF"/>
            <w:noWrap/>
            <w:vAlign w:val="center"/>
            <w:hideMark/>
          </w:tcPr>
          <w:p w14:paraId="7E41B782" w14:textId="65AB590E" w:rsidR="00D55B53" w:rsidRPr="00D55B53" w:rsidRDefault="00D55B53" w:rsidP="00D55B53">
            <w:pPr>
              <w:jc w:val="right"/>
              <w:rPr>
                <w:rFonts w:asciiTheme="majorHAnsi" w:eastAsia="Times New Roman" w:hAnsiTheme="majorHAnsi" w:cstheme="majorHAnsi"/>
                <w:b/>
                <w:bCs/>
                <w:sz w:val="18"/>
                <w:szCs w:val="18"/>
                <w:lang w:val="fr-FR" w:eastAsia="fr-FR"/>
              </w:rPr>
            </w:pPr>
            <w:r w:rsidRPr="00D55B53">
              <w:rPr>
                <w:rFonts w:ascii="Calibri Light" w:hAnsi="Calibri Light" w:cs="Calibri Light"/>
                <w:b/>
                <w:bCs/>
                <w:sz w:val="18"/>
                <w:szCs w:val="20"/>
              </w:rPr>
              <w:t>3,500,000</w:t>
            </w:r>
          </w:p>
        </w:tc>
        <w:tc>
          <w:tcPr>
            <w:tcW w:w="1238" w:type="dxa"/>
            <w:tcBorders>
              <w:top w:val="nil"/>
              <w:left w:val="nil"/>
              <w:bottom w:val="single" w:sz="8" w:space="0" w:color="auto"/>
              <w:right w:val="single" w:sz="8" w:space="0" w:color="auto"/>
            </w:tcBorders>
            <w:shd w:val="clear" w:color="000000" w:fill="BFBFBF"/>
            <w:noWrap/>
            <w:vAlign w:val="center"/>
            <w:hideMark/>
          </w:tcPr>
          <w:p w14:paraId="3A2A0125" w14:textId="4BF60C31" w:rsidR="00D55B53" w:rsidRPr="008244FA" w:rsidRDefault="00D55B53" w:rsidP="00D55B53">
            <w:pPr>
              <w:jc w:val="right"/>
              <w:rPr>
                <w:rFonts w:asciiTheme="majorHAnsi" w:eastAsia="Times New Roman" w:hAnsiTheme="majorHAnsi" w:cstheme="majorHAnsi"/>
                <w:b/>
                <w:bCs/>
                <w:sz w:val="18"/>
                <w:szCs w:val="18"/>
                <w:lang w:val="fr-FR" w:eastAsia="fr-FR"/>
              </w:rPr>
            </w:pPr>
          </w:p>
        </w:tc>
      </w:tr>
      <w:tr w:rsidR="00D55B53" w:rsidRPr="007631AE" w14:paraId="486332AB" w14:textId="77777777" w:rsidTr="002E2C5F">
        <w:trPr>
          <w:trHeight w:val="315"/>
        </w:trPr>
        <w:tc>
          <w:tcPr>
            <w:tcW w:w="2111" w:type="dxa"/>
            <w:tcBorders>
              <w:top w:val="nil"/>
              <w:left w:val="single" w:sz="8" w:space="0" w:color="auto"/>
              <w:bottom w:val="single" w:sz="8" w:space="0" w:color="auto"/>
              <w:right w:val="single" w:sz="8" w:space="0" w:color="auto"/>
            </w:tcBorders>
            <w:shd w:val="clear" w:color="auto" w:fill="auto"/>
            <w:noWrap/>
            <w:vAlign w:val="bottom"/>
            <w:hideMark/>
          </w:tcPr>
          <w:p w14:paraId="3A5C9CAD" w14:textId="77777777" w:rsidR="00D55B53" w:rsidRPr="008244FA" w:rsidRDefault="00D55B53" w:rsidP="00D55B53">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1189" w:type="dxa"/>
            <w:tcBorders>
              <w:top w:val="nil"/>
              <w:left w:val="nil"/>
              <w:bottom w:val="single" w:sz="8" w:space="0" w:color="auto"/>
              <w:right w:val="nil"/>
            </w:tcBorders>
            <w:shd w:val="clear" w:color="auto" w:fill="auto"/>
            <w:noWrap/>
            <w:vAlign w:val="bottom"/>
            <w:hideMark/>
          </w:tcPr>
          <w:p w14:paraId="0DF36E6B" w14:textId="77777777" w:rsidR="00D55B53" w:rsidRPr="008244FA" w:rsidRDefault="00D55B53" w:rsidP="00D55B53">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w:t>
            </w:r>
          </w:p>
        </w:tc>
        <w:tc>
          <w:tcPr>
            <w:tcW w:w="2411" w:type="dxa"/>
            <w:gridSpan w:val="6"/>
            <w:tcBorders>
              <w:top w:val="single" w:sz="8" w:space="0" w:color="auto"/>
              <w:left w:val="nil"/>
              <w:bottom w:val="single" w:sz="8" w:space="0" w:color="auto"/>
              <w:right w:val="nil"/>
            </w:tcBorders>
            <w:shd w:val="clear" w:color="000000" w:fill="BFBFBF"/>
            <w:noWrap/>
            <w:vAlign w:val="bottom"/>
            <w:hideMark/>
          </w:tcPr>
          <w:p w14:paraId="4EDFC2FB" w14:textId="77777777" w:rsidR="00D55B53" w:rsidRPr="008244FA" w:rsidRDefault="00D55B53" w:rsidP="00D55B53">
            <w:pPr>
              <w:rPr>
                <w:rFonts w:asciiTheme="majorHAnsi" w:eastAsia="Times New Roman" w:hAnsiTheme="majorHAnsi" w:cstheme="majorHAnsi"/>
                <w:b/>
                <w:bCs/>
                <w:sz w:val="18"/>
                <w:szCs w:val="18"/>
                <w:lang w:val="fr-FR" w:eastAsia="fr-FR"/>
              </w:rPr>
            </w:pPr>
            <w:r w:rsidRPr="008244FA">
              <w:rPr>
                <w:rFonts w:asciiTheme="majorHAnsi" w:eastAsia="Times New Roman" w:hAnsiTheme="majorHAnsi" w:cstheme="majorHAnsi"/>
                <w:b/>
                <w:bCs/>
                <w:sz w:val="18"/>
                <w:szCs w:val="18"/>
                <w:lang w:val="fr-FR" w:eastAsia="fr-FR"/>
              </w:rPr>
              <w:t xml:space="preserve">Project Total </w:t>
            </w:r>
            <w:r w:rsidRPr="008244FA">
              <w:rPr>
                <w:rFonts w:asciiTheme="majorHAnsi" w:eastAsia="Times New Roman" w:hAnsiTheme="majorHAnsi" w:cstheme="majorHAnsi"/>
                <w:b/>
                <w:bCs/>
                <w:i/>
                <w:iCs/>
                <w:sz w:val="18"/>
                <w:szCs w:val="18"/>
                <w:lang w:val="fr-FR" w:eastAsia="fr-FR"/>
              </w:rPr>
              <w:t>(</w:t>
            </w:r>
            <w:proofErr w:type="spellStart"/>
            <w:r w:rsidRPr="008244FA">
              <w:rPr>
                <w:rFonts w:asciiTheme="majorHAnsi" w:eastAsia="Times New Roman" w:hAnsiTheme="majorHAnsi" w:cstheme="majorHAnsi"/>
                <w:b/>
                <w:bCs/>
                <w:i/>
                <w:iCs/>
                <w:sz w:val="18"/>
                <w:szCs w:val="18"/>
                <w:lang w:val="fr-FR" w:eastAsia="fr-FR"/>
              </w:rPr>
              <w:t>including</w:t>
            </w:r>
            <w:proofErr w:type="spellEnd"/>
            <w:r w:rsidRPr="008244FA">
              <w:rPr>
                <w:rFonts w:asciiTheme="majorHAnsi" w:eastAsia="Times New Roman" w:hAnsiTheme="majorHAnsi" w:cstheme="majorHAnsi"/>
                <w:b/>
                <w:bCs/>
                <w:i/>
                <w:iCs/>
                <w:sz w:val="18"/>
                <w:szCs w:val="18"/>
                <w:lang w:val="fr-FR" w:eastAsia="fr-FR"/>
              </w:rPr>
              <w:t xml:space="preserve"> TRAC)</w:t>
            </w:r>
          </w:p>
        </w:tc>
        <w:tc>
          <w:tcPr>
            <w:tcW w:w="992" w:type="dxa"/>
            <w:tcBorders>
              <w:top w:val="nil"/>
              <w:left w:val="nil"/>
              <w:bottom w:val="single" w:sz="8" w:space="0" w:color="auto"/>
              <w:right w:val="nil"/>
            </w:tcBorders>
            <w:shd w:val="clear" w:color="000000" w:fill="BFBFBF"/>
            <w:noWrap/>
            <w:vAlign w:val="bottom"/>
            <w:hideMark/>
          </w:tcPr>
          <w:p w14:paraId="7947F54A" w14:textId="77777777" w:rsidR="00D55B53" w:rsidRPr="008244FA" w:rsidRDefault="00D55B53" w:rsidP="00D55B53">
            <w:pP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 </w:t>
            </w:r>
          </w:p>
        </w:tc>
        <w:tc>
          <w:tcPr>
            <w:tcW w:w="1061" w:type="dxa"/>
            <w:tcBorders>
              <w:top w:val="nil"/>
              <w:left w:val="nil"/>
              <w:bottom w:val="single" w:sz="8" w:space="0" w:color="auto"/>
              <w:right w:val="single" w:sz="4" w:space="0" w:color="auto"/>
            </w:tcBorders>
            <w:shd w:val="clear" w:color="000000" w:fill="BFBFBF"/>
            <w:noWrap/>
            <w:vAlign w:val="bottom"/>
            <w:hideMark/>
          </w:tcPr>
          <w:p w14:paraId="589A1D7B" w14:textId="77777777" w:rsidR="00D55B53" w:rsidRPr="008244FA" w:rsidRDefault="00D55B53" w:rsidP="00D55B53">
            <w:pP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 </w:t>
            </w:r>
          </w:p>
        </w:tc>
        <w:tc>
          <w:tcPr>
            <w:tcW w:w="1047" w:type="dxa"/>
            <w:tcBorders>
              <w:top w:val="nil"/>
              <w:left w:val="single" w:sz="4" w:space="0" w:color="auto"/>
              <w:bottom w:val="single" w:sz="8" w:space="0" w:color="auto"/>
              <w:right w:val="nil"/>
            </w:tcBorders>
            <w:shd w:val="clear" w:color="000000" w:fill="BFBFBF"/>
            <w:vAlign w:val="bottom"/>
          </w:tcPr>
          <w:p w14:paraId="1814FBC7" w14:textId="4A97291E"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bCs/>
                <w:sz w:val="18"/>
                <w:szCs w:val="22"/>
                <w:highlight w:val="magenta"/>
              </w:rPr>
              <w:t>780,250</w:t>
            </w:r>
          </w:p>
        </w:tc>
        <w:tc>
          <w:tcPr>
            <w:tcW w:w="975" w:type="dxa"/>
            <w:gridSpan w:val="2"/>
            <w:tcBorders>
              <w:top w:val="single" w:sz="8" w:space="0" w:color="auto"/>
              <w:left w:val="single" w:sz="8" w:space="0" w:color="auto"/>
              <w:bottom w:val="single" w:sz="8" w:space="0" w:color="auto"/>
              <w:right w:val="single" w:sz="8" w:space="0" w:color="auto"/>
            </w:tcBorders>
            <w:shd w:val="clear" w:color="000000" w:fill="BFBFBF"/>
            <w:noWrap/>
            <w:vAlign w:val="bottom"/>
            <w:hideMark/>
          </w:tcPr>
          <w:p w14:paraId="2B69CC6E" w14:textId="44690E1C"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bCs/>
                <w:sz w:val="18"/>
                <w:szCs w:val="22"/>
                <w:highlight w:val="magenta"/>
              </w:rPr>
              <w:t>686,317</w:t>
            </w:r>
          </w:p>
        </w:tc>
        <w:tc>
          <w:tcPr>
            <w:tcW w:w="989" w:type="dxa"/>
            <w:tcBorders>
              <w:top w:val="nil"/>
              <w:left w:val="nil"/>
              <w:bottom w:val="single" w:sz="8" w:space="0" w:color="auto"/>
              <w:right w:val="single" w:sz="8" w:space="0" w:color="auto"/>
            </w:tcBorders>
            <w:shd w:val="clear" w:color="000000" w:fill="BFBFBF"/>
            <w:noWrap/>
            <w:vAlign w:val="bottom"/>
            <w:hideMark/>
          </w:tcPr>
          <w:p w14:paraId="14D45C26" w14:textId="2DBC3714"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bCs/>
                <w:sz w:val="18"/>
                <w:szCs w:val="22"/>
                <w:highlight w:val="magenta"/>
              </w:rPr>
              <w:t>770,250</w:t>
            </w:r>
          </w:p>
        </w:tc>
        <w:tc>
          <w:tcPr>
            <w:tcW w:w="992" w:type="dxa"/>
            <w:tcBorders>
              <w:top w:val="nil"/>
              <w:left w:val="nil"/>
              <w:bottom w:val="single" w:sz="8" w:space="0" w:color="auto"/>
              <w:right w:val="single" w:sz="8" w:space="0" w:color="auto"/>
            </w:tcBorders>
            <w:shd w:val="clear" w:color="000000" w:fill="BFBFBF"/>
            <w:noWrap/>
            <w:vAlign w:val="bottom"/>
            <w:hideMark/>
          </w:tcPr>
          <w:p w14:paraId="31DFDC85" w14:textId="2BB9578A" w:rsidR="00D55B53" w:rsidRPr="005265D7" w:rsidRDefault="00D55B53" w:rsidP="00D55B53">
            <w:pPr>
              <w:jc w:val="right"/>
              <w:rPr>
                <w:rFonts w:asciiTheme="majorHAnsi" w:eastAsia="Times New Roman" w:hAnsiTheme="majorHAnsi" w:cstheme="majorHAnsi"/>
                <w:sz w:val="18"/>
                <w:szCs w:val="18"/>
                <w:highlight w:val="magenta"/>
                <w:lang w:val="fr-FR" w:eastAsia="fr-FR"/>
              </w:rPr>
            </w:pPr>
            <w:r w:rsidRPr="005265D7">
              <w:rPr>
                <w:rFonts w:ascii="Calibri" w:hAnsi="Calibri" w:cs="Calibri"/>
                <w:bCs/>
                <w:sz w:val="18"/>
                <w:szCs w:val="22"/>
                <w:highlight w:val="magenta"/>
              </w:rPr>
              <w:t>704,100</w:t>
            </w:r>
          </w:p>
        </w:tc>
        <w:tc>
          <w:tcPr>
            <w:tcW w:w="1115" w:type="dxa"/>
            <w:tcBorders>
              <w:top w:val="nil"/>
              <w:left w:val="nil"/>
              <w:bottom w:val="single" w:sz="8" w:space="0" w:color="auto"/>
              <w:right w:val="single" w:sz="8" w:space="0" w:color="auto"/>
            </w:tcBorders>
            <w:shd w:val="clear" w:color="000000" w:fill="BFBFBF"/>
            <w:noWrap/>
            <w:vAlign w:val="bottom"/>
            <w:hideMark/>
          </w:tcPr>
          <w:p w14:paraId="741BB56D" w14:textId="02898360" w:rsidR="00D55B53" w:rsidRPr="00D55B53" w:rsidRDefault="00D55B53" w:rsidP="00D55B53">
            <w:pPr>
              <w:jc w:val="right"/>
              <w:rPr>
                <w:rFonts w:asciiTheme="majorHAnsi" w:eastAsia="Times New Roman" w:hAnsiTheme="majorHAnsi" w:cstheme="majorHAnsi"/>
                <w:color w:val="000000" w:themeColor="text1"/>
                <w:sz w:val="18"/>
                <w:szCs w:val="18"/>
                <w:highlight w:val="magenta"/>
                <w:lang w:val="fr-FR" w:eastAsia="fr-FR"/>
              </w:rPr>
            </w:pPr>
            <w:r w:rsidRPr="00D55B53">
              <w:rPr>
                <w:rFonts w:ascii="Calibri" w:hAnsi="Calibri" w:cs="Calibri"/>
                <w:bCs/>
                <w:sz w:val="18"/>
                <w:szCs w:val="22"/>
                <w:highlight w:val="magenta"/>
              </w:rPr>
              <w:t>759,083</w:t>
            </w:r>
          </w:p>
        </w:tc>
        <w:tc>
          <w:tcPr>
            <w:tcW w:w="1157" w:type="dxa"/>
            <w:tcBorders>
              <w:top w:val="nil"/>
              <w:left w:val="nil"/>
              <w:bottom w:val="single" w:sz="8" w:space="0" w:color="auto"/>
              <w:right w:val="single" w:sz="8" w:space="0" w:color="auto"/>
            </w:tcBorders>
            <w:shd w:val="clear" w:color="000000" w:fill="BFBFBF"/>
            <w:noWrap/>
            <w:vAlign w:val="bottom"/>
            <w:hideMark/>
          </w:tcPr>
          <w:p w14:paraId="660C1201" w14:textId="103DC7AC" w:rsidR="00D55B53" w:rsidRPr="008244FA" w:rsidRDefault="00D55B53" w:rsidP="00D55B53">
            <w:pPr>
              <w:jc w:val="right"/>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3,700,000</w:t>
            </w:r>
          </w:p>
        </w:tc>
        <w:tc>
          <w:tcPr>
            <w:tcW w:w="1238" w:type="dxa"/>
            <w:tcBorders>
              <w:top w:val="nil"/>
              <w:left w:val="nil"/>
              <w:bottom w:val="single" w:sz="8" w:space="0" w:color="auto"/>
              <w:right w:val="single" w:sz="8" w:space="0" w:color="auto"/>
            </w:tcBorders>
            <w:shd w:val="clear" w:color="000000" w:fill="BFBFBF"/>
            <w:noWrap/>
            <w:vAlign w:val="bottom"/>
            <w:hideMark/>
          </w:tcPr>
          <w:p w14:paraId="781B907E" w14:textId="5690E8BF" w:rsidR="00D55B53" w:rsidRPr="008244FA" w:rsidRDefault="00D55B53" w:rsidP="00D55B53">
            <w:pPr>
              <w:jc w:val="right"/>
              <w:rPr>
                <w:rFonts w:asciiTheme="majorHAnsi" w:eastAsia="Times New Roman" w:hAnsiTheme="majorHAnsi" w:cstheme="majorHAnsi"/>
                <w:sz w:val="18"/>
                <w:szCs w:val="18"/>
                <w:lang w:val="fr-FR" w:eastAsia="fr-FR"/>
              </w:rPr>
            </w:pPr>
          </w:p>
        </w:tc>
      </w:tr>
    </w:tbl>
    <w:p w14:paraId="5B09D1C2" w14:textId="77777777" w:rsidR="001F13A9" w:rsidRPr="005516CD" w:rsidRDefault="001F13A9">
      <w:pPr>
        <w:rPr>
          <w:color w:val="FF0000"/>
        </w:rPr>
      </w:pPr>
    </w:p>
    <w:p w14:paraId="22C0E83A" w14:textId="77777777" w:rsidR="00302513" w:rsidRPr="005516CD" w:rsidRDefault="00302513" w:rsidP="007B146B">
      <w:pPr>
        <w:rPr>
          <w:color w:val="FF0000"/>
        </w:rPr>
      </w:pPr>
    </w:p>
    <w:p w14:paraId="5D99D05C" w14:textId="4A999DC3" w:rsidR="00236F32" w:rsidRDefault="00236F32" w:rsidP="007B146B">
      <w:pPr>
        <w:rPr>
          <w:rFonts w:ascii="Calibri" w:eastAsia="Calibri" w:hAnsi="Calibri" w:cs="Calibri"/>
          <w:color w:val="FF0000"/>
          <w:sz w:val="20"/>
          <w:szCs w:val="20"/>
          <w:u w:color="000000"/>
        </w:rPr>
      </w:pPr>
    </w:p>
    <w:p w14:paraId="02461923" w14:textId="563EF847" w:rsidR="00327CBE" w:rsidRDefault="00327CBE" w:rsidP="007B146B">
      <w:pPr>
        <w:rPr>
          <w:rFonts w:ascii="Calibri" w:eastAsia="Calibri" w:hAnsi="Calibri" w:cs="Calibri"/>
          <w:color w:val="FF0000"/>
          <w:sz w:val="20"/>
          <w:szCs w:val="20"/>
          <w:u w:color="000000"/>
        </w:rPr>
      </w:pPr>
    </w:p>
    <w:p w14:paraId="48C7AE36" w14:textId="13B776B5" w:rsidR="00327CBE" w:rsidRDefault="00327CBE" w:rsidP="007B146B">
      <w:pPr>
        <w:rPr>
          <w:rFonts w:ascii="Calibri" w:eastAsia="Calibri" w:hAnsi="Calibri" w:cs="Calibri"/>
          <w:color w:val="FF0000"/>
          <w:sz w:val="20"/>
          <w:szCs w:val="20"/>
          <w:u w:color="000000"/>
        </w:rPr>
      </w:pPr>
    </w:p>
    <w:p w14:paraId="0051C551" w14:textId="75C0CE7A" w:rsidR="00327CBE" w:rsidRDefault="00327CBE" w:rsidP="007B146B">
      <w:pPr>
        <w:rPr>
          <w:rFonts w:ascii="Calibri" w:eastAsia="Calibri" w:hAnsi="Calibri" w:cs="Calibri"/>
          <w:color w:val="FF0000"/>
          <w:sz w:val="20"/>
          <w:szCs w:val="20"/>
          <w:u w:color="000000"/>
        </w:rPr>
      </w:pPr>
    </w:p>
    <w:p w14:paraId="00BE1AEE" w14:textId="2225EFE1" w:rsidR="00327CBE" w:rsidRDefault="00327CBE" w:rsidP="007B146B">
      <w:pPr>
        <w:rPr>
          <w:rFonts w:ascii="Calibri" w:eastAsia="Calibri" w:hAnsi="Calibri" w:cs="Calibri"/>
          <w:color w:val="FF0000"/>
          <w:sz w:val="20"/>
          <w:szCs w:val="20"/>
          <w:u w:color="000000"/>
        </w:rPr>
      </w:pPr>
    </w:p>
    <w:p w14:paraId="24704EDA" w14:textId="77777777" w:rsidR="00327CBE" w:rsidRPr="005516CD" w:rsidRDefault="00327CBE" w:rsidP="007B146B">
      <w:pPr>
        <w:rPr>
          <w:rFonts w:ascii="Calibri" w:eastAsia="Calibri" w:hAnsi="Calibri" w:cs="Calibri"/>
          <w:color w:val="FF0000"/>
          <w:sz w:val="20"/>
          <w:szCs w:val="20"/>
          <w:u w:color="000000"/>
        </w:rPr>
      </w:pPr>
    </w:p>
    <w:p w14:paraId="5256A385" w14:textId="77777777" w:rsidR="009B7ED8" w:rsidRDefault="009B7ED8" w:rsidP="007B146B">
      <w:pPr>
        <w:rPr>
          <w:rFonts w:asciiTheme="majorHAnsi" w:hAnsiTheme="majorHAnsi" w:cstheme="majorHAnsi"/>
          <w:b/>
          <w:sz w:val="20"/>
          <w:szCs w:val="20"/>
          <w:u w:val="single"/>
        </w:rPr>
      </w:pPr>
      <w:bookmarkStart w:id="92" w:name="_Hlk2570613"/>
    </w:p>
    <w:p w14:paraId="0B67A5F5" w14:textId="77777777" w:rsidR="009B7ED8" w:rsidRDefault="009B7ED8" w:rsidP="007B146B">
      <w:pPr>
        <w:rPr>
          <w:rFonts w:asciiTheme="majorHAnsi" w:hAnsiTheme="majorHAnsi" w:cstheme="majorHAnsi"/>
          <w:b/>
          <w:sz w:val="20"/>
          <w:szCs w:val="20"/>
          <w:u w:val="single"/>
        </w:rPr>
      </w:pPr>
    </w:p>
    <w:p w14:paraId="70DB4AB6" w14:textId="60CBF44A" w:rsidR="00302513" w:rsidRPr="005516CD" w:rsidRDefault="003D1ADD" w:rsidP="007B146B">
      <w:pPr>
        <w:rPr>
          <w:rFonts w:asciiTheme="majorHAnsi" w:hAnsiTheme="majorHAnsi" w:cstheme="majorHAnsi"/>
          <w:b/>
          <w:sz w:val="20"/>
          <w:szCs w:val="20"/>
          <w:u w:val="single"/>
        </w:rPr>
      </w:pPr>
      <w:r w:rsidRPr="005516CD">
        <w:rPr>
          <w:rFonts w:asciiTheme="majorHAnsi" w:hAnsiTheme="majorHAnsi" w:cstheme="majorHAnsi"/>
          <w:b/>
          <w:sz w:val="20"/>
          <w:szCs w:val="20"/>
          <w:u w:val="single"/>
        </w:rPr>
        <w:t xml:space="preserve">UNDP </w:t>
      </w:r>
      <w:r w:rsidR="00302513" w:rsidRPr="005516CD">
        <w:rPr>
          <w:rFonts w:asciiTheme="majorHAnsi" w:hAnsiTheme="majorHAnsi" w:cstheme="majorHAnsi"/>
          <w:b/>
          <w:sz w:val="20"/>
          <w:szCs w:val="20"/>
          <w:u w:val="single"/>
        </w:rPr>
        <w:t>Budget Notes</w:t>
      </w:r>
    </w:p>
    <w:p w14:paraId="27CE1A89" w14:textId="77777777" w:rsidR="00302513" w:rsidRPr="005516CD" w:rsidRDefault="00302513" w:rsidP="007B146B">
      <w:pPr>
        <w:rPr>
          <w:rFonts w:asciiTheme="majorHAnsi" w:hAnsiTheme="majorHAnsi" w:cstheme="majorHAnsi"/>
          <w:b/>
          <w:color w:val="FF0000"/>
          <w:sz w:val="20"/>
        </w:rPr>
      </w:pPr>
    </w:p>
    <w:tbl>
      <w:tblPr>
        <w:tblW w:w="14465" w:type="dxa"/>
        <w:tblCellMar>
          <w:left w:w="70" w:type="dxa"/>
          <w:right w:w="70" w:type="dxa"/>
        </w:tblCellMar>
        <w:tblLook w:val="04A0" w:firstRow="1" w:lastRow="0" w:firstColumn="1" w:lastColumn="0" w:noHBand="0" w:noVBand="1"/>
      </w:tblPr>
      <w:tblGrid>
        <w:gridCol w:w="1144"/>
        <w:gridCol w:w="1256"/>
        <w:gridCol w:w="2126"/>
        <w:gridCol w:w="3333"/>
        <w:gridCol w:w="181"/>
        <w:gridCol w:w="1715"/>
        <w:gridCol w:w="181"/>
        <w:gridCol w:w="4348"/>
        <w:gridCol w:w="181"/>
      </w:tblGrid>
      <w:tr w:rsidR="000A2A52" w:rsidRPr="00327CBE" w14:paraId="421B6623" w14:textId="77777777" w:rsidTr="008244FA">
        <w:trPr>
          <w:trHeight w:val="503"/>
        </w:trPr>
        <w:tc>
          <w:tcPr>
            <w:tcW w:w="1144" w:type="dxa"/>
            <w:tcBorders>
              <w:top w:val="single" w:sz="8" w:space="0" w:color="auto"/>
              <w:left w:val="single" w:sz="8" w:space="0" w:color="auto"/>
              <w:bottom w:val="single" w:sz="8" w:space="0" w:color="auto"/>
              <w:right w:val="single" w:sz="8" w:space="0" w:color="auto"/>
            </w:tcBorders>
            <w:shd w:val="clear" w:color="000000" w:fill="D9D9D9"/>
            <w:vAlign w:val="center"/>
            <w:hideMark/>
          </w:tcPr>
          <w:p w14:paraId="1822E88B" w14:textId="77777777" w:rsidR="000A2A52" w:rsidRPr="008244FA" w:rsidRDefault="000A2A52" w:rsidP="00327CBE">
            <w:pPr>
              <w:jc w:val="center"/>
              <w:rPr>
                <w:rFonts w:asciiTheme="majorHAnsi" w:eastAsia="Times New Roman" w:hAnsiTheme="majorHAnsi" w:cstheme="majorHAnsi"/>
                <w:b/>
                <w:bCs/>
                <w:color w:val="000000"/>
                <w:sz w:val="18"/>
                <w:szCs w:val="18"/>
                <w:lang w:val="fr-FR" w:eastAsia="fr-FR"/>
              </w:rPr>
            </w:pPr>
            <w:bookmarkStart w:id="93" w:name="RANGE!A56"/>
            <w:bookmarkEnd w:id="92"/>
            <w:r w:rsidRPr="008244FA">
              <w:rPr>
                <w:rFonts w:asciiTheme="majorHAnsi" w:eastAsia="Times New Roman" w:hAnsiTheme="majorHAnsi" w:cstheme="majorHAnsi"/>
                <w:b/>
                <w:bCs/>
                <w:color w:val="000000"/>
                <w:sz w:val="18"/>
                <w:szCs w:val="18"/>
                <w:lang w:val="fr-FR" w:eastAsia="fr-FR"/>
              </w:rPr>
              <w:t>Budget note #</w:t>
            </w:r>
            <w:bookmarkEnd w:id="93"/>
          </w:p>
        </w:tc>
        <w:tc>
          <w:tcPr>
            <w:tcW w:w="1256" w:type="dxa"/>
            <w:tcBorders>
              <w:top w:val="single" w:sz="8" w:space="0" w:color="auto"/>
              <w:left w:val="nil"/>
              <w:bottom w:val="single" w:sz="8" w:space="0" w:color="auto"/>
              <w:right w:val="single" w:sz="8" w:space="0" w:color="000000"/>
            </w:tcBorders>
            <w:shd w:val="clear" w:color="000000" w:fill="D9D9D9"/>
            <w:vAlign w:val="center"/>
            <w:hideMark/>
          </w:tcPr>
          <w:p w14:paraId="0E3FDCCA" w14:textId="77777777" w:rsidR="000A2A52" w:rsidRPr="008244FA" w:rsidRDefault="000A2A52" w:rsidP="00327CBE">
            <w:pPr>
              <w:jc w:val="center"/>
              <w:rPr>
                <w:rFonts w:asciiTheme="majorHAnsi" w:eastAsia="Times New Roman" w:hAnsiTheme="majorHAnsi" w:cstheme="majorHAnsi"/>
                <w:b/>
                <w:bCs/>
                <w:color w:val="000000"/>
                <w:sz w:val="18"/>
                <w:szCs w:val="18"/>
                <w:lang w:val="fr-FR" w:eastAsia="fr-FR"/>
              </w:rPr>
            </w:pPr>
            <w:proofErr w:type="spellStart"/>
            <w:r w:rsidRPr="008244FA">
              <w:rPr>
                <w:rFonts w:asciiTheme="majorHAnsi" w:eastAsia="Times New Roman" w:hAnsiTheme="majorHAnsi" w:cstheme="majorHAnsi"/>
                <w:b/>
                <w:bCs/>
                <w:color w:val="000000"/>
                <w:sz w:val="18"/>
                <w:szCs w:val="18"/>
                <w:lang w:val="fr-FR" w:eastAsia="fr-FR"/>
              </w:rPr>
              <w:t>Amount</w:t>
            </w:r>
            <w:proofErr w:type="spellEnd"/>
            <w:r w:rsidRPr="008244FA">
              <w:rPr>
                <w:rFonts w:asciiTheme="majorHAnsi" w:eastAsia="Times New Roman" w:hAnsiTheme="majorHAnsi" w:cstheme="majorHAnsi"/>
                <w:b/>
                <w:bCs/>
                <w:color w:val="000000"/>
                <w:sz w:val="18"/>
                <w:szCs w:val="18"/>
                <w:lang w:val="fr-FR" w:eastAsia="fr-FR"/>
              </w:rPr>
              <w:t xml:space="preserve"> (USD)</w:t>
            </w:r>
          </w:p>
        </w:tc>
        <w:tc>
          <w:tcPr>
            <w:tcW w:w="2126" w:type="dxa"/>
            <w:tcBorders>
              <w:top w:val="single" w:sz="8" w:space="0" w:color="auto"/>
              <w:left w:val="nil"/>
              <w:bottom w:val="single" w:sz="8" w:space="0" w:color="auto"/>
              <w:right w:val="single" w:sz="8" w:space="0" w:color="000000"/>
            </w:tcBorders>
            <w:shd w:val="clear" w:color="000000" w:fill="D9D9D9"/>
            <w:vAlign w:val="center"/>
            <w:hideMark/>
          </w:tcPr>
          <w:p w14:paraId="4305DF04" w14:textId="77777777" w:rsidR="000A2A52" w:rsidRPr="008244FA" w:rsidRDefault="000A2A52" w:rsidP="00327CBE">
            <w:pPr>
              <w:jc w:val="cente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Budget code</w:t>
            </w:r>
          </w:p>
        </w:tc>
        <w:tc>
          <w:tcPr>
            <w:tcW w:w="9939" w:type="dxa"/>
            <w:gridSpan w:val="6"/>
            <w:tcBorders>
              <w:top w:val="single" w:sz="8" w:space="0" w:color="auto"/>
              <w:left w:val="nil"/>
              <w:bottom w:val="single" w:sz="8" w:space="0" w:color="auto"/>
              <w:right w:val="single" w:sz="8" w:space="0" w:color="000000"/>
            </w:tcBorders>
            <w:shd w:val="clear" w:color="000000" w:fill="D9D9D9"/>
            <w:vAlign w:val="center"/>
            <w:hideMark/>
          </w:tcPr>
          <w:p w14:paraId="534967AE" w14:textId="77777777" w:rsidR="000A2A52" w:rsidRPr="008244FA" w:rsidRDefault="000A2A52" w:rsidP="00327CBE">
            <w:pPr>
              <w:jc w:val="center"/>
              <w:rPr>
                <w:rFonts w:asciiTheme="majorHAnsi" w:eastAsia="Times New Roman" w:hAnsiTheme="majorHAnsi" w:cstheme="majorHAnsi"/>
                <w:b/>
                <w:bCs/>
                <w:color w:val="000000"/>
                <w:sz w:val="18"/>
                <w:szCs w:val="18"/>
                <w:lang w:val="fr-FR" w:eastAsia="fr-FR"/>
              </w:rPr>
            </w:pPr>
            <w:proofErr w:type="spellStart"/>
            <w:r w:rsidRPr="008244FA">
              <w:rPr>
                <w:rFonts w:asciiTheme="majorHAnsi" w:eastAsia="Times New Roman" w:hAnsiTheme="majorHAnsi" w:cstheme="majorHAnsi"/>
                <w:b/>
                <w:bCs/>
                <w:color w:val="000000"/>
                <w:sz w:val="18"/>
                <w:szCs w:val="18"/>
                <w:lang w:val="fr-FR" w:eastAsia="fr-FR"/>
              </w:rPr>
              <w:t>Explanation</w:t>
            </w:r>
            <w:proofErr w:type="spellEnd"/>
          </w:p>
        </w:tc>
      </w:tr>
      <w:tr w:rsidR="000A2A52" w:rsidRPr="00327CBE" w14:paraId="76452773" w14:textId="77777777" w:rsidTr="008244FA">
        <w:trPr>
          <w:trHeight w:val="510"/>
        </w:trPr>
        <w:tc>
          <w:tcPr>
            <w:tcW w:w="14284" w:type="dxa"/>
            <w:gridSpan w:val="8"/>
            <w:tcBorders>
              <w:top w:val="single" w:sz="8" w:space="0" w:color="auto"/>
              <w:left w:val="single" w:sz="8" w:space="0" w:color="auto"/>
              <w:bottom w:val="single" w:sz="8" w:space="0" w:color="auto"/>
              <w:right w:val="nil"/>
            </w:tcBorders>
            <w:shd w:val="clear" w:color="000000" w:fill="D9D9D9"/>
            <w:noWrap/>
            <w:vAlign w:val="center"/>
            <w:hideMark/>
          </w:tcPr>
          <w:p w14:paraId="5072615A" w14:textId="77777777" w:rsidR="000A2A52" w:rsidRPr="00327CBE" w:rsidRDefault="000A2A52" w:rsidP="00327CBE">
            <w:pPr>
              <w:rPr>
                <w:rFonts w:asciiTheme="majorHAnsi" w:eastAsia="Times New Roman" w:hAnsiTheme="majorHAnsi" w:cstheme="majorHAnsi"/>
                <w:b/>
                <w:bCs/>
                <w:color w:val="000000"/>
                <w:sz w:val="18"/>
                <w:szCs w:val="18"/>
                <w:lang w:eastAsia="fr-FR"/>
              </w:rPr>
            </w:pPr>
            <w:r w:rsidRPr="008244FA">
              <w:rPr>
                <w:rFonts w:asciiTheme="majorHAnsi" w:eastAsia="Times New Roman" w:hAnsiTheme="majorHAnsi" w:cstheme="majorHAnsi"/>
                <w:b/>
                <w:bCs/>
                <w:color w:val="000000"/>
                <w:sz w:val="18"/>
                <w:szCs w:val="18"/>
                <w:lang w:eastAsia="fr-FR"/>
              </w:rPr>
              <w:t xml:space="preserve">COMPONENT/OUTCOME 1: </w:t>
            </w:r>
            <w:r w:rsidRPr="008244FA">
              <w:rPr>
                <w:rFonts w:asciiTheme="majorHAnsi" w:eastAsia="Times New Roman" w:hAnsiTheme="majorHAnsi" w:cstheme="majorHAnsi"/>
                <w:color w:val="000000"/>
                <w:sz w:val="18"/>
                <w:szCs w:val="18"/>
                <w:lang w:eastAsia="fr-FR"/>
              </w:rPr>
              <w:t>Creation of enabling conditions for application and scaling-up of landscape management model</w:t>
            </w:r>
          </w:p>
          <w:p w14:paraId="5BB70B86" w14:textId="1F09A7AD" w:rsidR="000A2A52" w:rsidRPr="008244FA" w:rsidRDefault="000A2A52" w:rsidP="00327CBE">
            <w:pPr>
              <w:rPr>
                <w:rFonts w:asciiTheme="majorHAnsi" w:eastAsia="Times New Roman" w:hAnsiTheme="majorHAnsi" w:cstheme="majorHAnsi"/>
                <w:b/>
                <w:bCs/>
                <w:color w:val="000000"/>
                <w:sz w:val="18"/>
                <w:szCs w:val="18"/>
                <w:lang w:eastAsia="fr-FR"/>
              </w:rPr>
            </w:pPr>
            <w:r w:rsidRPr="008244FA">
              <w:rPr>
                <w:rFonts w:asciiTheme="majorHAnsi" w:eastAsia="Times New Roman" w:hAnsiTheme="majorHAnsi" w:cstheme="majorHAnsi"/>
                <w:b/>
                <w:bCs/>
                <w:color w:val="000000"/>
                <w:sz w:val="18"/>
                <w:szCs w:val="18"/>
                <w:lang w:eastAsia="fr-FR"/>
              </w:rPr>
              <w:t> </w:t>
            </w:r>
          </w:p>
        </w:tc>
        <w:tc>
          <w:tcPr>
            <w:tcW w:w="181" w:type="dxa"/>
            <w:tcBorders>
              <w:top w:val="nil"/>
              <w:left w:val="nil"/>
              <w:bottom w:val="single" w:sz="8" w:space="0" w:color="auto"/>
              <w:right w:val="single" w:sz="8" w:space="0" w:color="auto"/>
            </w:tcBorders>
            <w:shd w:val="clear" w:color="000000" w:fill="D9D9D9"/>
            <w:vAlign w:val="center"/>
            <w:hideMark/>
          </w:tcPr>
          <w:p w14:paraId="375295AF" w14:textId="77777777" w:rsidR="000A2A52" w:rsidRPr="008244FA" w:rsidRDefault="000A2A52" w:rsidP="00327CBE">
            <w:pPr>
              <w:rPr>
                <w:rFonts w:asciiTheme="majorHAnsi" w:eastAsia="Times New Roman" w:hAnsiTheme="majorHAnsi" w:cstheme="majorHAnsi"/>
                <w:b/>
                <w:bCs/>
                <w:color w:val="000000"/>
                <w:sz w:val="18"/>
                <w:szCs w:val="18"/>
                <w:lang w:eastAsia="fr-FR"/>
              </w:rPr>
            </w:pPr>
            <w:r w:rsidRPr="008244FA">
              <w:rPr>
                <w:rFonts w:asciiTheme="majorHAnsi" w:eastAsia="Times New Roman" w:hAnsiTheme="majorHAnsi" w:cstheme="majorHAnsi"/>
                <w:b/>
                <w:bCs/>
                <w:color w:val="000000"/>
                <w:sz w:val="18"/>
                <w:szCs w:val="18"/>
                <w:lang w:eastAsia="fr-FR"/>
              </w:rPr>
              <w:t> </w:t>
            </w:r>
          </w:p>
        </w:tc>
      </w:tr>
      <w:tr w:rsidR="000A2A52" w:rsidRPr="00327CBE" w14:paraId="4E286C87" w14:textId="77777777" w:rsidTr="008244FA">
        <w:trPr>
          <w:trHeight w:val="20"/>
        </w:trPr>
        <w:tc>
          <w:tcPr>
            <w:tcW w:w="1144" w:type="dxa"/>
            <w:vMerge w:val="restart"/>
            <w:tcBorders>
              <w:top w:val="nil"/>
              <w:left w:val="single" w:sz="8" w:space="0" w:color="auto"/>
              <w:bottom w:val="single" w:sz="8" w:space="0" w:color="000000"/>
              <w:right w:val="single" w:sz="8" w:space="0" w:color="auto"/>
            </w:tcBorders>
            <w:shd w:val="clear" w:color="auto" w:fill="auto"/>
            <w:vAlign w:val="center"/>
            <w:hideMark/>
          </w:tcPr>
          <w:p w14:paraId="56074E8D"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715D6717"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45,000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2748BE77"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71200 International Consultants</w:t>
            </w:r>
          </w:p>
        </w:tc>
        <w:tc>
          <w:tcPr>
            <w:tcW w:w="9939" w:type="dxa"/>
            <w:gridSpan w:val="6"/>
            <w:tcBorders>
              <w:top w:val="single" w:sz="8" w:space="0" w:color="auto"/>
              <w:left w:val="nil"/>
              <w:bottom w:val="nil"/>
              <w:right w:val="single" w:sz="8" w:space="0" w:color="000000"/>
            </w:tcBorders>
            <w:shd w:val="clear" w:color="auto" w:fill="auto"/>
            <w:vAlign w:val="center"/>
            <w:hideMark/>
          </w:tcPr>
          <w:p w14:paraId="2CBF9E4B" w14:textId="77777777" w:rsidR="000A2A52" w:rsidRPr="008244FA" w:rsidRDefault="000A2A52" w:rsidP="00327CBE">
            <w:pP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b/>
                <w:bCs/>
                <w:sz w:val="18"/>
                <w:szCs w:val="18"/>
                <w:lang w:eastAsia="fr-FR"/>
              </w:rPr>
              <w:t>USD24,000</w:t>
            </w:r>
            <w:r w:rsidRPr="008244FA">
              <w:rPr>
                <w:rFonts w:asciiTheme="majorHAnsi" w:eastAsia="Times New Roman" w:hAnsiTheme="majorHAnsi" w:cstheme="majorHAnsi"/>
                <w:sz w:val="18"/>
                <w:szCs w:val="18"/>
                <w:lang w:eastAsia="fr-FR"/>
              </w:rPr>
              <w:t xml:space="preserve">: International consultant to analyse the factors that affect the conservation status of target species, provide orientation on priorities for biological connectivity, and recommend management strategies for the promotion of connectivity (in support of Output 1.1: Decision making tools to optimize the configuration of landscape elements). </w:t>
            </w:r>
            <w:r w:rsidRPr="008244FA">
              <w:rPr>
                <w:rFonts w:asciiTheme="majorHAnsi" w:eastAsia="Times New Roman" w:hAnsiTheme="majorHAnsi" w:cstheme="majorHAnsi"/>
                <w:sz w:val="18"/>
                <w:szCs w:val="18"/>
                <w:lang w:val="fr-FR" w:eastAsia="fr-FR"/>
              </w:rPr>
              <w:t xml:space="preserve">40 </w:t>
            </w:r>
            <w:proofErr w:type="spellStart"/>
            <w:r w:rsidRPr="008244FA">
              <w:rPr>
                <w:rFonts w:asciiTheme="majorHAnsi" w:eastAsia="Times New Roman" w:hAnsiTheme="majorHAnsi" w:cstheme="majorHAnsi"/>
                <w:sz w:val="18"/>
                <w:szCs w:val="18"/>
                <w:lang w:val="fr-FR" w:eastAsia="fr-FR"/>
              </w:rPr>
              <w:t>days</w:t>
            </w:r>
            <w:proofErr w:type="spellEnd"/>
            <w:r w:rsidRPr="008244FA">
              <w:rPr>
                <w:rFonts w:asciiTheme="majorHAnsi" w:eastAsia="Times New Roman" w:hAnsiTheme="majorHAnsi" w:cstheme="majorHAnsi"/>
                <w:sz w:val="18"/>
                <w:szCs w:val="18"/>
                <w:lang w:val="fr-FR" w:eastAsia="fr-FR"/>
              </w:rPr>
              <w:t xml:space="preserve"> @ USD600. </w:t>
            </w:r>
          </w:p>
        </w:tc>
      </w:tr>
      <w:tr w:rsidR="000A2A52" w:rsidRPr="00327CBE" w14:paraId="0F60280D"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7FD8433E"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26989750"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46F1A038"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9939" w:type="dxa"/>
            <w:gridSpan w:val="6"/>
            <w:tcBorders>
              <w:top w:val="nil"/>
              <w:left w:val="nil"/>
              <w:bottom w:val="single" w:sz="8" w:space="0" w:color="auto"/>
              <w:right w:val="single" w:sz="8" w:space="0" w:color="000000"/>
            </w:tcBorders>
            <w:shd w:val="clear" w:color="auto" w:fill="auto"/>
            <w:vAlign w:val="center"/>
            <w:hideMark/>
          </w:tcPr>
          <w:p w14:paraId="3E9C5B1C" w14:textId="77777777" w:rsidR="000A2A52" w:rsidRPr="008244FA" w:rsidRDefault="000A2A52" w:rsidP="00327CBE">
            <w:pP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eastAsia="fr-FR"/>
              </w:rPr>
              <w:t xml:space="preserve"> </w:t>
            </w:r>
            <w:r w:rsidRPr="008244FA">
              <w:rPr>
                <w:rFonts w:asciiTheme="majorHAnsi" w:eastAsia="Times New Roman" w:hAnsiTheme="majorHAnsi" w:cstheme="majorHAnsi"/>
                <w:b/>
                <w:bCs/>
                <w:sz w:val="18"/>
                <w:szCs w:val="18"/>
                <w:lang w:eastAsia="fr-FR"/>
              </w:rPr>
              <w:t>USD21,000</w:t>
            </w:r>
            <w:r w:rsidRPr="008244FA">
              <w:rPr>
                <w:rFonts w:asciiTheme="majorHAnsi" w:eastAsia="Times New Roman" w:hAnsiTheme="majorHAnsi" w:cstheme="majorHAnsi"/>
                <w:sz w:val="18"/>
                <w:szCs w:val="18"/>
                <w:lang w:eastAsia="fr-FR"/>
              </w:rPr>
              <w:t xml:space="preserve">: International consultant for the generation of technical recommendations for the formulation environmental </w:t>
            </w:r>
            <w:proofErr w:type="spellStart"/>
            <w:r w:rsidRPr="008244FA">
              <w:rPr>
                <w:rFonts w:asciiTheme="majorHAnsi" w:eastAsia="Times New Roman" w:hAnsiTheme="majorHAnsi" w:cstheme="majorHAnsi"/>
                <w:sz w:val="18"/>
                <w:szCs w:val="18"/>
                <w:lang w:eastAsia="fr-FR"/>
              </w:rPr>
              <w:t>monitorong</w:t>
            </w:r>
            <w:proofErr w:type="spellEnd"/>
            <w:r w:rsidRPr="008244FA">
              <w:rPr>
                <w:rFonts w:asciiTheme="majorHAnsi" w:eastAsia="Times New Roman" w:hAnsiTheme="majorHAnsi" w:cstheme="majorHAnsi"/>
                <w:sz w:val="18"/>
                <w:szCs w:val="18"/>
                <w:lang w:eastAsia="fr-FR"/>
              </w:rPr>
              <w:t xml:space="preserve"> and information management systems, and for these to support adaptive management mechanisms (in support of Output 1.1: Decision making tools to optimize the configuration of landscape elements). </w:t>
            </w:r>
            <w:r w:rsidRPr="008244FA">
              <w:rPr>
                <w:rFonts w:asciiTheme="majorHAnsi" w:eastAsia="Times New Roman" w:hAnsiTheme="majorHAnsi" w:cstheme="majorHAnsi"/>
                <w:sz w:val="18"/>
                <w:szCs w:val="18"/>
                <w:lang w:val="fr-FR" w:eastAsia="fr-FR"/>
              </w:rPr>
              <w:t xml:space="preserve">35 </w:t>
            </w:r>
            <w:proofErr w:type="spellStart"/>
            <w:r w:rsidRPr="008244FA">
              <w:rPr>
                <w:rFonts w:asciiTheme="majorHAnsi" w:eastAsia="Times New Roman" w:hAnsiTheme="majorHAnsi" w:cstheme="majorHAnsi"/>
                <w:sz w:val="18"/>
                <w:szCs w:val="18"/>
                <w:lang w:val="fr-FR" w:eastAsia="fr-FR"/>
              </w:rPr>
              <w:t>days</w:t>
            </w:r>
            <w:proofErr w:type="spellEnd"/>
            <w:r w:rsidRPr="008244FA">
              <w:rPr>
                <w:rFonts w:asciiTheme="majorHAnsi" w:eastAsia="Times New Roman" w:hAnsiTheme="majorHAnsi" w:cstheme="majorHAnsi"/>
                <w:sz w:val="18"/>
                <w:szCs w:val="18"/>
                <w:lang w:val="fr-FR" w:eastAsia="fr-FR"/>
              </w:rPr>
              <w:t xml:space="preserve"> @ USD600.</w:t>
            </w:r>
          </w:p>
        </w:tc>
      </w:tr>
      <w:tr w:rsidR="000A2A52" w:rsidRPr="00327CBE" w14:paraId="6FFD0E64" w14:textId="77777777" w:rsidTr="008244FA">
        <w:trPr>
          <w:trHeight w:val="20"/>
        </w:trPr>
        <w:tc>
          <w:tcPr>
            <w:tcW w:w="1144" w:type="dxa"/>
            <w:vMerge w:val="restart"/>
            <w:tcBorders>
              <w:top w:val="nil"/>
              <w:left w:val="single" w:sz="8" w:space="0" w:color="auto"/>
              <w:bottom w:val="single" w:sz="8" w:space="0" w:color="000000"/>
              <w:right w:val="single" w:sz="8" w:space="0" w:color="auto"/>
            </w:tcBorders>
            <w:shd w:val="clear" w:color="auto" w:fill="auto"/>
            <w:vAlign w:val="center"/>
            <w:hideMark/>
          </w:tcPr>
          <w:p w14:paraId="76ED3D42"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0653F235"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55,200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5D7F9E03"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71300 Local Consultants</w:t>
            </w:r>
          </w:p>
        </w:tc>
        <w:tc>
          <w:tcPr>
            <w:tcW w:w="9939" w:type="dxa"/>
            <w:gridSpan w:val="6"/>
            <w:tcBorders>
              <w:top w:val="single" w:sz="8" w:space="0" w:color="auto"/>
              <w:left w:val="nil"/>
              <w:bottom w:val="nil"/>
              <w:right w:val="single" w:sz="8" w:space="0" w:color="000000"/>
            </w:tcBorders>
            <w:shd w:val="clear" w:color="auto" w:fill="auto"/>
            <w:vAlign w:val="center"/>
            <w:hideMark/>
          </w:tcPr>
          <w:p w14:paraId="03DDD33A" w14:textId="77777777" w:rsidR="000A2A52" w:rsidRPr="008244FA" w:rsidRDefault="000A2A52" w:rsidP="00327CBE">
            <w:pP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b/>
                <w:bCs/>
                <w:sz w:val="18"/>
                <w:szCs w:val="18"/>
                <w:lang w:eastAsia="fr-FR"/>
              </w:rPr>
              <w:t>USD14,400:</w:t>
            </w:r>
            <w:r w:rsidRPr="008244FA">
              <w:rPr>
                <w:rFonts w:asciiTheme="majorHAnsi" w:eastAsia="Times New Roman" w:hAnsiTheme="majorHAnsi" w:cstheme="majorHAnsi"/>
                <w:sz w:val="18"/>
                <w:szCs w:val="18"/>
                <w:lang w:eastAsia="fr-FR"/>
              </w:rPr>
              <w:t xml:space="preserve"> National consultant for the analysis of capacities in Departmental Governments and territorial </w:t>
            </w:r>
            <w:proofErr w:type="spellStart"/>
            <w:r w:rsidRPr="008244FA">
              <w:rPr>
                <w:rFonts w:asciiTheme="majorHAnsi" w:eastAsia="Times New Roman" w:hAnsiTheme="majorHAnsi" w:cstheme="majorHAnsi"/>
                <w:sz w:val="18"/>
                <w:szCs w:val="18"/>
                <w:lang w:eastAsia="fr-FR"/>
              </w:rPr>
              <w:t>collectivities</w:t>
            </w:r>
            <w:proofErr w:type="spellEnd"/>
            <w:r w:rsidRPr="008244FA">
              <w:rPr>
                <w:rFonts w:asciiTheme="majorHAnsi" w:eastAsia="Times New Roman" w:hAnsiTheme="majorHAnsi" w:cstheme="majorHAnsi"/>
                <w:sz w:val="18"/>
                <w:szCs w:val="18"/>
                <w:lang w:eastAsia="fr-FR"/>
              </w:rPr>
              <w:t xml:space="preserve">, and the formulation of a strategy and plan for capacity development (in support of Output 1.1: Decision making tools to optimize the configuration of landscape elements). </w:t>
            </w:r>
            <w:r w:rsidRPr="008244FA">
              <w:rPr>
                <w:rFonts w:asciiTheme="majorHAnsi" w:eastAsia="Times New Roman" w:hAnsiTheme="majorHAnsi" w:cstheme="majorHAnsi"/>
                <w:sz w:val="18"/>
                <w:szCs w:val="18"/>
                <w:lang w:val="fr-FR" w:eastAsia="fr-FR"/>
              </w:rPr>
              <w:t xml:space="preserve">24 </w:t>
            </w:r>
            <w:proofErr w:type="spellStart"/>
            <w:r w:rsidRPr="008244FA">
              <w:rPr>
                <w:rFonts w:asciiTheme="majorHAnsi" w:eastAsia="Times New Roman" w:hAnsiTheme="majorHAnsi" w:cstheme="majorHAnsi"/>
                <w:sz w:val="18"/>
                <w:szCs w:val="18"/>
                <w:lang w:val="fr-FR" w:eastAsia="fr-FR"/>
              </w:rPr>
              <w:t>days</w:t>
            </w:r>
            <w:proofErr w:type="spellEnd"/>
            <w:r w:rsidRPr="008244FA">
              <w:rPr>
                <w:rFonts w:asciiTheme="majorHAnsi" w:eastAsia="Times New Roman" w:hAnsiTheme="majorHAnsi" w:cstheme="majorHAnsi"/>
                <w:sz w:val="18"/>
                <w:szCs w:val="18"/>
                <w:lang w:val="fr-FR" w:eastAsia="fr-FR"/>
              </w:rPr>
              <w:t xml:space="preserve"> @ USD600.</w:t>
            </w:r>
          </w:p>
        </w:tc>
      </w:tr>
      <w:tr w:rsidR="000A2A52" w:rsidRPr="00327CBE" w14:paraId="03706410"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5A1E069E"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4CF0B1A4"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48DBBD0A"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30F00805" w14:textId="77777777" w:rsidR="000A2A52" w:rsidRPr="008244FA" w:rsidRDefault="000A2A52" w:rsidP="00327CBE">
            <w:pP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b/>
                <w:bCs/>
                <w:sz w:val="18"/>
                <w:szCs w:val="18"/>
                <w:lang w:eastAsia="fr-FR"/>
              </w:rPr>
              <w:t>USD14,400:</w:t>
            </w:r>
            <w:r w:rsidRPr="008244FA">
              <w:rPr>
                <w:rFonts w:asciiTheme="majorHAnsi" w:eastAsia="Times New Roman" w:hAnsiTheme="majorHAnsi" w:cstheme="majorHAnsi"/>
                <w:sz w:val="18"/>
                <w:szCs w:val="18"/>
                <w:lang w:eastAsia="fr-FR"/>
              </w:rPr>
              <w:t xml:space="preserve"> National consultant to analyse the capacities of cooperatives for monitoring and traceability (in support of Output 1.1: Decision making tools to optimize the configuration of landscape elements). </w:t>
            </w:r>
            <w:r w:rsidRPr="008244FA">
              <w:rPr>
                <w:rFonts w:asciiTheme="majorHAnsi" w:eastAsia="Times New Roman" w:hAnsiTheme="majorHAnsi" w:cstheme="majorHAnsi"/>
                <w:sz w:val="18"/>
                <w:szCs w:val="18"/>
                <w:lang w:val="fr-FR" w:eastAsia="fr-FR"/>
              </w:rPr>
              <w:t xml:space="preserve">24 </w:t>
            </w:r>
            <w:proofErr w:type="spellStart"/>
            <w:r w:rsidRPr="008244FA">
              <w:rPr>
                <w:rFonts w:asciiTheme="majorHAnsi" w:eastAsia="Times New Roman" w:hAnsiTheme="majorHAnsi" w:cstheme="majorHAnsi"/>
                <w:sz w:val="18"/>
                <w:szCs w:val="18"/>
                <w:lang w:val="fr-FR" w:eastAsia="fr-FR"/>
              </w:rPr>
              <w:t>days</w:t>
            </w:r>
            <w:proofErr w:type="spellEnd"/>
            <w:r w:rsidRPr="008244FA">
              <w:rPr>
                <w:rFonts w:asciiTheme="majorHAnsi" w:eastAsia="Times New Roman" w:hAnsiTheme="majorHAnsi" w:cstheme="majorHAnsi"/>
                <w:sz w:val="18"/>
                <w:szCs w:val="18"/>
                <w:lang w:val="fr-FR" w:eastAsia="fr-FR"/>
              </w:rPr>
              <w:t xml:space="preserve"> @ USD600</w:t>
            </w:r>
          </w:p>
        </w:tc>
      </w:tr>
      <w:tr w:rsidR="000A2A52" w:rsidRPr="00327CBE" w14:paraId="3E250170"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09BB6ECA"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7695FEF7"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736343C9"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9939" w:type="dxa"/>
            <w:gridSpan w:val="6"/>
            <w:tcBorders>
              <w:top w:val="single" w:sz="8" w:space="0" w:color="auto"/>
              <w:left w:val="nil"/>
              <w:bottom w:val="nil"/>
              <w:right w:val="single" w:sz="8" w:space="0" w:color="000000"/>
            </w:tcBorders>
            <w:shd w:val="clear" w:color="auto" w:fill="auto"/>
            <w:vAlign w:val="center"/>
            <w:hideMark/>
          </w:tcPr>
          <w:p w14:paraId="422C722D"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USD14,400:</w:t>
            </w:r>
            <w:r w:rsidRPr="008244FA">
              <w:rPr>
                <w:rFonts w:asciiTheme="majorHAnsi" w:eastAsia="Times New Roman" w:hAnsiTheme="majorHAnsi" w:cstheme="majorHAnsi"/>
                <w:sz w:val="18"/>
                <w:szCs w:val="18"/>
                <w:lang w:eastAsia="fr-FR"/>
              </w:rPr>
              <w:t xml:space="preserve"> National consultant: updated review of Government provisions for supporting sustainable production</w:t>
            </w:r>
            <w:r w:rsidRPr="008244FA">
              <w:rPr>
                <w:rFonts w:asciiTheme="majorHAnsi" w:eastAsia="Times New Roman" w:hAnsiTheme="majorHAnsi" w:cstheme="majorHAnsi"/>
                <w:b/>
                <w:bCs/>
                <w:sz w:val="18"/>
                <w:szCs w:val="18"/>
                <w:lang w:eastAsia="fr-FR"/>
              </w:rPr>
              <w:t xml:space="preserve"> </w:t>
            </w:r>
            <w:r w:rsidRPr="008244FA">
              <w:rPr>
                <w:rFonts w:asciiTheme="majorHAnsi" w:eastAsia="Times New Roman" w:hAnsiTheme="majorHAnsi" w:cstheme="majorHAnsi"/>
                <w:sz w:val="18"/>
                <w:szCs w:val="18"/>
                <w:lang w:eastAsia="fr-FR"/>
              </w:rPr>
              <w:t>(in support of Output 1.3: Market-based instruments for safeguarding biodiversity) 24 days @ USD600</w:t>
            </w:r>
          </w:p>
        </w:tc>
      </w:tr>
      <w:tr w:rsidR="000A2A52" w:rsidRPr="00327CBE" w14:paraId="6BDB9E60"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2CB4FE67"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369091A8"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6330A482"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5C23FE32"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sz w:val="18"/>
                <w:szCs w:val="18"/>
                <w:lang w:eastAsia="fr-FR"/>
              </w:rPr>
              <w:t xml:space="preserve">-  </w:t>
            </w:r>
            <w:r w:rsidRPr="008244FA">
              <w:rPr>
                <w:rFonts w:asciiTheme="majorHAnsi" w:eastAsia="Times New Roman" w:hAnsiTheme="majorHAnsi" w:cstheme="majorHAnsi"/>
                <w:b/>
                <w:bCs/>
                <w:sz w:val="18"/>
                <w:szCs w:val="18"/>
                <w:lang w:eastAsia="fr-FR"/>
              </w:rPr>
              <w:t>USD12,000:</w:t>
            </w:r>
            <w:r w:rsidRPr="008244FA">
              <w:rPr>
                <w:rFonts w:asciiTheme="majorHAnsi" w:eastAsia="Times New Roman" w:hAnsiTheme="majorHAnsi" w:cstheme="majorHAnsi"/>
                <w:sz w:val="18"/>
                <w:szCs w:val="18"/>
                <w:lang w:eastAsia="fr-FR"/>
              </w:rPr>
              <w:t xml:space="preserve"> National consultant: formulation of policy documents (in support of Output 1.3: Market-based instruments for safeguarding biodiversity) 20 days @ USD600</w:t>
            </w:r>
          </w:p>
        </w:tc>
      </w:tr>
      <w:tr w:rsidR="000A2A52" w:rsidRPr="00327CBE" w14:paraId="12AF96AB" w14:textId="77777777" w:rsidTr="008244FA">
        <w:trPr>
          <w:trHeight w:val="20"/>
        </w:trPr>
        <w:tc>
          <w:tcPr>
            <w:tcW w:w="1144" w:type="dxa"/>
            <w:vMerge w:val="restart"/>
            <w:tcBorders>
              <w:top w:val="nil"/>
              <w:left w:val="single" w:sz="8" w:space="0" w:color="auto"/>
              <w:bottom w:val="nil"/>
              <w:right w:val="single" w:sz="8" w:space="0" w:color="auto"/>
            </w:tcBorders>
            <w:shd w:val="clear" w:color="auto" w:fill="auto"/>
            <w:vAlign w:val="center"/>
            <w:hideMark/>
          </w:tcPr>
          <w:p w14:paraId="6357BD63"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w:t>
            </w:r>
          </w:p>
        </w:tc>
        <w:tc>
          <w:tcPr>
            <w:tcW w:w="1256" w:type="dxa"/>
            <w:vMerge w:val="restart"/>
            <w:tcBorders>
              <w:top w:val="single" w:sz="8" w:space="0" w:color="auto"/>
              <w:left w:val="single" w:sz="8" w:space="0" w:color="auto"/>
              <w:bottom w:val="nil"/>
              <w:right w:val="single" w:sz="8" w:space="0" w:color="000000"/>
            </w:tcBorders>
            <w:shd w:val="clear" w:color="auto" w:fill="auto"/>
            <w:vAlign w:val="center"/>
            <w:hideMark/>
          </w:tcPr>
          <w:p w14:paraId="38096A30"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240,000</w:t>
            </w:r>
          </w:p>
        </w:tc>
        <w:tc>
          <w:tcPr>
            <w:tcW w:w="2126" w:type="dxa"/>
            <w:vMerge w:val="restart"/>
            <w:tcBorders>
              <w:top w:val="single" w:sz="8" w:space="0" w:color="auto"/>
              <w:left w:val="single" w:sz="8" w:space="0" w:color="auto"/>
              <w:bottom w:val="nil"/>
              <w:right w:val="single" w:sz="8" w:space="0" w:color="000000"/>
            </w:tcBorders>
            <w:shd w:val="clear" w:color="auto" w:fill="auto"/>
            <w:vAlign w:val="center"/>
            <w:hideMark/>
          </w:tcPr>
          <w:p w14:paraId="5C3B8A81"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71400 </w:t>
            </w: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individual</w:t>
            </w:r>
            <w:proofErr w:type="spellEnd"/>
          </w:p>
        </w:tc>
        <w:tc>
          <w:tcPr>
            <w:tcW w:w="9939" w:type="dxa"/>
            <w:gridSpan w:val="6"/>
            <w:tcBorders>
              <w:top w:val="single" w:sz="8" w:space="0" w:color="auto"/>
              <w:left w:val="nil"/>
              <w:bottom w:val="nil"/>
              <w:right w:val="single" w:sz="8" w:space="0" w:color="000000"/>
            </w:tcBorders>
            <w:shd w:val="clear" w:color="auto" w:fill="auto"/>
            <w:vAlign w:val="center"/>
            <w:hideMark/>
          </w:tcPr>
          <w:p w14:paraId="733D533F" w14:textId="77777777" w:rsidR="000A2A52" w:rsidRPr="004A140A" w:rsidRDefault="000A2A52" w:rsidP="00327CBE">
            <w:pPr>
              <w:rPr>
                <w:rFonts w:asciiTheme="majorHAnsi" w:eastAsia="Times New Roman" w:hAnsiTheme="majorHAnsi" w:cstheme="majorHAnsi"/>
                <w:sz w:val="18"/>
                <w:szCs w:val="18"/>
                <w:highlight w:val="cyan"/>
                <w:lang w:eastAsia="fr-FR"/>
              </w:rPr>
            </w:pPr>
            <w:r w:rsidRPr="004A140A">
              <w:rPr>
                <w:rFonts w:asciiTheme="majorHAnsi" w:eastAsia="Times New Roman" w:hAnsiTheme="majorHAnsi" w:cstheme="majorHAnsi"/>
                <w:b/>
                <w:bCs/>
                <w:sz w:val="18"/>
                <w:szCs w:val="18"/>
                <w:highlight w:val="cyan"/>
                <w:lang w:eastAsia="fr-FR"/>
              </w:rPr>
              <w:t>USD 90,000:</w:t>
            </w:r>
            <w:r w:rsidRPr="004A140A">
              <w:rPr>
                <w:rFonts w:asciiTheme="majorHAnsi" w:eastAsia="Times New Roman" w:hAnsiTheme="majorHAnsi" w:cstheme="majorHAnsi"/>
                <w:sz w:val="18"/>
                <w:szCs w:val="18"/>
                <w:highlight w:val="cyan"/>
                <w:lang w:eastAsia="fr-FR"/>
              </w:rPr>
              <w:t xml:space="preserve"> Salary of Governance, capacity strengthening and policy specialist (5 person/years @ USD18,000) to oversee the  Component 1 (in support of Outputs 1.1 Decision making tools to optimize the configuration of landscape elements, 1.2 Socially- and institutionally sustainable mechanisms for governance and 1.3 Market-based instruments for safeguarding biodiversity) </w:t>
            </w:r>
          </w:p>
        </w:tc>
      </w:tr>
      <w:tr w:rsidR="000A2A52" w:rsidRPr="00327CBE" w14:paraId="513482DB"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7533DE7B"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61EB1602"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12B8385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40567E35" w14:textId="77777777" w:rsidR="000A2A52" w:rsidRPr="004A140A" w:rsidRDefault="000A2A52" w:rsidP="00327CBE">
            <w:pPr>
              <w:rPr>
                <w:rFonts w:asciiTheme="majorHAnsi" w:eastAsia="Times New Roman" w:hAnsiTheme="majorHAnsi" w:cstheme="majorHAnsi"/>
                <w:sz w:val="18"/>
                <w:szCs w:val="18"/>
                <w:highlight w:val="cyan"/>
                <w:lang w:eastAsia="fr-FR"/>
              </w:rPr>
            </w:pPr>
            <w:r w:rsidRPr="004A140A">
              <w:rPr>
                <w:rFonts w:asciiTheme="majorHAnsi" w:eastAsia="Times New Roman" w:hAnsiTheme="majorHAnsi" w:cstheme="majorHAnsi"/>
                <w:b/>
                <w:bCs/>
                <w:sz w:val="18"/>
                <w:szCs w:val="18"/>
                <w:highlight w:val="cyan"/>
                <w:lang w:eastAsia="fr-FR"/>
              </w:rPr>
              <w:t>USD90,000:</w:t>
            </w:r>
            <w:r w:rsidRPr="004A140A">
              <w:rPr>
                <w:rFonts w:asciiTheme="majorHAnsi" w:eastAsia="Times New Roman" w:hAnsiTheme="majorHAnsi" w:cstheme="majorHAnsi"/>
                <w:sz w:val="18"/>
                <w:szCs w:val="18"/>
                <w:highlight w:val="cyan"/>
                <w:lang w:eastAsia="fr-FR"/>
              </w:rPr>
              <w:t xml:space="preserve"> Salary of value chain specialist (5 person/years @ USD18,000) to oversee all value chain-related activities under UNDP responsibility (in support of Output 1.3 Market-based instruments for safeguarding biodiversity)</w:t>
            </w:r>
          </w:p>
        </w:tc>
      </w:tr>
      <w:tr w:rsidR="000A2A52" w:rsidRPr="00327CBE" w14:paraId="1FFE4000"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668CEFF6"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47DE997E"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41B34A8B"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000000" w:fill="FFFFFF"/>
            <w:vAlign w:val="bottom"/>
            <w:hideMark/>
          </w:tcPr>
          <w:p w14:paraId="163F932F" w14:textId="77777777" w:rsidR="000A2A52" w:rsidRPr="004A140A" w:rsidRDefault="000A2A52" w:rsidP="00327CBE">
            <w:pPr>
              <w:rPr>
                <w:rFonts w:asciiTheme="majorHAnsi" w:eastAsia="Times New Roman" w:hAnsiTheme="majorHAnsi" w:cstheme="majorHAnsi"/>
                <w:color w:val="000000"/>
                <w:sz w:val="18"/>
                <w:szCs w:val="18"/>
                <w:highlight w:val="cyan"/>
                <w:lang w:eastAsia="fr-FR"/>
              </w:rPr>
            </w:pPr>
            <w:r w:rsidRPr="004A140A">
              <w:rPr>
                <w:rFonts w:asciiTheme="majorHAnsi" w:eastAsia="Times New Roman" w:hAnsiTheme="majorHAnsi" w:cstheme="majorHAnsi"/>
                <w:b/>
                <w:bCs/>
                <w:color w:val="000000"/>
                <w:sz w:val="18"/>
                <w:szCs w:val="18"/>
                <w:highlight w:val="cyan"/>
                <w:lang w:eastAsia="fr-FR"/>
              </w:rPr>
              <w:t>USD 60,000</w:t>
            </w:r>
            <w:r w:rsidRPr="004A140A">
              <w:rPr>
                <w:rFonts w:asciiTheme="majorHAnsi" w:eastAsia="Times New Roman" w:hAnsiTheme="majorHAnsi" w:cstheme="majorHAnsi"/>
                <w:color w:val="000000"/>
                <w:sz w:val="18"/>
                <w:szCs w:val="18"/>
                <w:highlight w:val="cyan"/>
                <w:lang w:eastAsia="fr-FR"/>
              </w:rPr>
              <w:t xml:space="preserve"> : Salary of the Administrative and </w:t>
            </w:r>
            <w:proofErr w:type="spellStart"/>
            <w:r w:rsidRPr="004A140A">
              <w:rPr>
                <w:rFonts w:asciiTheme="majorHAnsi" w:eastAsia="Times New Roman" w:hAnsiTheme="majorHAnsi" w:cstheme="majorHAnsi"/>
                <w:color w:val="000000"/>
                <w:sz w:val="18"/>
                <w:szCs w:val="18"/>
                <w:highlight w:val="cyan"/>
                <w:lang w:eastAsia="fr-FR"/>
              </w:rPr>
              <w:t>Finacial</w:t>
            </w:r>
            <w:proofErr w:type="spellEnd"/>
            <w:r w:rsidRPr="004A140A">
              <w:rPr>
                <w:rFonts w:asciiTheme="majorHAnsi" w:eastAsia="Times New Roman" w:hAnsiTheme="majorHAnsi" w:cstheme="majorHAnsi"/>
                <w:color w:val="000000"/>
                <w:sz w:val="18"/>
                <w:szCs w:val="18"/>
                <w:highlight w:val="cyan"/>
                <w:lang w:eastAsia="fr-FR"/>
              </w:rPr>
              <w:t xml:space="preserve"> Assistant of the NGO/CSO  (5 person/years @ USD12,000)</w:t>
            </w:r>
          </w:p>
        </w:tc>
      </w:tr>
      <w:tr w:rsidR="000A2A52" w:rsidRPr="00327CBE" w14:paraId="239D5A4C" w14:textId="77777777" w:rsidTr="008244FA">
        <w:trPr>
          <w:trHeight w:val="20"/>
        </w:trPr>
        <w:tc>
          <w:tcPr>
            <w:tcW w:w="1144" w:type="dxa"/>
            <w:vMerge w:val="restart"/>
            <w:tcBorders>
              <w:top w:val="single" w:sz="8" w:space="0" w:color="auto"/>
              <w:left w:val="single" w:sz="8" w:space="0" w:color="auto"/>
              <w:bottom w:val="nil"/>
              <w:right w:val="single" w:sz="8" w:space="0" w:color="auto"/>
            </w:tcBorders>
            <w:shd w:val="clear" w:color="auto" w:fill="auto"/>
            <w:vAlign w:val="center"/>
            <w:hideMark/>
          </w:tcPr>
          <w:p w14:paraId="77EA163D"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4</w:t>
            </w:r>
          </w:p>
        </w:tc>
        <w:tc>
          <w:tcPr>
            <w:tcW w:w="1256" w:type="dxa"/>
            <w:vMerge w:val="restart"/>
            <w:tcBorders>
              <w:top w:val="single" w:sz="8" w:space="0" w:color="auto"/>
              <w:left w:val="single" w:sz="8" w:space="0" w:color="auto"/>
              <w:bottom w:val="nil"/>
              <w:right w:val="single" w:sz="8" w:space="0" w:color="000000"/>
            </w:tcBorders>
            <w:shd w:val="clear" w:color="auto" w:fill="auto"/>
            <w:vAlign w:val="center"/>
            <w:hideMark/>
          </w:tcPr>
          <w:p w14:paraId="6A6424FC"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100,000</w:t>
            </w:r>
          </w:p>
        </w:tc>
        <w:tc>
          <w:tcPr>
            <w:tcW w:w="2126" w:type="dxa"/>
            <w:vMerge w:val="restart"/>
            <w:tcBorders>
              <w:top w:val="single" w:sz="8" w:space="0" w:color="auto"/>
              <w:left w:val="single" w:sz="8" w:space="0" w:color="auto"/>
              <w:bottom w:val="nil"/>
              <w:right w:val="single" w:sz="8" w:space="0" w:color="000000"/>
            </w:tcBorders>
            <w:shd w:val="clear" w:color="auto" w:fill="auto"/>
            <w:vAlign w:val="center"/>
            <w:hideMark/>
          </w:tcPr>
          <w:p w14:paraId="1EEBB715"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71600 Travel</w:t>
            </w:r>
          </w:p>
        </w:tc>
        <w:tc>
          <w:tcPr>
            <w:tcW w:w="9939" w:type="dxa"/>
            <w:gridSpan w:val="6"/>
            <w:tcBorders>
              <w:top w:val="single" w:sz="8" w:space="0" w:color="auto"/>
              <w:left w:val="nil"/>
              <w:bottom w:val="nil"/>
              <w:right w:val="single" w:sz="8" w:space="0" w:color="000000"/>
            </w:tcBorders>
            <w:shd w:val="clear" w:color="auto" w:fill="auto"/>
            <w:vAlign w:val="center"/>
            <w:hideMark/>
          </w:tcPr>
          <w:p w14:paraId="53DB6ACF"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30,000:</w:t>
            </w:r>
            <w:r w:rsidRPr="008244FA">
              <w:rPr>
                <w:rFonts w:asciiTheme="majorHAnsi" w:eastAsia="Times New Roman" w:hAnsiTheme="majorHAnsi" w:cstheme="majorHAnsi"/>
                <w:sz w:val="18"/>
                <w:szCs w:val="18"/>
                <w:lang w:eastAsia="fr-FR"/>
              </w:rPr>
              <w:t xml:space="preserve"> Travel costs (tickets and DSA) for national consultants (see note 2) contributing to Output 1.1: Decision making tools to optimize the configuration of landscape elements</w:t>
            </w:r>
          </w:p>
        </w:tc>
      </w:tr>
      <w:tr w:rsidR="000A2A52" w:rsidRPr="00327CBE" w14:paraId="742A9DAE" w14:textId="77777777" w:rsidTr="008244FA">
        <w:trPr>
          <w:trHeight w:val="20"/>
        </w:trPr>
        <w:tc>
          <w:tcPr>
            <w:tcW w:w="1144" w:type="dxa"/>
            <w:vMerge/>
            <w:tcBorders>
              <w:top w:val="single" w:sz="8" w:space="0" w:color="auto"/>
              <w:left w:val="single" w:sz="8" w:space="0" w:color="auto"/>
              <w:bottom w:val="nil"/>
              <w:right w:val="single" w:sz="8" w:space="0" w:color="auto"/>
            </w:tcBorders>
            <w:vAlign w:val="center"/>
            <w:hideMark/>
          </w:tcPr>
          <w:p w14:paraId="669DD9F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50BEE59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4679BE8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478FD6A7"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40,000:</w:t>
            </w:r>
            <w:r w:rsidRPr="008244FA">
              <w:rPr>
                <w:rFonts w:asciiTheme="majorHAnsi" w:eastAsia="Times New Roman" w:hAnsiTheme="majorHAnsi" w:cstheme="majorHAnsi"/>
                <w:sz w:val="18"/>
                <w:szCs w:val="18"/>
                <w:lang w:eastAsia="fr-FR"/>
              </w:rPr>
              <w:t xml:space="preserve"> Travel costs (tickets and DSA) for international consultants (see note 1) contributing to Output 1.1: Decision making tools to optimize the configuration of landscape elements</w:t>
            </w:r>
          </w:p>
        </w:tc>
      </w:tr>
      <w:tr w:rsidR="000A2A52" w:rsidRPr="00327CBE" w14:paraId="5A7B9BA9" w14:textId="77777777" w:rsidTr="008244FA">
        <w:trPr>
          <w:trHeight w:val="20"/>
        </w:trPr>
        <w:tc>
          <w:tcPr>
            <w:tcW w:w="1144" w:type="dxa"/>
            <w:vMerge/>
            <w:tcBorders>
              <w:top w:val="single" w:sz="8" w:space="0" w:color="auto"/>
              <w:left w:val="single" w:sz="8" w:space="0" w:color="auto"/>
              <w:bottom w:val="nil"/>
              <w:right w:val="single" w:sz="8" w:space="0" w:color="auto"/>
            </w:tcBorders>
            <w:vAlign w:val="center"/>
            <w:hideMark/>
          </w:tcPr>
          <w:p w14:paraId="21F01453"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12486E3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7FB951C7"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single" w:sz="8" w:space="0" w:color="auto"/>
              <w:right w:val="single" w:sz="8" w:space="0" w:color="000000"/>
            </w:tcBorders>
            <w:shd w:val="clear" w:color="auto" w:fill="auto"/>
            <w:vAlign w:val="center"/>
            <w:hideMark/>
          </w:tcPr>
          <w:p w14:paraId="03832DAB" w14:textId="77777777" w:rsidR="000A2A52" w:rsidRPr="008244FA" w:rsidRDefault="000A2A52" w:rsidP="00327CBE">
            <w:pPr>
              <w:rPr>
                <w:rFonts w:asciiTheme="majorHAnsi" w:eastAsia="Times New Roman" w:hAnsiTheme="majorHAnsi" w:cstheme="majorHAnsi"/>
                <w:b/>
                <w:bCs/>
                <w:color w:val="000000"/>
                <w:sz w:val="18"/>
                <w:szCs w:val="18"/>
                <w:lang w:eastAsia="fr-FR"/>
              </w:rPr>
            </w:pPr>
            <w:r w:rsidRPr="008244FA">
              <w:rPr>
                <w:rFonts w:asciiTheme="majorHAnsi" w:eastAsia="Times New Roman" w:hAnsiTheme="majorHAnsi" w:cstheme="majorHAnsi"/>
                <w:b/>
                <w:bCs/>
                <w:color w:val="000000"/>
                <w:sz w:val="18"/>
                <w:szCs w:val="18"/>
                <w:lang w:eastAsia="fr-FR"/>
              </w:rPr>
              <w:t xml:space="preserve">USD 30,000 : </w:t>
            </w:r>
            <w:r w:rsidRPr="008244FA">
              <w:rPr>
                <w:rFonts w:asciiTheme="majorHAnsi" w:eastAsia="Times New Roman" w:hAnsiTheme="majorHAnsi" w:cstheme="majorHAnsi"/>
                <w:color w:val="000000"/>
                <w:sz w:val="18"/>
                <w:szCs w:val="18"/>
                <w:lang w:eastAsia="fr-FR"/>
              </w:rPr>
              <w:t>Travels costs (tickets and DSA) for NGO/CSO staff for supervision and monitoring activities</w:t>
            </w:r>
          </w:p>
        </w:tc>
      </w:tr>
      <w:tr w:rsidR="000A2A52" w:rsidRPr="00327CBE" w14:paraId="335209CB" w14:textId="77777777" w:rsidTr="008244FA">
        <w:trPr>
          <w:trHeight w:val="20"/>
        </w:trPr>
        <w:tc>
          <w:tcPr>
            <w:tcW w:w="114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30F987B"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5</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8598AB7"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110,000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E2B54C3"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72100 </w:t>
            </w: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companies</w:t>
            </w:r>
            <w:proofErr w:type="spellEnd"/>
            <w:r w:rsidRPr="008244FA">
              <w:rPr>
                <w:rFonts w:asciiTheme="majorHAnsi" w:eastAsia="Times New Roman" w:hAnsiTheme="majorHAnsi" w:cstheme="majorHAnsi"/>
                <w:color w:val="000000"/>
                <w:sz w:val="18"/>
                <w:szCs w:val="18"/>
                <w:lang w:val="fr-FR" w:eastAsia="fr-FR"/>
              </w:rPr>
              <w:t xml:space="preserve">  </w:t>
            </w:r>
          </w:p>
        </w:tc>
        <w:tc>
          <w:tcPr>
            <w:tcW w:w="9939" w:type="dxa"/>
            <w:gridSpan w:val="6"/>
            <w:tcBorders>
              <w:top w:val="single" w:sz="8" w:space="0" w:color="auto"/>
              <w:left w:val="nil"/>
              <w:bottom w:val="nil"/>
              <w:right w:val="single" w:sz="8" w:space="0" w:color="000000"/>
            </w:tcBorders>
            <w:shd w:val="clear" w:color="auto" w:fill="auto"/>
            <w:vAlign w:val="center"/>
            <w:hideMark/>
          </w:tcPr>
          <w:p w14:paraId="1F5FA538"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50,000:</w:t>
            </w:r>
            <w:r w:rsidRPr="008244FA">
              <w:rPr>
                <w:rFonts w:asciiTheme="majorHAnsi" w:eastAsia="Times New Roman" w:hAnsiTheme="majorHAnsi" w:cstheme="majorHAnsi"/>
                <w:sz w:val="18"/>
                <w:szCs w:val="18"/>
                <w:lang w:eastAsia="fr-FR"/>
              </w:rPr>
              <w:t xml:space="preserve"> GIS analyses of the dynamics and spatial configurations of the factors that affect landscapes, environmental services and environmental values (in support of Output 1.1: Decision making tools to optimize the configuration of landscape elements)</w:t>
            </w:r>
          </w:p>
        </w:tc>
      </w:tr>
      <w:tr w:rsidR="000A2A52" w:rsidRPr="00327CBE" w14:paraId="794570DA" w14:textId="77777777" w:rsidTr="008244FA">
        <w:trPr>
          <w:trHeight w:val="20"/>
        </w:trPr>
        <w:tc>
          <w:tcPr>
            <w:tcW w:w="1144" w:type="dxa"/>
            <w:vMerge/>
            <w:tcBorders>
              <w:top w:val="single" w:sz="8" w:space="0" w:color="auto"/>
              <w:left w:val="single" w:sz="8" w:space="0" w:color="auto"/>
              <w:bottom w:val="single" w:sz="8" w:space="0" w:color="000000"/>
              <w:right w:val="single" w:sz="8" w:space="0" w:color="auto"/>
            </w:tcBorders>
            <w:vAlign w:val="center"/>
            <w:hideMark/>
          </w:tcPr>
          <w:p w14:paraId="6D4E9047"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7A01E455"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35A18A7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114AAFC2"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50,000:</w:t>
            </w:r>
            <w:r w:rsidRPr="008244FA">
              <w:rPr>
                <w:rFonts w:asciiTheme="majorHAnsi" w:eastAsia="Times New Roman" w:hAnsiTheme="majorHAnsi" w:cstheme="majorHAnsi"/>
                <w:sz w:val="18"/>
                <w:szCs w:val="18"/>
                <w:lang w:eastAsia="fr-FR"/>
              </w:rPr>
              <w:t xml:space="preserve"> GIS analyses to inform the formulation/updating of spatial and economic plans (in support of Output 1.1: Decision making tools to optimize the configuration of landscape elements)</w:t>
            </w:r>
          </w:p>
        </w:tc>
      </w:tr>
      <w:tr w:rsidR="000A2A52" w:rsidRPr="00327CBE" w14:paraId="22BA9825" w14:textId="77777777" w:rsidTr="008244FA">
        <w:trPr>
          <w:trHeight w:val="20"/>
        </w:trPr>
        <w:tc>
          <w:tcPr>
            <w:tcW w:w="1144" w:type="dxa"/>
            <w:vMerge/>
            <w:tcBorders>
              <w:top w:val="single" w:sz="8" w:space="0" w:color="auto"/>
              <w:left w:val="single" w:sz="8" w:space="0" w:color="auto"/>
              <w:bottom w:val="single" w:sz="8" w:space="0" w:color="000000"/>
              <w:right w:val="single" w:sz="8" w:space="0" w:color="auto"/>
            </w:tcBorders>
            <w:vAlign w:val="center"/>
            <w:hideMark/>
          </w:tcPr>
          <w:p w14:paraId="7807510E"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4BBD7BA6"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3F3D68FF"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single" w:sz="8" w:space="0" w:color="auto"/>
              <w:right w:val="single" w:sz="8" w:space="0" w:color="000000"/>
            </w:tcBorders>
            <w:shd w:val="clear" w:color="auto" w:fill="auto"/>
            <w:vAlign w:val="center"/>
            <w:hideMark/>
          </w:tcPr>
          <w:p w14:paraId="31F1C260" w14:textId="629362D1"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w:t>
            </w:r>
            <w:r w:rsidR="009301EF">
              <w:rPr>
                <w:rFonts w:asciiTheme="majorHAnsi" w:eastAsia="Times New Roman" w:hAnsiTheme="majorHAnsi" w:cstheme="majorHAnsi"/>
                <w:b/>
                <w:bCs/>
                <w:sz w:val="18"/>
                <w:szCs w:val="18"/>
                <w:lang w:eastAsia="fr-FR"/>
              </w:rPr>
              <w:t xml:space="preserve"> </w:t>
            </w:r>
            <w:r w:rsidRPr="008244FA">
              <w:rPr>
                <w:rFonts w:asciiTheme="majorHAnsi" w:eastAsia="Times New Roman" w:hAnsiTheme="majorHAnsi" w:cstheme="majorHAnsi"/>
                <w:b/>
                <w:bCs/>
                <w:sz w:val="18"/>
                <w:szCs w:val="18"/>
                <w:lang w:eastAsia="fr-FR"/>
              </w:rPr>
              <w:t>10,000: C</w:t>
            </w:r>
            <w:r w:rsidRPr="008244FA">
              <w:rPr>
                <w:rFonts w:asciiTheme="majorHAnsi" w:eastAsia="Times New Roman" w:hAnsiTheme="majorHAnsi" w:cstheme="majorHAnsi"/>
                <w:sz w:val="18"/>
                <w:szCs w:val="18"/>
                <w:lang w:eastAsia="fr-FR"/>
              </w:rPr>
              <w:t>osts of office security (total USD 2,000 over 5 years)</w:t>
            </w:r>
          </w:p>
        </w:tc>
      </w:tr>
      <w:tr w:rsidR="000A2A52" w:rsidRPr="00327CBE" w14:paraId="5513487C" w14:textId="77777777" w:rsidTr="008244FA">
        <w:trPr>
          <w:trHeight w:val="20"/>
        </w:trPr>
        <w:tc>
          <w:tcPr>
            <w:tcW w:w="1144" w:type="dxa"/>
            <w:vMerge w:val="restart"/>
            <w:tcBorders>
              <w:top w:val="nil"/>
              <w:left w:val="single" w:sz="8" w:space="0" w:color="auto"/>
              <w:bottom w:val="single" w:sz="8" w:space="0" w:color="000000"/>
              <w:right w:val="single" w:sz="8" w:space="0" w:color="auto"/>
            </w:tcBorders>
            <w:shd w:val="clear" w:color="auto" w:fill="auto"/>
            <w:vAlign w:val="center"/>
            <w:hideMark/>
          </w:tcPr>
          <w:p w14:paraId="6B6B90EA"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6</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8A35A2B"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125,000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4DC6F285"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72200 Equipment and </w:t>
            </w:r>
            <w:proofErr w:type="spellStart"/>
            <w:r w:rsidRPr="008244FA">
              <w:rPr>
                <w:rFonts w:asciiTheme="majorHAnsi" w:eastAsia="Times New Roman" w:hAnsiTheme="majorHAnsi" w:cstheme="majorHAnsi"/>
                <w:color w:val="000000"/>
                <w:sz w:val="18"/>
                <w:szCs w:val="18"/>
                <w:lang w:val="fr-FR" w:eastAsia="fr-FR"/>
              </w:rPr>
              <w:t>furniture</w:t>
            </w:r>
            <w:proofErr w:type="spellEnd"/>
          </w:p>
        </w:tc>
        <w:tc>
          <w:tcPr>
            <w:tcW w:w="9939" w:type="dxa"/>
            <w:gridSpan w:val="6"/>
            <w:tcBorders>
              <w:top w:val="single" w:sz="8" w:space="0" w:color="auto"/>
              <w:left w:val="nil"/>
              <w:bottom w:val="nil"/>
              <w:right w:val="single" w:sz="8" w:space="0" w:color="000000"/>
            </w:tcBorders>
            <w:shd w:val="clear" w:color="auto" w:fill="auto"/>
            <w:vAlign w:val="center"/>
            <w:hideMark/>
          </w:tcPr>
          <w:p w14:paraId="6452BC6B" w14:textId="4B42E502"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w:t>
            </w:r>
            <w:r w:rsidR="009301EF">
              <w:rPr>
                <w:rFonts w:asciiTheme="majorHAnsi" w:eastAsia="Times New Roman" w:hAnsiTheme="majorHAnsi" w:cstheme="majorHAnsi"/>
                <w:b/>
                <w:bCs/>
                <w:sz w:val="18"/>
                <w:szCs w:val="18"/>
                <w:lang w:eastAsia="fr-FR"/>
              </w:rPr>
              <w:t xml:space="preserve"> </w:t>
            </w:r>
            <w:r w:rsidRPr="008244FA">
              <w:rPr>
                <w:rFonts w:asciiTheme="majorHAnsi" w:eastAsia="Times New Roman" w:hAnsiTheme="majorHAnsi" w:cstheme="majorHAnsi"/>
                <w:b/>
                <w:bCs/>
                <w:sz w:val="18"/>
                <w:szCs w:val="18"/>
                <w:lang w:eastAsia="fr-FR"/>
              </w:rPr>
              <w:t>42,000:</w:t>
            </w:r>
            <w:r w:rsidRPr="008244FA">
              <w:rPr>
                <w:rFonts w:asciiTheme="majorHAnsi" w:eastAsia="Times New Roman" w:hAnsiTheme="majorHAnsi" w:cstheme="majorHAnsi"/>
                <w:sz w:val="18"/>
                <w:szCs w:val="18"/>
                <w:lang w:eastAsia="fr-FR"/>
              </w:rPr>
              <w:t xml:space="preserve"> Equipment for environmental monitoring and information management (in support of Output 1.1: Decision making tools to optimize the configuration of landscape elements)</w:t>
            </w:r>
          </w:p>
        </w:tc>
      </w:tr>
      <w:tr w:rsidR="000A2A52" w:rsidRPr="00327CBE" w14:paraId="7589C362"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5FD0A14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61C8E22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72991AE7"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76AA1237" w14:textId="60586BF2"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w:t>
            </w:r>
            <w:r w:rsidR="009301EF">
              <w:rPr>
                <w:rFonts w:asciiTheme="majorHAnsi" w:eastAsia="Times New Roman" w:hAnsiTheme="majorHAnsi" w:cstheme="majorHAnsi"/>
                <w:b/>
                <w:bCs/>
                <w:sz w:val="18"/>
                <w:szCs w:val="18"/>
                <w:lang w:eastAsia="fr-FR"/>
              </w:rPr>
              <w:t xml:space="preserve"> </w:t>
            </w:r>
            <w:r w:rsidRPr="008244FA">
              <w:rPr>
                <w:rFonts w:asciiTheme="majorHAnsi" w:eastAsia="Times New Roman" w:hAnsiTheme="majorHAnsi" w:cstheme="majorHAnsi"/>
                <w:b/>
                <w:bCs/>
                <w:sz w:val="18"/>
                <w:szCs w:val="18"/>
                <w:lang w:eastAsia="fr-FR"/>
              </w:rPr>
              <w:t>11,200:</w:t>
            </w:r>
            <w:r w:rsidRPr="008244FA">
              <w:rPr>
                <w:rFonts w:asciiTheme="majorHAnsi" w:eastAsia="Times New Roman" w:hAnsiTheme="majorHAnsi" w:cstheme="majorHAnsi"/>
                <w:sz w:val="18"/>
                <w:szCs w:val="18"/>
                <w:lang w:eastAsia="fr-FR"/>
              </w:rPr>
              <w:t xml:space="preserve"> office equipment in support of Outputs 1.1 Decision making tools to optimize the configuration of landscape elements and 1.2 Socially- and institutionally sustainable mechanisms for governance)</w:t>
            </w:r>
          </w:p>
        </w:tc>
      </w:tr>
      <w:tr w:rsidR="000A2A52" w:rsidRPr="00327CBE" w14:paraId="4C3B3A13"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41198D1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0C46D3B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1435194E"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5418888C" w14:textId="08D6DCFC" w:rsidR="000A2A52" w:rsidRPr="008244FA" w:rsidRDefault="000A2A52" w:rsidP="00327CBE">
            <w:pP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b/>
                <w:bCs/>
                <w:color w:val="000000"/>
                <w:sz w:val="18"/>
                <w:szCs w:val="18"/>
                <w:lang w:eastAsia="fr-FR"/>
              </w:rPr>
              <w:t>USD</w:t>
            </w:r>
            <w:r w:rsidR="009301EF">
              <w:rPr>
                <w:rFonts w:asciiTheme="majorHAnsi" w:eastAsia="Times New Roman" w:hAnsiTheme="majorHAnsi" w:cstheme="majorHAnsi"/>
                <w:b/>
                <w:bCs/>
                <w:color w:val="000000"/>
                <w:sz w:val="18"/>
                <w:szCs w:val="18"/>
                <w:lang w:eastAsia="fr-FR"/>
              </w:rPr>
              <w:t xml:space="preserve"> </w:t>
            </w:r>
            <w:r w:rsidRPr="008244FA">
              <w:rPr>
                <w:rFonts w:asciiTheme="majorHAnsi" w:eastAsia="Times New Roman" w:hAnsiTheme="majorHAnsi" w:cstheme="majorHAnsi"/>
                <w:b/>
                <w:bCs/>
                <w:color w:val="000000"/>
                <w:sz w:val="18"/>
                <w:szCs w:val="18"/>
                <w:lang w:eastAsia="fr-FR"/>
              </w:rPr>
              <w:t>36,800</w:t>
            </w:r>
            <w:r w:rsidRPr="008244FA">
              <w:rPr>
                <w:rFonts w:asciiTheme="majorHAnsi" w:eastAsia="Times New Roman" w:hAnsiTheme="majorHAnsi" w:cstheme="majorHAnsi"/>
                <w:color w:val="000000"/>
                <w:sz w:val="18"/>
                <w:szCs w:val="18"/>
                <w:lang w:eastAsia="fr-FR"/>
              </w:rPr>
              <w:t>: Costs of stationery, Office materials and other Equipment (NGO/CSO)</w:t>
            </w:r>
          </w:p>
        </w:tc>
      </w:tr>
      <w:tr w:rsidR="000A2A52" w:rsidRPr="00327CBE" w14:paraId="3F7574FF"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172FD53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2113E23F"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12DB4C0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01FF6FEC" w14:textId="35E87096" w:rsidR="000A2A52" w:rsidRPr="008244FA" w:rsidRDefault="000A2A52" w:rsidP="00327CBE">
            <w:pP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b/>
                <w:bCs/>
                <w:color w:val="000000"/>
                <w:sz w:val="18"/>
                <w:szCs w:val="18"/>
                <w:lang w:eastAsia="fr-FR"/>
              </w:rPr>
              <w:t>USD</w:t>
            </w:r>
            <w:r w:rsidR="009301EF">
              <w:rPr>
                <w:rFonts w:asciiTheme="majorHAnsi" w:eastAsia="Times New Roman" w:hAnsiTheme="majorHAnsi" w:cstheme="majorHAnsi"/>
                <w:b/>
                <w:bCs/>
                <w:color w:val="000000"/>
                <w:sz w:val="18"/>
                <w:szCs w:val="18"/>
                <w:lang w:eastAsia="fr-FR"/>
              </w:rPr>
              <w:t xml:space="preserve"> </w:t>
            </w:r>
            <w:r w:rsidRPr="008244FA">
              <w:rPr>
                <w:rFonts w:asciiTheme="majorHAnsi" w:eastAsia="Times New Roman" w:hAnsiTheme="majorHAnsi" w:cstheme="majorHAnsi"/>
                <w:b/>
                <w:bCs/>
                <w:color w:val="000000"/>
                <w:sz w:val="18"/>
                <w:szCs w:val="18"/>
                <w:lang w:eastAsia="fr-FR"/>
              </w:rPr>
              <w:t>10,000</w:t>
            </w:r>
            <w:r w:rsidRPr="008244FA">
              <w:rPr>
                <w:rFonts w:asciiTheme="majorHAnsi" w:eastAsia="Times New Roman" w:hAnsiTheme="majorHAnsi" w:cstheme="majorHAnsi"/>
                <w:color w:val="000000"/>
                <w:sz w:val="18"/>
                <w:szCs w:val="18"/>
                <w:lang w:eastAsia="fr-FR"/>
              </w:rPr>
              <w:t>: Costs of GPS (total 25 @ USD400)</w:t>
            </w:r>
          </w:p>
        </w:tc>
      </w:tr>
      <w:tr w:rsidR="000A2A52" w:rsidRPr="00327CBE" w14:paraId="73541C49"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18162053"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23E2D7C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507D065F"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single" w:sz="8" w:space="0" w:color="auto"/>
              <w:right w:val="single" w:sz="8" w:space="0" w:color="000000"/>
            </w:tcBorders>
            <w:shd w:val="clear" w:color="auto" w:fill="auto"/>
            <w:vAlign w:val="center"/>
            <w:hideMark/>
          </w:tcPr>
          <w:p w14:paraId="676A47DF" w14:textId="31A898CC" w:rsidR="000A2A52" w:rsidRPr="009B7ED8" w:rsidRDefault="000A2A52" w:rsidP="00327CBE">
            <w:pPr>
              <w:rPr>
                <w:rFonts w:asciiTheme="majorHAnsi" w:eastAsia="Times New Roman" w:hAnsiTheme="majorHAnsi" w:cstheme="majorHAnsi"/>
                <w:sz w:val="18"/>
                <w:szCs w:val="18"/>
                <w:highlight w:val="magenta"/>
                <w:lang w:eastAsia="fr-FR"/>
              </w:rPr>
            </w:pPr>
            <w:r w:rsidRPr="009B7ED8">
              <w:rPr>
                <w:rFonts w:asciiTheme="majorHAnsi" w:eastAsia="Times New Roman" w:hAnsiTheme="majorHAnsi" w:cstheme="majorHAnsi"/>
                <w:b/>
                <w:bCs/>
                <w:color w:val="000000" w:themeColor="text1"/>
                <w:sz w:val="18"/>
                <w:szCs w:val="18"/>
                <w:highlight w:val="magenta"/>
                <w:lang w:eastAsia="fr-FR"/>
              </w:rPr>
              <w:t>USD</w:t>
            </w:r>
            <w:r w:rsidR="009301EF">
              <w:rPr>
                <w:rFonts w:asciiTheme="majorHAnsi" w:eastAsia="Times New Roman" w:hAnsiTheme="majorHAnsi" w:cstheme="majorHAnsi"/>
                <w:b/>
                <w:bCs/>
                <w:color w:val="000000" w:themeColor="text1"/>
                <w:sz w:val="18"/>
                <w:szCs w:val="18"/>
                <w:highlight w:val="magenta"/>
                <w:lang w:eastAsia="fr-FR"/>
              </w:rPr>
              <w:t xml:space="preserve"> </w:t>
            </w:r>
            <w:r w:rsidRPr="009B7ED8">
              <w:rPr>
                <w:rFonts w:asciiTheme="majorHAnsi" w:eastAsia="Times New Roman" w:hAnsiTheme="majorHAnsi" w:cstheme="majorHAnsi"/>
                <w:b/>
                <w:bCs/>
                <w:color w:val="000000" w:themeColor="text1"/>
                <w:sz w:val="18"/>
                <w:szCs w:val="18"/>
                <w:highlight w:val="magenta"/>
                <w:lang w:eastAsia="fr-FR"/>
              </w:rPr>
              <w:t xml:space="preserve">25,000: </w:t>
            </w:r>
            <w:r w:rsidRPr="009B7ED8">
              <w:rPr>
                <w:rFonts w:asciiTheme="majorHAnsi" w:eastAsia="Times New Roman" w:hAnsiTheme="majorHAnsi" w:cstheme="majorHAnsi"/>
                <w:color w:val="000000" w:themeColor="text1"/>
                <w:sz w:val="18"/>
                <w:szCs w:val="18"/>
                <w:highlight w:val="magenta"/>
                <w:lang w:eastAsia="fr-FR"/>
              </w:rPr>
              <w:t xml:space="preserve">costs of motorcycles (total </w:t>
            </w:r>
            <w:r w:rsidR="00565233" w:rsidRPr="009B7ED8">
              <w:rPr>
                <w:rFonts w:asciiTheme="majorHAnsi" w:eastAsia="Times New Roman" w:hAnsiTheme="majorHAnsi" w:cstheme="majorHAnsi"/>
                <w:color w:val="000000" w:themeColor="text1"/>
                <w:sz w:val="18"/>
                <w:szCs w:val="18"/>
                <w:highlight w:val="magenta"/>
                <w:lang w:eastAsia="fr-FR"/>
              </w:rPr>
              <w:t>5</w:t>
            </w:r>
            <w:r w:rsidRPr="009B7ED8">
              <w:rPr>
                <w:rFonts w:asciiTheme="majorHAnsi" w:eastAsia="Times New Roman" w:hAnsiTheme="majorHAnsi" w:cstheme="majorHAnsi"/>
                <w:color w:val="000000" w:themeColor="text1"/>
                <w:sz w:val="18"/>
                <w:szCs w:val="18"/>
                <w:highlight w:val="magenta"/>
                <w:lang w:eastAsia="fr-FR"/>
              </w:rPr>
              <w:t xml:space="preserve"> @ USD</w:t>
            </w:r>
            <w:r w:rsidR="00565233" w:rsidRPr="009B7ED8">
              <w:rPr>
                <w:rFonts w:asciiTheme="majorHAnsi" w:eastAsia="Times New Roman" w:hAnsiTheme="majorHAnsi" w:cstheme="majorHAnsi"/>
                <w:color w:val="000000" w:themeColor="text1"/>
                <w:sz w:val="18"/>
                <w:szCs w:val="18"/>
                <w:highlight w:val="magenta"/>
                <w:lang w:eastAsia="fr-FR"/>
              </w:rPr>
              <w:t>5</w:t>
            </w:r>
            <w:r w:rsidRPr="009B7ED8">
              <w:rPr>
                <w:rFonts w:asciiTheme="majorHAnsi" w:eastAsia="Times New Roman" w:hAnsiTheme="majorHAnsi" w:cstheme="majorHAnsi"/>
                <w:color w:val="000000" w:themeColor="text1"/>
                <w:sz w:val="18"/>
                <w:szCs w:val="18"/>
                <w:highlight w:val="magenta"/>
                <w:lang w:eastAsia="fr-FR"/>
              </w:rPr>
              <w:t>,000 = USD</w:t>
            </w:r>
            <w:r w:rsidR="00565233" w:rsidRPr="009B7ED8">
              <w:rPr>
                <w:rFonts w:asciiTheme="majorHAnsi" w:eastAsia="Times New Roman" w:hAnsiTheme="majorHAnsi" w:cstheme="majorHAnsi"/>
                <w:color w:val="000000" w:themeColor="text1"/>
                <w:sz w:val="18"/>
                <w:szCs w:val="18"/>
                <w:highlight w:val="magenta"/>
                <w:lang w:eastAsia="fr-FR"/>
              </w:rPr>
              <w:t>25</w:t>
            </w:r>
            <w:r w:rsidRPr="009B7ED8">
              <w:rPr>
                <w:rFonts w:asciiTheme="majorHAnsi" w:eastAsia="Times New Roman" w:hAnsiTheme="majorHAnsi" w:cstheme="majorHAnsi"/>
                <w:color w:val="000000" w:themeColor="text1"/>
                <w:sz w:val="18"/>
                <w:szCs w:val="18"/>
                <w:highlight w:val="magenta"/>
                <w:lang w:eastAsia="fr-FR"/>
              </w:rPr>
              <w:t>,000)</w:t>
            </w:r>
          </w:p>
        </w:tc>
      </w:tr>
      <w:tr w:rsidR="000A2A52" w:rsidRPr="00327CBE" w14:paraId="5E94862F"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7CCE1A65"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09D79AE4"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29,334</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2F5DDC98"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72400 </w:t>
            </w:r>
            <w:proofErr w:type="spellStart"/>
            <w:r w:rsidRPr="008244FA">
              <w:rPr>
                <w:rFonts w:asciiTheme="majorHAnsi" w:eastAsia="Times New Roman" w:hAnsiTheme="majorHAnsi" w:cstheme="majorHAnsi"/>
                <w:color w:val="000000"/>
                <w:sz w:val="18"/>
                <w:szCs w:val="18"/>
                <w:lang w:val="fr-FR" w:eastAsia="fr-FR"/>
              </w:rPr>
              <w:t>Communic</w:t>
            </w:r>
            <w:proofErr w:type="spellEnd"/>
            <w:r w:rsidRPr="008244FA">
              <w:rPr>
                <w:rFonts w:asciiTheme="majorHAnsi" w:eastAsia="Times New Roman" w:hAnsiTheme="majorHAnsi" w:cstheme="majorHAnsi"/>
                <w:color w:val="000000"/>
                <w:sz w:val="18"/>
                <w:szCs w:val="18"/>
                <w:lang w:val="fr-FR" w:eastAsia="fr-FR"/>
              </w:rPr>
              <w:t xml:space="preserve"> &amp; </w:t>
            </w:r>
            <w:proofErr w:type="spellStart"/>
            <w:r w:rsidRPr="008244FA">
              <w:rPr>
                <w:rFonts w:asciiTheme="majorHAnsi" w:eastAsia="Times New Roman" w:hAnsiTheme="majorHAnsi" w:cstheme="majorHAnsi"/>
                <w:color w:val="000000"/>
                <w:sz w:val="18"/>
                <w:szCs w:val="18"/>
                <w:lang w:val="fr-FR" w:eastAsia="fr-FR"/>
              </w:rPr>
              <w:t>Audio-Visual</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9939" w:type="dxa"/>
            <w:gridSpan w:val="6"/>
            <w:tcBorders>
              <w:top w:val="single" w:sz="8" w:space="0" w:color="auto"/>
              <w:left w:val="nil"/>
              <w:bottom w:val="single" w:sz="8" w:space="0" w:color="auto"/>
              <w:right w:val="single" w:sz="8" w:space="0" w:color="000000"/>
            </w:tcBorders>
            <w:shd w:val="clear" w:color="000000" w:fill="FFFFFF"/>
            <w:vAlign w:val="center"/>
            <w:hideMark/>
          </w:tcPr>
          <w:p w14:paraId="3EE47CCC"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 xml:space="preserve">USD 29,334: </w:t>
            </w:r>
            <w:r w:rsidRPr="008244FA">
              <w:rPr>
                <w:rFonts w:asciiTheme="majorHAnsi" w:eastAsia="Times New Roman" w:hAnsiTheme="majorHAnsi" w:cstheme="majorHAnsi"/>
                <w:sz w:val="18"/>
                <w:szCs w:val="18"/>
                <w:lang w:eastAsia="fr-FR"/>
              </w:rPr>
              <w:t xml:space="preserve">Costs of communication equipment (Over 5 </w:t>
            </w:r>
            <w:proofErr w:type="spellStart"/>
            <w:r w:rsidRPr="008244FA">
              <w:rPr>
                <w:rFonts w:asciiTheme="majorHAnsi" w:eastAsia="Times New Roman" w:hAnsiTheme="majorHAnsi" w:cstheme="majorHAnsi"/>
                <w:sz w:val="18"/>
                <w:szCs w:val="18"/>
                <w:lang w:eastAsia="fr-FR"/>
              </w:rPr>
              <w:t>yeras</w:t>
            </w:r>
            <w:proofErr w:type="spellEnd"/>
            <w:r w:rsidRPr="008244FA">
              <w:rPr>
                <w:rFonts w:asciiTheme="majorHAnsi" w:eastAsia="Times New Roman" w:hAnsiTheme="majorHAnsi" w:cstheme="majorHAnsi"/>
                <w:sz w:val="18"/>
                <w:szCs w:val="18"/>
                <w:lang w:eastAsia="fr-FR"/>
              </w:rPr>
              <w:t>)</w:t>
            </w:r>
          </w:p>
        </w:tc>
      </w:tr>
      <w:tr w:rsidR="000A2A52" w:rsidRPr="00327CBE" w14:paraId="6E67957D" w14:textId="77777777" w:rsidTr="008244FA">
        <w:trPr>
          <w:trHeight w:val="20"/>
        </w:trPr>
        <w:tc>
          <w:tcPr>
            <w:tcW w:w="1144" w:type="dxa"/>
            <w:vMerge w:val="restart"/>
            <w:tcBorders>
              <w:top w:val="nil"/>
              <w:left w:val="single" w:sz="8" w:space="0" w:color="auto"/>
              <w:bottom w:val="single" w:sz="8" w:space="0" w:color="000000"/>
              <w:right w:val="single" w:sz="8" w:space="0" w:color="auto"/>
            </w:tcBorders>
            <w:shd w:val="clear" w:color="auto" w:fill="auto"/>
            <w:vAlign w:val="center"/>
            <w:hideMark/>
          </w:tcPr>
          <w:p w14:paraId="02EC9E62"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8</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4A84B8E4"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39,000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60B5F1DF"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72800 Information </w:t>
            </w:r>
            <w:proofErr w:type="spellStart"/>
            <w:r w:rsidRPr="008244FA">
              <w:rPr>
                <w:rFonts w:asciiTheme="majorHAnsi" w:eastAsia="Times New Roman" w:hAnsiTheme="majorHAnsi" w:cstheme="majorHAnsi"/>
                <w:color w:val="000000"/>
                <w:sz w:val="18"/>
                <w:szCs w:val="18"/>
                <w:lang w:val="fr-FR" w:eastAsia="fr-FR"/>
              </w:rPr>
              <w:t>Technology</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9939" w:type="dxa"/>
            <w:gridSpan w:val="6"/>
            <w:tcBorders>
              <w:top w:val="single" w:sz="8" w:space="0" w:color="auto"/>
              <w:left w:val="nil"/>
              <w:bottom w:val="nil"/>
              <w:right w:val="single" w:sz="8" w:space="0" w:color="000000"/>
            </w:tcBorders>
            <w:shd w:val="clear" w:color="000000" w:fill="FFFFFF"/>
            <w:vAlign w:val="center"/>
            <w:hideMark/>
          </w:tcPr>
          <w:p w14:paraId="3F0CF032"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20,000:</w:t>
            </w:r>
            <w:r w:rsidRPr="008244FA">
              <w:rPr>
                <w:rFonts w:asciiTheme="majorHAnsi" w:eastAsia="Times New Roman" w:hAnsiTheme="majorHAnsi" w:cstheme="majorHAnsi"/>
                <w:sz w:val="18"/>
                <w:szCs w:val="18"/>
                <w:lang w:eastAsia="fr-FR"/>
              </w:rPr>
              <w:t xml:space="preserve"> costs of portable computers and supplies (Over 5 years)</w:t>
            </w:r>
          </w:p>
        </w:tc>
      </w:tr>
      <w:tr w:rsidR="000A2A52" w:rsidRPr="00327CBE" w14:paraId="3B49053D"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16DEC8C2"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7BC88720"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56F4CFD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single" w:sz="8" w:space="0" w:color="auto"/>
              <w:right w:val="single" w:sz="8" w:space="0" w:color="000000"/>
            </w:tcBorders>
            <w:shd w:val="clear" w:color="000000" w:fill="FFFFFF"/>
            <w:vAlign w:val="center"/>
            <w:hideMark/>
          </w:tcPr>
          <w:p w14:paraId="08D700DE"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USD19,000:</w:t>
            </w:r>
            <w:r w:rsidRPr="008244FA">
              <w:rPr>
                <w:rFonts w:asciiTheme="majorHAnsi" w:eastAsia="Times New Roman" w:hAnsiTheme="majorHAnsi" w:cstheme="majorHAnsi"/>
                <w:sz w:val="18"/>
                <w:szCs w:val="18"/>
                <w:lang w:eastAsia="fr-FR"/>
              </w:rPr>
              <w:t xml:space="preserve"> Specialized Software (Arc </w:t>
            </w:r>
            <w:proofErr w:type="spellStart"/>
            <w:r w:rsidRPr="008244FA">
              <w:rPr>
                <w:rFonts w:asciiTheme="majorHAnsi" w:eastAsia="Times New Roman" w:hAnsiTheme="majorHAnsi" w:cstheme="majorHAnsi"/>
                <w:sz w:val="18"/>
                <w:szCs w:val="18"/>
                <w:lang w:eastAsia="fr-FR"/>
              </w:rPr>
              <w:t>Gis</w:t>
            </w:r>
            <w:proofErr w:type="spellEnd"/>
            <w:r w:rsidRPr="008244FA">
              <w:rPr>
                <w:rFonts w:asciiTheme="majorHAnsi" w:eastAsia="Times New Roman" w:hAnsiTheme="majorHAnsi" w:cstheme="majorHAnsi"/>
                <w:sz w:val="18"/>
                <w:szCs w:val="18"/>
                <w:lang w:eastAsia="fr-FR"/>
              </w:rPr>
              <w:t>, Remote Sensors) (in support of Output 1.1 Decision making tools to optimize the configuration of landscape elements)</w:t>
            </w:r>
          </w:p>
        </w:tc>
      </w:tr>
      <w:tr w:rsidR="000A2A52" w:rsidRPr="00327CBE" w14:paraId="19C8E742"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7B5ABEA9"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9</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635160DD"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35,000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43FDE7B6"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73100 </w:t>
            </w:r>
            <w:proofErr w:type="spellStart"/>
            <w:r w:rsidRPr="008244FA">
              <w:rPr>
                <w:rFonts w:asciiTheme="majorHAnsi" w:eastAsia="Times New Roman" w:hAnsiTheme="majorHAnsi" w:cstheme="majorHAnsi"/>
                <w:color w:val="000000"/>
                <w:sz w:val="18"/>
                <w:szCs w:val="18"/>
                <w:lang w:val="fr-FR" w:eastAsia="fr-FR"/>
              </w:rPr>
              <w:t>Rental</w:t>
            </w:r>
            <w:proofErr w:type="spellEnd"/>
            <w:r w:rsidRPr="008244FA">
              <w:rPr>
                <w:rFonts w:asciiTheme="majorHAnsi" w:eastAsia="Times New Roman" w:hAnsiTheme="majorHAnsi" w:cstheme="majorHAnsi"/>
                <w:color w:val="000000"/>
                <w:sz w:val="18"/>
                <w:szCs w:val="18"/>
                <w:lang w:val="fr-FR" w:eastAsia="fr-FR"/>
              </w:rPr>
              <w:t xml:space="preserve"> and Maintenance - </w:t>
            </w:r>
            <w:proofErr w:type="spellStart"/>
            <w:r w:rsidRPr="008244FA">
              <w:rPr>
                <w:rFonts w:asciiTheme="majorHAnsi" w:eastAsia="Times New Roman" w:hAnsiTheme="majorHAnsi" w:cstheme="majorHAnsi"/>
                <w:color w:val="000000"/>
                <w:sz w:val="18"/>
                <w:szCs w:val="18"/>
                <w:lang w:val="fr-FR" w:eastAsia="fr-FR"/>
              </w:rPr>
              <w:t>Premises</w:t>
            </w:r>
            <w:proofErr w:type="spellEnd"/>
            <w:r w:rsidRPr="008244FA">
              <w:rPr>
                <w:rFonts w:asciiTheme="majorHAnsi" w:eastAsia="Times New Roman" w:hAnsiTheme="majorHAnsi" w:cstheme="majorHAnsi"/>
                <w:color w:val="000000"/>
                <w:sz w:val="18"/>
                <w:szCs w:val="18"/>
                <w:lang w:val="fr-FR" w:eastAsia="fr-FR"/>
              </w:rPr>
              <w:t xml:space="preserve"> </w:t>
            </w:r>
          </w:p>
        </w:tc>
        <w:tc>
          <w:tcPr>
            <w:tcW w:w="9939" w:type="dxa"/>
            <w:gridSpan w:val="6"/>
            <w:tcBorders>
              <w:top w:val="single" w:sz="8" w:space="0" w:color="auto"/>
              <w:left w:val="nil"/>
              <w:bottom w:val="single" w:sz="8" w:space="0" w:color="auto"/>
              <w:right w:val="single" w:sz="8" w:space="0" w:color="000000"/>
            </w:tcBorders>
            <w:shd w:val="clear" w:color="000000" w:fill="FFFFFF"/>
            <w:vAlign w:val="center"/>
            <w:hideMark/>
          </w:tcPr>
          <w:p w14:paraId="7EAEFA65"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sz w:val="18"/>
                <w:szCs w:val="18"/>
                <w:lang w:eastAsia="fr-FR"/>
              </w:rPr>
              <w:t xml:space="preserve"> </w:t>
            </w:r>
            <w:r w:rsidRPr="008244FA">
              <w:rPr>
                <w:rFonts w:asciiTheme="majorHAnsi" w:eastAsia="Times New Roman" w:hAnsiTheme="majorHAnsi" w:cstheme="majorHAnsi"/>
                <w:b/>
                <w:bCs/>
                <w:sz w:val="18"/>
                <w:szCs w:val="18"/>
                <w:lang w:eastAsia="fr-FR"/>
              </w:rPr>
              <w:t>USD35,000:</w:t>
            </w:r>
            <w:r w:rsidRPr="008244FA">
              <w:rPr>
                <w:rFonts w:asciiTheme="majorHAnsi" w:eastAsia="Times New Roman" w:hAnsiTheme="majorHAnsi" w:cstheme="majorHAnsi"/>
                <w:sz w:val="18"/>
                <w:szCs w:val="18"/>
                <w:lang w:eastAsia="fr-FR"/>
              </w:rPr>
              <w:t xml:space="preserve"> Costs of office rental and maintenance for NGO/CSO (USD7,000 over 5 years)</w:t>
            </w:r>
          </w:p>
        </w:tc>
      </w:tr>
      <w:tr w:rsidR="000A2A52" w:rsidRPr="00327CBE" w14:paraId="76D21F67"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4B5C9E7A"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10</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3B387D72"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37,500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01315110" w14:textId="77777777" w:rsidR="000A2A52" w:rsidRPr="008244FA" w:rsidRDefault="000A2A52" w:rsidP="00327CBE">
            <w:pPr>
              <w:jc w:val="cente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eastAsia="fr-FR"/>
              </w:rPr>
              <w:t xml:space="preserve">73400 Rental and Maintenance – other equipment  </w:t>
            </w:r>
          </w:p>
        </w:tc>
        <w:tc>
          <w:tcPr>
            <w:tcW w:w="9939" w:type="dxa"/>
            <w:gridSpan w:val="6"/>
            <w:tcBorders>
              <w:top w:val="single" w:sz="8" w:space="0" w:color="auto"/>
              <w:left w:val="nil"/>
              <w:bottom w:val="single" w:sz="8" w:space="0" w:color="auto"/>
              <w:right w:val="single" w:sz="8" w:space="0" w:color="000000"/>
            </w:tcBorders>
            <w:shd w:val="clear" w:color="000000" w:fill="FFFFFF"/>
            <w:vAlign w:val="center"/>
            <w:hideMark/>
          </w:tcPr>
          <w:p w14:paraId="5BFF93B3"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37,500: C</w:t>
            </w:r>
            <w:r w:rsidRPr="008244FA">
              <w:rPr>
                <w:rFonts w:asciiTheme="majorHAnsi" w:eastAsia="Times New Roman" w:hAnsiTheme="majorHAnsi" w:cstheme="majorHAnsi"/>
                <w:sz w:val="18"/>
                <w:szCs w:val="18"/>
                <w:lang w:eastAsia="fr-FR"/>
              </w:rPr>
              <w:t xml:space="preserve">osts of rental and maintenance of cars, motorcycles and </w:t>
            </w:r>
            <w:proofErr w:type="gramStart"/>
            <w:r w:rsidRPr="008244FA">
              <w:rPr>
                <w:rFonts w:asciiTheme="majorHAnsi" w:eastAsia="Times New Roman" w:hAnsiTheme="majorHAnsi" w:cstheme="majorHAnsi"/>
                <w:sz w:val="18"/>
                <w:szCs w:val="18"/>
                <w:lang w:eastAsia="fr-FR"/>
              </w:rPr>
              <w:t>others</w:t>
            </w:r>
            <w:proofErr w:type="gramEnd"/>
            <w:r w:rsidRPr="008244FA">
              <w:rPr>
                <w:rFonts w:asciiTheme="majorHAnsi" w:eastAsia="Times New Roman" w:hAnsiTheme="majorHAnsi" w:cstheme="majorHAnsi"/>
                <w:sz w:val="18"/>
                <w:szCs w:val="18"/>
                <w:lang w:eastAsia="fr-FR"/>
              </w:rPr>
              <w:t xml:space="preserve"> materials (total USD7,500 over 5 years)</w:t>
            </w:r>
          </w:p>
        </w:tc>
      </w:tr>
      <w:tr w:rsidR="000A2A52" w:rsidRPr="00327CBE" w14:paraId="788B12AB" w14:textId="77777777" w:rsidTr="008244FA">
        <w:trPr>
          <w:trHeight w:val="20"/>
        </w:trPr>
        <w:tc>
          <w:tcPr>
            <w:tcW w:w="1144" w:type="dxa"/>
            <w:vMerge w:val="restart"/>
            <w:tcBorders>
              <w:top w:val="nil"/>
              <w:left w:val="single" w:sz="8" w:space="0" w:color="auto"/>
              <w:bottom w:val="single" w:sz="8" w:space="0" w:color="000000"/>
              <w:right w:val="single" w:sz="8" w:space="0" w:color="auto"/>
            </w:tcBorders>
            <w:shd w:val="clear" w:color="auto" w:fill="auto"/>
            <w:vAlign w:val="center"/>
            <w:hideMark/>
          </w:tcPr>
          <w:p w14:paraId="760BB4DD"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11</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A268BA1"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30,000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73C77760" w14:textId="77777777" w:rsidR="000A2A52" w:rsidRPr="008244FA" w:rsidRDefault="000A2A52" w:rsidP="00327CBE">
            <w:pPr>
              <w:jc w:val="cente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eastAsia="fr-FR"/>
              </w:rPr>
              <w:t xml:space="preserve">74200 Audio </w:t>
            </w:r>
            <w:proofErr w:type="spellStart"/>
            <w:r w:rsidRPr="008244FA">
              <w:rPr>
                <w:rFonts w:asciiTheme="majorHAnsi" w:eastAsia="Times New Roman" w:hAnsiTheme="majorHAnsi" w:cstheme="majorHAnsi"/>
                <w:color w:val="000000"/>
                <w:sz w:val="18"/>
                <w:szCs w:val="18"/>
                <w:lang w:eastAsia="fr-FR"/>
              </w:rPr>
              <w:t>Visual&amp;Print</w:t>
            </w:r>
            <w:proofErr w:type="spellEnd"/>
            <w:r w:rsidRPr="008244FA">
              <w:rPr>
                <w:rFonts w:asciiTheme="majorHAnsi" w:eastAsia="Times New Roman" w:hAnsiTheme="majorHAnsi" w:cstheme="majorHAnsi"/>
                <w:color w:val="000000"/>
                <w:sz w:val="18"/>
                <w:szCs w:val="18"/>
                <w:lang w:eastAsia="fr-FR"/>
              </w:rPr>
              <w:t xml:space="preserve"> Prod Costs</w:t>
            </w:r>
          </w:p>
        </w:tc>
        <w:tc>
          <w:tcPr>
            <w:tcW w:w="9939" w:type="dxa"/>
            <w:gridSpan w:val="6"/>
            <w:tcBorders>
              <w:top w:val="single" w:sz="8" w:space="0" w:color="auto"/>
              <w:left w:val="nil"/>
              <w:bottom w:val="nil"/>
              <w:right w:val="single" w:sz="8" w:space="0" w:color="000000"/>
            </w:tcBorders>
            <w:shd w:val="clear" w:color="000000" w:fill="FFFFFF"/>
            <w:vAlign w:val="center"/>
            <w:hideMark/>
          </w:tcPr>
          <w:p w14:paraId="463BA08D"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12,000:</w:t>
            </w:r>
            <w:r w:rsidRPr="008244FA">
              <w:rPr>
                <w:rFonts w:asciiTheme="majorHAnsi" w:eastAsia="Times New Roman" w:hAnsiTheme="majorHAnsi" w:cstheme="majorHAnsi"/>
                <w:sz w:val="18"/>
                <w:szCs w:val="18"/>
                <w:lang w:eastAsia="fr-FR"/>
              </w:rPr>
              <w:t xml:space="preserve"> Publication of synthesis documents on the planning framework generated under Output 1.1 (Decision making tools to optimize the configuration of landscape elements)</w:t>
            </w:r>
          </w:p>
        </w:tc>
      </w:tr>
      <w:tr w:rsidR="000A2A52" w:rsidRPr="00327CBE" w14:paraId="6CC4DD84"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0A5814F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702948D4"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7ADBEBF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single" w:sz="8" w:space="0" w:color="auto"/>
              <w:right w:val="single" w:sz="8" w:space="0" w:color="000000"/>
            </w:tcBorders>
            <w:shd w:val="clear" w:color="000000" w:fill="FFFFFF"/>
            <w:vAlign w:val="center"/>
            <w:hideMark/>
          </w:tcPr>
          <w:p w14:paraId="61F7715D"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18,000:</w:t>
            </w:r>
            <w:r w:rsidRPr="008244FA">
              <w:rPr>
                <w:rFonts w:asciiTheme="majorHAnsi" w:eastAsia="Times New Roman" w:hAnsiTheme="majorHAnsi" w:cstheme="majorHAnsi"/>
                <w:sz w:val="18"/>
                <w:szCs w:val="18"/>
                <w:lang w:eastAsia="fr-FR"/>
              </w:rPr>
              <w:t xml:space="preserve"> Communication of results under Output 1.3 (market-based instruments for safeguarding biodiversity)</w:t>
            </w:r>
          </w:p>
        </w:tc>
      </w:tr>
      <w:tr w:rsidR="000A2A52" w:rsidRPr="00327CBE" w14:paraId="295292AC"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5772FDE6"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12</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71833E96"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10,000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5304FF1F"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74500 </w:t>
            </w:r>
            <w:proofErr w:type="spellStart"/>
            <w:r w:rsidRPr="008244FA">
              <w:rPr>
                <w:rFonts w:asciiTheme="majorHAnsi" w:eastAsia="Times New Roman" w:hAnsiTheme="majorHAnsi" w:cstheme="majorHAnsi"/>
                <w:color w:val="000000"/>
                <w:sz w:val="18"/>
                <w:szCs w:val="18"/>
                <w:lang w:val="fr-FR" w:eastAsia="fr-FR"/>
              </w:rPr>
              <w:t>Miscellaneous</w:t>
            </w:r>
            <w:proofErr w:type="spellEnd"/>
            <w:r w:rsidRPr="008244FA">
              <w:rPr>
                <w:rFonts w:asciiTheme="majorHAnsi" w:eastAsia="Times New Roman" w:hAnsiTheme="majorHAnsi" w:cstheme="majorHAnsi"/>
                <w:color w:val="000000"/>
                <w:sz w:val="18"/>
                <w:szCs w:val="18"/>
                <w:lang w:val="fr-FR" w:eastAsia="fr-FR"/>
              </w:rPr>
              <w:t xml:space="preserve"> </w:t>
            </w:r>
          </w:p>
        </w:tc>
        <w:tc>
          <w:tcPr>
            <w:tcW w:w="9939" w:type="dxa"/>
            <w:gridSpan w:val="6"/>
            <w:tcBorders>
              <w:top w:val="single" w:sz="8" w:space="0" w:color="auto"/>
              <w:left w:val="nil"/>
              <w:bottom w:val="single" w:sz="8" w:space="0" w:color="auto"/>
              <w:right w:val="single" w:sz="8" w:space="0" w:color="000000"/>
            </w:tcBorders>
            <w:shd w:val="clear" w:color="000000" w:fill="FFFFFF"/>
            <w:vAlign w:val="center"/>
            <w:hideMark/>
          </w:tcPr>
          <w:p w14:paraId="01BC2135"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10,000:</w:t>
            </w:r>
            <w:r w:rsidRPr="008244FA">
              <w:rPr>
                <w:rFonts w:asciiTheme="majorHAnsi" w:eastAsia="Times New Roman" w:hAnsiTheme="majorHAnsi" w:cstheme="majorHAnsi"/>
                <w:sz w:val="18"/>
                <w:szCs w:val="18"/>
                <w:lang w:eastAsia="fr-FR"/>
              </w:rPr>
              <w:t xml:space="preserve"> Miscellaneous costs including contingencies and other expenses  </w:t>
            </w:r>
          </w:p>
        </w:tc>
      </w:tr>
      <w:tr w:rsidR="000A2A52" w:rsidRPr="00327CBE" w14:paraId="51F4A92E" w14:textId="77777777" w:rsidTr="008244FA">
        <w:trPr>
          <w:trHeight w:val="20"/>
        </w:trPr>
        <w:tc>
          <w:tcPr>
            <w:tcW w:w="1144" w:type="dxa"/>
            <w:vMerge w:val="restart"/>
            <w:tcBorders>
              <w:top w:val="nil"/>
              <w:left w:val="single" w:sz="8" w:space="0" w:color="auto"/>
              <w:bottom w:val="nil"/>
              <w:right w:val="single" w:sz="8" w:space="0" w:color="auto"/>
            </w:tcBorders>
            <w:shd w:val="clear" w:color="auto" w:fill="auto"/>
            <w:vAlign w:val="center"/>
            <w:hideMark/>
          </w:tcPr>
          <w:p w14:paraId="5FD18E9A"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13</w:t>
            </w:r>
          </w:p>
        </w:tc>
        <w:tc>
          <w:tcPr>
            <w:tcW w:w="1256" w:type="dxa"/>
            <w:vMerge w:val="restart"/>
            <w:tcBorders>
              <w:top w:val="single" w:sz="8" w:space="0" w:color="auto"/>
              <w:left w:val="single" w:sz="8" w:space="0" w:color="auto"/>
              <w:bottom w:val="nil"/>
              <w:right w:val="single" w:sz="8" w:space="0" w:color="000000"/>
            </w:tcBorders>
            <w:shd w:val="clear" w:color="auto" w:fill="auto"/>
            <w:vAlign w:val="center"/>
            <w:hideMark/>
          </w:tcPr>
          <w:p w14:paraId="05588AAF"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420,000</w:t>
            </w:r>
          </w:p>
        </w:tc>
        <w:tc>
          <w:tcPr>
            <w:tcW w:w="2126" w:type="dxa"/>
            <w:vMerge w:val="restart"/>
            <w:tcBorders>
              <w:top w:val="single" w:sz="8" w:space="0" w:color="auto"/>
              <w:left w:val="single" w:sz="8" w:space="0" w:color="auto"/>
              <w:bottom w:val="nil"/>
              <w:right w:val="single" w:sz="8" w:space="0" w:color="000000"/>
            </w:tcBorders>
            <w:shd w:val="clear" w:color="auto" w:fill="auto"/>
            <w:vAlign w:val="center"/>
            <w:hideMark/>
          </w:tcPr>
          <w:p w14:paraId="30CCFBCB"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75700 Training</w:t>
            </w:r>
          </w:p>
        </w:tc>
        <w:tc>
          <w:tcPr>
            <w:tcW w:w="9939" w:type="dxa"/>
            <w:gridSpan w:val="6"/>
            <w:tcBorders>
              <w:top w:val="single" w:sz="8" w:space="0" w:color="auto"/>
              <w:left w:val="nil"/>
              <w:bottom w:val="nil"/>
              <w:right w:val="single" w:sz="8" w:space="0" w:color="000000"/>
            </w:tcBorders>
            <w:shd w:val="clear" w:color="auto" w:fill="auto"/>
            <w:vAlign w:val="center"/>
            <w:hideMark/>
          </w:tcPr>
          <w:p w14:paraId="42E478A2"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sz w:val="18"/>
                <w:szCs w:val="18"/>
                <w:lang w:eastAsia="fr-FR"/>
              </w:rPr>
              <w:t xml:space="preserve"> </w:t>
            </w:r>
            <w:r w:rsidRPr="008244FA">
              <w:rPr>
                <w:rFonts w:asciiTheme="majorHAnsi" w:eastAsia="Times New Roman" w:hAnsiTheme="majorHAnsi" w:cstheme="majorHAnsi"/>
                <w:b/>
                <w:bCs/>
                <w:sz w:val="18"/>
                <w:szCs w:val="18"/>
                <w:lang w:eastAsia="fr-FR"/>
              </w:rPr>
              <w:t xml:space="preserve">USD54,000: </w:t>
            </w:r>
            <w:r w:rsidRPr="008244FA">
              <w:rPr>
                <w:rFonts w:asciiTheme="majorHAnsi" w:eastAsia="Times New Roman" w:hAnsiTheme="majorHAnsi" w:cstheme="majorHAnsi"/>
                <w:sz w:val="18"/>
                <w:szCs w:val="18"/>
                <w:lang w:eastAsia="fr-FR"/>
              </w:rPr>
              <w:t xml:space="preserve">10 workshops for the joint </w:t>
            </w:r>
            <w:proofErr w:type="spellStart"/>
            <w:r w:rsidRPr="008244FA">
              <w:rPr>
                <w:rFonts w:asciiTheme="majorHAnsi" w:eastAsia="Times New Roman" w:hAnsiTheme="majorHAnsi" w:cstheme="majorHAnsi"/>
                <w:sz w:val="18"/>
                <w:szCs w:val="18"/>
                <w:lang w:eastAsia="fr-FR"/>
              </w:rPr>
              <w:t>intersector</w:t>
            </w:r>
            <w:proofErr w:type="spellEnd"/>
            <w:r w:rsidRPr="008244FA">
              <w:rPr>
                <w:rFonts w:asciiTheme="majorHAnsi" w:eastAsia="Times New Roman" w:hAnsiTheme="majorHAnsi" w:cstheme="majorHAnsi"/>
                <w:sz w:val="18"/>
                <w:szCs w:val="18"/>
                <w:lang w:eastAsia="fr-FR"/>
              </w:rPr>
              <w:t xml:space="preserve"> formulation of the harmonized planning framework (Output 1.1: Decision making tools to optimize the configuration of landscape elements)</w:t>
            </w:r>
          </w:p>
        </w:tc>
      </w:tr>
      <w:tr w:rsidR="000A2A52" w:rsidRPr="00327CBE" w14:paraId="632DB32E"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320B2ABF"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71739D7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7B6D4515"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2A0028E5"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 xml:space="preserve">USD45,000: </w:t>
            </w:r>
            <w:r w:rsidRPr="008244FA">
              <w:rPr>
                <w:rFonts w:asciiTheme="majorHAnsi" w:eastAsia="Times New Roman" w:hAnsiTheme="majorHAnsi" w:cstheme="majorHAnsi"/>
                <w:sz w:val="18"/>
                <w:szCs w:val="18"/>
                <w:lang w:eastAsia="fr-FR"/>
              </w:rPr>
              <w:t>8 workshops for the dissemination of the planning framework (Output 1.1: Decision making tools to optimize the configuration of landscape elements)</w:t>
            </w:r>
          </w:p>
        </w:tc>
      </w:tr>
      <w:tr w:rsidR="000A2A52" w:rsidRPr="00327CBE" w14:paraId="74A78343"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6B3FCB5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0967D9F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70209B3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2DF03ED7"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USD68,000:</w:t>
            </w:r>
            <w:r w:rsidRPr="008244FA">
              <w:rPr>
                <w:rFonts w:asciiTheme="majorHAnsi" w:eastAsia="Times New Roman" w:hAnsiTheme="majorHAnsi" w:cstheme="majorHAnsi"/>
                <w:sz w:val="18"/>
                <w:szCs w:val="18"/>
                <w:lang w:eastAsia="fr-FR"/>
              </w:rPr>
              <w:t xml:space="preserve"> 16 training events for staff and technicians of Departmental Governments and territorial </w:t>
            </w:r>
            <w:proofErr w:type="spellStart"/>
            <w:r w:rsidRPr="008244FA">
              <w:rPr>
                <w:rFonts w:asciiTheme="majorHAnsi" w:eastAsia="Times New Roman" w:hAnsiTheme="majorHAnsi" w:cstheme="majorHAnsi"/>
                <w:sz w:val="18"/>
                <w:szCs w:val="18"/>
                <w:lang w:eastAsia="fr-FR"/>
              </w:rPr>
              <w:t>collectivities</w:t>
            </w:r>
            <w:proofErr w:type="spellEnd"/>
            <w:r w:rsidRPr="008244FA">
              <w:rPr>
                <w:rFonts w:asciiTheme="majorHAnsi" w:eastAsia="Times New Roman" w:hAnsiTheme="majorHAnsi" w:cstheme="majorHAnsi"/>
                <w:sz w:val="18"/>
                <w:szCs w:val="18"/>
                <w:lang w:eastAsia="fr-FR"/>
              </w:rPr>
              <w:t xml:space="preserve"> on the generation of environmental benefits in the production systems/landscapes (Output 1.1: Decision making tools to optimize the configuration of landscape elements)</w:t>
            </w:r>
          </w:p>
        </w:tc>
      </w:tr>
      <w:tr w:rsidR="000A2A52" w:rsidRPr="00327CBE" w14:paraId="20EDD646"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59639447"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5C3C5A35"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125D8B1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single" w:sz="8" w:space="0" w:color="auto"/>
              <w:right w:val="single" w:sz="8" w:space="0" w:color="000000"/>
            </w:tcBorders>
            <w:shd w:val="clear" w:color="auto" w:fill="auto"/>
            <w:vAlign w:val="center"/>
            <w:hideMark/>
          </w:tcPr>
          <w:p w14:paraId="29AE5B35"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USD68,000:</w:t>
            </w:r>
            <w:r w:rsidRPr="008244FA">
              <w:rPr>
                <w:rFonts w:asciiTheme="majorHAnsi" w:eastAsia="Times New Roman" w:hAnsiTheme="majorHAnsi" w:cstheme="majorHAnsi"/>
                <w:sz w:val="18"/>
                <w:szCs w:val="18"/>
                <w:lang w:eastAsia="fr-FR"/>
              </w:rPr>
              <w:t xml:space="preserve"> 16 workshops for the formulation/updating of the plans (Output 1.1: Decision making tools to optimize the configuration of landscape elements)</w:t>
            </w:r>
          </w:p>
        </w:tc>
      </w:tr>
      <w:tr w:rsidR="000A2A52" w:rsidRPr="00327CBE" w14:paraId="6DA93FFC"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5F4202F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0279694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06C943BB"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single" w:sz="8" w:space="0" w:color="auto"/>
              <w:left w:val="nil"/>
              <w:bottom w:val="nil"/>
              <w:right w:val="single" w:sz="8" w:space="0" w:color="000000"/>
            </w:tcBorders>
            <w:shd w:val="clear" w:color="auto" w:fill="auto"/>
            <w:vAlign w:val="center"/>
            <w:hideMark/>
          </w:tcPr>
          <w:p w14:paraId="72381C79"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sz w:val="18"/>
                <w:szCs w:val="18"/>
                <w:lang w:eastAsia="fr-FR"/>
              </w:rPr>
              <w:t xml:space="preserve"> </w:t>
            </w:r>
            <w:r w:rsidRPr="008244FA">
              <w:rPr>
                <w:rFonts w:asciiTheme="majorHAnsi" w:eastAsia="Times New Roman" w:hAnsiTheme="majorHAnsi" w:cstheme="majorHAnsi"/>
                <w:b/>
                <w:bCs/>
                <w:sz w:val="18"/>
                <w:szCs w:val="18"/>
                <w:lang w:eastAsia="fr-FR"/>
              </w:rPr>
              <w:t>USD56,000:</w:t>
            </w:r>
            <w:r w:rsidRPr="008244FA">
              <w:rPr>
                <w:rFonts w:asciiTheme="majorHAnsi" w:eastAsia="Times New Roman" w:hAnsiTheme="majorHAnsi" w:cstheme="majorHAnsi"/>
                <w:sz w:val="18"/>
                <w:szCs w:val="18"/>
                <w:lang w:eastAsia="fr-FR"/>
              </w:rPr>
              <w:t xml:space="preserve"> 12</w:t>
            </w:r>
            <w:r w:rsidRPr="008244FA">
              <w:rPr>
                <w:rFonts w:asciiTheme="majorHAnsi" w:eastAsia="Times New Roman" w:hAnsiTheme="majorHAnsi" w:cstheme="majorHAnsi"/>
                <w:b/>
                <w:bCs/>
                <w:sz w:val="18"/>
                <w:szCs w:val="18"/>
                <w:lang w:eastAsia="fr-FR"/>
              </w:rPr>
              <w:t xml:space="preserve"> </w:t>
            </w:r>
            <w:r w:rsidRPr="008244FA">
              <w:rPr>
                <w:rFonts w:asciiTheme="majorHAnsi" w:eastAsia="Times New Roman" w:hAnsiTheme="majorHAnsi" w:cstheme="majorHAnsi"/>
                <w:sz w:val="18"/>
                <w:szCs w:val="18"/>
                <w:lang w:eastAsia="fr-FR"/>
              </w:rPr>
              <w:t xml:space="preserve">training events for of staff/technicians of Departmental Governments/territorial </w:t>
            </w:r>
            <w:proofErr w:type="spellStart"/>
            <w:r w:rsidRPr="008244FA">
              <w:rPr>
                <w:rFonts w:asciiTheme="majorHAnsi" w:eastAsia="Times New Roman" w:hAnsiTheme="majorHAnsi" w:cstheme="majorHAnsi"/>
                <w:sz w:val="18"/>
                <w:szCs w:val="18"/>
                <w:lang w:eastAsia="fr-FR"/>
              </w:rPr>
              <w:t>collectivities</w:t>
            </w:r>
            <w:proofErr w:type="spellEnd"/>
            <w:r w:rsidRPr="008244FA">
              <w:rPr>
                <w:rFonts w:asciiTheme="majorHAnsi" w:eastAsia="Times New Roman" w:hAnsiTheme="majorHAnsi" w:cstheme="majorHAnsi"/>
                <w:sz w:val="18"/>
                <w:szCs w:val="18"/>
                <w:lang w:eastAsia="fr-FR"/>
              </w:rPr>
              <w:t xml:space="preserve"> on the introduction and application of systems for environmental monitoring and information management (Output 1.1: Decision making tools to optimize the configuration of landscape elements)</w:t>
            </w:r>
          </w:p>
        </w:tc>
      </w:tr>
      <w:tr w:rsidR="000A2A52" w:rsidRPr="00327CBE" w14:paraId="12E2ED76"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1108A926"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144DE15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0ACB5600"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35AEEDBB"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USD43,000:</w:t>
            </w:r>
            <w:r w:rsidRPr="008244FA">
              <w:rPr>
                <w:rFonts w:asciiTheme="majorHAnsi" w:eastAsia="Times New Roman" w:hAnsiTheme="majorHAnsi" w:cstheme="majorHAnsi"/>
                <w:sz w:val="18"/>
                <w:szCs w:val="18"/>
                <w:lang w:eastAsia="fr-FR"/>
              </w:rPr>
              <w:t xml:space="preserve"> 10 training events for members of cooperatives/federations on systems for monitoring, record keeping and traceability (Output 1.1: Decision making tools to optimize the configuration of landscape elements)</w:t>
            </w:r>
          </w:p>
        </w:tc>
      </w:tr>
      <w:tr w:rsidR="000A2A52" w:rsidRPr="00327CBE" w14:paraId="30703570"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26BC8922"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29E598D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682578D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009A09A2"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USD43,000:</w:t>
            </w:r>
            <w:r w:rsidRPr="008244FA">
              <w:rPr>
                <w:rFonts w:asciiTheme="majorHAnsi" w:eastAsia="Times New Roman" w:hAnsiTheme="majorHAnsi" w:cstheme="majorHAnsi"/>
                <w:sz w:val="18"/>
                <w:szCs w:val="18"/>
                <w:lang w:eastAsia="fr-FR"/>
              </w:rPr>
              <w:t xml:space="preserve"> 10 community workshops for participatory analysis, training and participatory training/strengthening of community governance mechanisms (Output 1.2: Socially- and institutionally sustainable mechanisms for governance)</w:t>
            </w:r>
          </w:p>
        </w:tc>
      </w:tr>
      <w:tr w:rsidR="000A2A52" w:rsidRPr="00327CBE" w14:paraId="1F8B1231"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5BBEDC42"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4414BBC3"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6A73F9A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7E3DAFB8"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USD43,000:</w:t>
            </w:r>
            <w:r w:rsidRPr="008244FA">
              <w:rPr>
                <w:rFonts w:asciiTheme="majorHAnsi" w:eastAsia="Times New Roman" w:hAnsiTheme="majorHAnsi" w:cstheme="majorHAnsi"/>
                <w:sz w:val="18"/>
                <w:szCs w:val="18"/>
                <w:lang w:eastAsia="fr-FR"/>
              </w:rPr>
              <w:t xml:space="preserve"> 10 community workshops for participatory analysis and training of members of community organisations (Output 1.2: Socially- and institutionally sustainable mechanisms for governance)</w:t>
            </w:r>
          </w:p>
        </w:tc>
      </w:tr>
      <w:tr w:rsidR="000A2A52" w:rsidRPr="00327CBE" w14:paraId="6ED6E21D" w14:textId="77777777" w:rsidTr="008244FA">
        <w:trPr>
          <w:trHeight w:val="510"/>
        </w:trPr>
        <w:tc>
          <w:tcPr>
            <w:tcW w:w="14284" w:type="dxa"/>
            <w:gridSpan w:val="8"/>
            <w:tcBorders>
              <w:top w:val="single" w:sz="8" w:space="0" w:color="auto"/>
              <w:left w:val="single" w:sz="8" w:space="0" w:color="auto"/>
              <w:bottom w:val="single" w:sz="8" w:space="0" w:color="auto"/>
              <w:right w:val="nil"/>
            </w:tcBorders>
            <w:shd w:val="clear" w:color="000000" w:fill="D9D9D9"/>
            <w:noWrap/>
            <w:vAlign w:val="center"/>
            <w:hideMark/>
          </w:tcPr>
          <w:p w14:paraId="3545AE74" w14:textId="77777777" w:rsidR="000A2A52" w:rsidRPr="008244FA" w:rsidRDefault="000A2A52" w:rsidP="00327CBE">
            <w:pPr>
              <w:rPr>
                <w:rFonts w:asciiTheme="majorHAnsi" w:eastAsia="Times New Roman" w:hAnsiTheme="majorHAnsi" w:cstheme="majorHAnsi"/>
                <w:b/>
                <w:bCs/>
                <w:color w:val="000000"/>
                <w:sz w:val="18"/>
                <w:szCs w:val="18"/>
                <w:lang w:eastAsia="fr-FR"/>
              </w:rPr>
            </w:pPr>
            <w:r w:rsidRPr="008244FA">
              <w:rPr>
                <w:rFonts w:asciiTheme="majorHAnsi" w:eastAsia="Times New Roman" w:hAnsiTheme="majorHAnsi" w:cstheme="majorHAnsi"/>
                <w:b/>
                <w:bCs/>
                <w:color w:val="000000"/>
                <w:sz w:val="18"/>
                <w:szCs w:val="18"/>
                <w:lang w:eastAsia="fr-FR"/>
              </w:rPr>
              <w:t xml:space="preserve">COMPONENT/OUTCOME 2: </w:t>
            </w:r>
            <w:r w:rsidRPr="008244FA">
              <w:rPr>
                <w:rFonts w:asciiTheme="majorHAnsi" w:eastAsia="Times New Roman" w:hAnsiTheme="majorHAnsi" w:cstheme="majorHAnsi"/>
                <w:color w:val="000000"/>
                <w:sz w:val="18"/>
                <w:szCs w:val="18"/>
                <w:lang w:eastAsia="fr-FR"/>
              </w:rPr>
              <w:t>Conservation compatible tree-based production systems as part of sustainable landscape mosaics</w:t>
            </w:r>
          </w:p>
        </w:tc>
        <w:tc>
          <w:tcPr>
            <w:tcW w:w="181" w:type="dxa"/>
            <w:tcBorders>
              <w:top w:val="single" w:sz="8" w:space="0" w:color="auto"/>
              <w:left w:val="nil"/>
              <w:bottom w:val="single" w:sz="8" w:space="0" w:color="auto"/>
              <w:right w:val="single" w:sz="8" w:space="0" w:color="auto"/>
            </w:tcBorders>
            <w:shd w:val="clear" w:color="000000" w:fill="D9D9D9"/>
            <w:noWrap/>
            <w:vAlign w:val="center"/>
            <w:hideMark/>
          </w:tcPr>
          <w:p w14:paraId="081027E3" w14:textId="77777777" w:rsidR="000A2A52" w:rsidRPr="008244FA" w:rsidRDefault="000A2A52" w:rsidP="00327CBE">
            <w:pPr>
              <w:rPr>
                <w:rFonts w:asciiTheme="majorHAnsi" w:eastAsia="Times New Roman" w:hAnsiTheme="majorHAnsi" w:cstheme="majorHAnsi"/>
                <w:b/>
                <w:bCs/>
                <w:color w:val="000000"/>
                <w:sz w:val="18"/>
                <w:szCs w:val="18"/>
                <w:lang w:eastAsia="fr-FR"/>
              </w:rPr>
            </w:pPr>
            <w:r w:rsidRPr="008244FA">
              <w:rPr>
                <w:rFonts w:asciiTheme="majorHAnsi" w:eastAsia="Times New Roman" w:hAnsiTheme="majorHAnsi" w:cstheme="majorHAnsi"/>
                <w:b/>
                <w:bCs/>
                <w:color w:val="000000"/>
                <w:sz w:val="18"/>
                <w:szCs w:val="18"/>
                <w:lang w:eastAsia="fr-FR"/>
              </w:rPr>
              <w:t> </w:t>
            </w:r>
          </w:p>
        </w:tc>
      </w:tr>
      <w:tr w:rsidR="000A2A52" w:rsidRPr="00327CBE" w14:paraId="20AA7A5A" w14:textId="77777777" w:rsidTr="008244FA">
        <w:trPr>
          <w:trHeight w:val="20"/>
        </w:trPr>
        <w:tc>
          <w:tcPr>
            <w:tcW w:w="1144" w:type="dxa"/>
            <w:vMerge w:val="restart"/>
            <w:tcBorders>
              <w:top w:val="nil"/>
              <w:left w:val="single" w:sz="8" w:space="0" w:color="auto"/>
              <w:bottom w:val="nil"/>
              <w:right w:val="single" w:sz="8" w:space="0" w:color="auto"/>
            </w:tcBorders>
            <w:shd w:val="clear" w:color="auto" w:fill="auto"/>
            <w:vAlign w:val="center"/>
            <w:hideMark/>
          </w:tcPr>
          <w:p w14:paraId="44AD6AA5"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14</w:t>
            </w:r>
          </w:p>
        </w:tc>
        <w:tc>
          <w:tcPr>
            <w:tcW w:w="1256" w:type="dxa"/>
            <w:vMerge w:val="restart"/>
            <w:tcBorders>
              <w:top w:val="single" w:sz="8" w:space="0" w:color="auto"/>
              <w:left w:val="single" w:sz="8" w:space="0" w:color="auto"/>
              <w:bottom w:val="nil"/>
              <w:right w:val="single" w:sz="8" w:space="0" w:color="000000"/>
            </w:tcBorders>
            <w:shd w:val="clear" w:color="auto" w:fill="auto"/>
            <w:vAlign w:val="center"/>
            <w:hideMark/>
          </w:tcPr>
          <w:p w14:paraId="4BE11C60"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250,000</w:t>
            </w:r>
          </w:p>
        </w:tc>
        <w:tc>
          <w:tcPr>
            <w:tcW w:w="2126" w:type="dxa"/>
            <w:vMerge w:val="restart"/>
            <w:tcBorders>
              <w:top w:val="single" w:sz="8" w:space="0" w:color="auto"/>
              <w:left w:val="single" w:sz="8" w:space="0" w:color="auto"/>
              <w:bottom w:val="nil"/>
              <w:right w:val="single" w:sz="8" w:space="0" w:color="000000"/>
            </w:tcBorders>
            <w:shd w:val="clear" w:color="auto" w:fill="auto"/>
            <w:vAlign w:val="center"/>
            <w:hideMark/>
          </w:tcPr>
          <w:p w14:paraId="160A5FF3"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71400 </w:t>
            </w: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individual</w:t>
            </w:r>
            <w:proofErr w:type="spellEnd"/>
          </w:p>
        </w:tc>
        <w:tc>
          <w:tcPr>
            <w:tcW w:w="9939" w:type="dxa"/>
            <w:gridSpan w:val="6"/>
            <w:tcBorders>
              <w:top w:val="single" w:sz="8" w:space="0" w:color="auto"/>
              <w:left w:val="nil"/>
              <w:bottom w:val="nil"/>
              <w:right w:val="single" w:sz="8" w:space="0" w:color="000000"/>
            </w:tcBorders>
            <w:shd w:val="clear" w:color="000000" w:fill="FFFFFF"/>
            <w:vAlign w:val="center"/>
            <w:hideMark/>
          </w:tcPr>
          <w:p w14:paraId="270FB549" w14:textId="63A074A4" w:rsidR="000A2A52" w:rsidRPr="004A140A" w:rsidRDefault="000A2A52" w:rsidP="00327CBE">
            <w:pPr>
              <w:rPr>
                <w:rFonts w:asciiTheme="majorHAnsi" w:eastAsia="Times New Roman" w:hAnsiTheme="majorHAnsi" w:cstheme="majorHAnsi"/>
                <w:sz w:val="18"/>
                <w:szCs w:val="18"/>
                <w:highlight w:val="cyan"/>
                <w:lang w:eastAsia="fr-FR"/>
              </w:rPr>
            </w:pPr>
            <w:r w:rsidRPr="004A140A">
              <w:rPr>
                <w:rFonts w:asciiTheme="majorHAnsi" w:eastAsia="Times New Roman" w:hAnsiTheme="majorHAnsi" w:cstheme="majorHAnsi"/>
                <w:sz w:val="18"/>
                <w:szCs w:val="18"/>
                <w:highlight w:val="cyan"/>
                <w:lang w:eastAsia="fr-FR"/>
              </w:rPr>
              <w:t xml:space="preserve"> </w:t>
            </w:r>
            <w:r w:rsidRPr="004A140A">
              <w:rPr>
                <w:rFonts w:asciiTheme="majorHAnsi" w:eastAsia="Times New Roman" w:hAnsiTheme="majorHAnsi" w:cstheme="majorHAnsi"/>
                <w:b/>
                <w:bCs/>
                <w:sz w:val="18"/>
                <w:szCs w:val="18"/>
                <w:highlight w:val="cyan"/>
                <w:lang w:eastAsia="fr-FR"/>
              </w:rPr>
              <w:t>USD 96,000:</w:t>
            </w:r>
            <w:r w:rsidRPr="004A140A">
              <w:rPr>
                <w:rFonts w:asciiTheme="majorHAnsi" w:eastAsia="Times New Roman" w:hAnsiTheme="majorHAnsi" w:cstheme="majorHAnsi"/>
                <w:sz w:val="18"/>
                <w:szCs w:val="18"/>
                <w:highlight w:val="cyan"/>
                <w:lang w:eastAsia="fr-FR"/>
              </w:rPr>
              <w:t xml:space="preserve"> Field technician (community governance) (2 people for 5 years @ </w:t>
            </w:r>
            <w:r w:rsidRPr="009B7ED8">
              <w:rPr>
                <w:rFonts w:asciiTheme="majorHAnsi" w:eastAsia="Times New Roman" w:hAnsiTheme="majorHAnsi" w:cstheme="majorHAnsi"/>
                <w:color w:val="000000" w:themeColor="text1"/>
                <w:sz w:val="18"/>
                <w:szCs w:val="18"/>
                <w:highlight w:val="magenta"/>
                <w:lang w:eastAsia="fr-FR"/>
              </w:rPr>
              <w:t xml:space="preserve">USD </w:t>
            </w:r>
            <w:r w:rsidR="00BD1EBC" w:rsidRPr="009B7ED8">
              <w:rPr>
                <w:rFonts w:asciiTheme="majorHAnsi" w:eastAsia="Times New Roman" w:hAnsiTheme="majorHAnsi" w:cstheme="majorHAnsi"/>
                <w:color w:val="000000" w:themeColor="text1"/>
                <w:sz w:val="18"/>
                <w:szCs w:val="18"/>
                <w:highlight w:val="magenta"/>
                <w:lang w:eastAsia="fr-FR"/>
              </w:rPr>
              <w:t>9</w:t>
            </w:r>
            <w:r w:rsidRPr="009B7ED8">
              <w:rPr>
                <w:rFonts w:asciiTheme="majorHAnsi" w:eastAsia="Times New Roman" w:hAnsiTheme="majorHAnsi" w:cstheme="majorHAnsi"/>
                <w:color w:val="000000" w:themeColor="text1"/>
                <w:sz w:val="18"/>
                <w:szCs w:val="18"/>
                <w:highlight w:val="magenta"/>
                <w:lang w:eastAsia="fr-FR"/>
              </w:rPr>
              <w:t>,600</w:t>
            </w:r>
            <w:r w:rsidRPr="004A140A">
              <w:rPr>
                <w:rFonts w:asciiTheme="majorHAnsi" w:eastAsia="Times New Roman" w:hAnsiTheme="majorHAnsi" w:cstheme="majorHAnsi"/>
                <w:sz w:val="18"/>
                <w:szCs w:val="18"/>
                <w:highlight w:val="cyan"/>
                <w:lang w:eastAsia="fr-FR"/>
              </w:rPr>
              <w:t>) for field level community governance activities in support of Output 1.2 (Socially- and institutionally sustainable mechanisms for governance)</w:t>
            </w:r>
          </w:p>
        </w:tc>
      </w:tr>
      <w:tr w:rsidR="000A2A52" w:rsidRPr="00327CBE" w14:paraId="3B71356A"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47249773"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61D2FEE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768AB65E"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000000" w:fill="FFFFFF"/>
            <w:vAlign w:val="center"/>
            <w:hideMark/>
          </w:tcPr>
          <w:p w14:paraId="4283200C" w14:textId="6DE1DC2A" w:rsidR="000A2A52" w:rsidRPr="004A140A" w:rsidRDefault="000A2A52" w:rsidP="00327CBE">
            <w:pPr>
              <w:rPr>
                <w:rFonts w:asciiTheme="majorHAnsi" w:eastAsia="Times New Roman" w:hAnsiTheme="majorHAnsi" w:cstheme="majorHAnsi"/>
                <w:sz w:val="18"/>
                <w:szCs w:val="18"/>
                <w:highlight w:val="cyan"/>
                <w:lang w:eastAsia="fr-FR"/>
              </w:rPr>
            </w:pPr>
            <w:r w:rsidRPr="004A140A">
              <w:rPr>
                <w:rFonts w:asciiTheme="majorHAnsi" w:eastAsia="Times New Roman" w:hAnsiTheme="majorHAnsi" w:cstheme="majorHAnsi"/>
                <w:b/>
                <w:bCs/>
                <w:sz w:val="18"/>
                <w:szCs w:val="18"/>
                <w:highlight w:val="cyan"/>
                <w:lang w:eastAsia="fr-FR"/>
              </w:rPr>
              <w:t>USD 94,000:</w:t>
            </w:r>
            <w:r w:rsidRPr="004A140A">
              <w:rPr>
                <w:rFonts w:asciiTheme="majorHAnsi" w:eastAsia="Times New Roman" w:hAnsiTheme="majorHAnsi" w:cstheme="majorHAnsi"/>
                <w:sz w:val="18"/>
                <w:szCs w:val="18"/>
                <w:highlight w:val="cyan"/>
                <w:lang w:eastAsia="fr-FR"/>
              </w:rPr>
              <w:t xml:space="preserve"> Field technician (value chains) (2 people for 5 years @ USD </w:t>
            </w:r>
            <w:r w:rsidR="00F575C2" w:rsidRPr="009B7ED8">
              <w:rPr>
                <w:rFonts w:asciiTheme="majorHAnsi" w:eastAsia="Times New Roman" w:hAnsiTheme="majorHAnsi" w:cstheme="majorHAnsi"/>
                <w:color w:val="000000" w:themeColor="text1"/>
                <w:sz w:val="18"/>
                <w:szCs w:val="18"/>
                <w:highlight w:val="magenta"/>
                <w:lang w:eastAsia="fr-FR"/>
              </w:rPr>
              <w:t>9</w:t>
            </w:r>
            <w:r w:rsidRPr="009B7ED8">
              <w:rPr>
                <w:rFonts w:asciiTheme="majorHAnsi" w:eastAsia="Times New Roman" w:hAnsiTheme="majorHAnsi" w:cstheme="majorHAnsi"/>
                <w:color w:val="000000" w:themeColor="text1"/>
                <w:sz w:val="18"/>
                <w:szCs w:val="18"/>
                <w:highlight w:val="magenta"/>
                <w:lang w:eastAsia="fr-FR"/>
              </w:rPr>
              <w:t>,400,000</w:t>
            </w:r>
            <w:r w:rsidRPr="004A140A">
              <w:rPr>
                <w:rFonts w:asciiTheme="majorHAnsi" w:eastAsia="Times New Roman" w:hAnsiTheme="majorHAnsi" w:cstheme="majorHAnsi"/>
                <w:sz w:val="18"/>
                <w:szCs w:val="18"/>
                <w:highlight w:val="cyan"/>
                <w:lang w:eastAsia="fr-FR"/>
              </w:rPr>
              <w:t>) for field level work on development of value chains and related capacities in support of Output 1.2 (market-based instruments for safeguarding biodiversity)</w:t>
            </w:r>
          </w:p>
        </w:tc>
      </w:tr>
      <w:tr w:rsidR="000A2A52" w:rsidRPr="00327CBE" w14:paraId="66AFE95B"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011B012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0408AA6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5B7E452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000000" w:fill="FFFFFF"/>
            <w:vAlign w:val="center"/>
            <w:hideMark/>
          </w:tcPr>
          <w:p w14:paraId="1630BC2E" w14:textId="77777777" w:rsidR="000A2A52" w:rsidRPr="004A140A" w:rsidRDefault="000A2A52" w:rsidP="00327CBE">
            <w:pPr>
              <w:rPr>
                <w:rFonts w:asciiTheme="majorHAnsi" w:eastAsia="Times New Roman" w:hAnsiTheme="majorHAnsi" w:cstheme="majorHAnsi"/>
                <w:color w:val="000000"/>
                <w:sz w:val="18"/>
                <w:szCs w:val="18"/>
                <w:highlight w:val="cyan"/>
                <w:lang w:eastAsia="fr-FR"/>
              </w:rPr>
            </w:pPr>
            <w:r w:rsidRPr="004A140A">
              <w:rPr>
                <w:rFonts w:asciiTheme="majorHAnsi" w:eastAsia="Times New Roman" w:hAnsiTheme="majorHAnsi" w:cstheme="majorHAnsi"/>
                <w:b/>
                <w:bCs/>
                <w:color w:val="000000"/>
                <w:sz w:val="18"/>
                <w:szCs w:val="18"/>
                <w:highlight w:val="cyan"/>
                <w:lang w:eastAsia="fr-FR"/>
              </w:rPr>
              <w:t xml:space="preserve">USD 60,000 </w:t>
            </w:r>
            <w:r w:rsidRPr="004A140A">
              <w:rPr>
                <w:rFonts w:asciiTheme="majorHAnsi" w:eastAsia="Times New Roman" w:hAnsiTheme="majorHAnsi" w:cstheme="majorHAnsi"/>
                <w:color w:val="000000"/>
                <w:sz w:val="18"/>
                <w:szCs w:val="18"/>
                <w:highlight w:val="cyan"/>
                <w:lang w:eastAsia="fr-FR"/>
              </w:rPr>
              <w:t>: Salary of the Administrative / Financial Assistant of the NGO/CSO (5 person/years @ USD12,000)</w:t>
            </w:r>
          </w:p>
        </w:tc>
      </w:tr>
      <w:tr w:rsidR="000A2A52" w:rsidRPr="00327CBE" w14:paraId="65F57DFC" w14:textId="77777777" w:rsidTr="008244FA">
        <w:trPr>
          <w:trHeight w:val="20"/>
        </w:trPr>
        <w:tc>
          <w:tcPr>
            <w:tcW w:w="114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05982E31"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15</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3A30B105"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70,000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7903CE86"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71600 Travel</w:t>
            </w:r>
          </w:p>
        </w:tc>
        <w:tc>
          <w:tcPr>
            <w:tcW w:w="9939" w:type="dxa"/>
            <w:gridSpan w:val="6"/>
            <w:tcBorders>
              <w:top w:val="single" w:sz="8" w:space="0" w:color="auto"/>
              <w:left w:val="nil"/>
              <w:bottom w:val="nil"/>
              <w:right w:val="single" w:sz="8" w:space="0" w:color="000000"/>
            </w:tcBorders>
            <w:shd w:val="clear" w:color="auto" w:fill="auto"/>
            <w:vAlign w:val="center"/>
            <w:hideMark/>
          </w:tcPr>
          <w:p w14:paraId="2216F659" w14:textId="0CC828A1" w:rsidR="000A2A52" w:rsidRPr="009301EF" w:rsidRDefault="000A2A52" w:rsidP="00327CBE">
            <w:pPr>
              <w:rPr>
                <w:rFonts w:asciiTheme="majorHAnsi" w:eastAsia="Times New Roman" w:hAnsiTheme="majorHAnsi" w:cstheme="majorHAnsi"/>
                <w:sz w:val="18"/>
                <w:szCs w:val="18"/>
                <w:highlight w:val="magenta"/>
                <w:lang w:eastAsia="fr-FR"/>
              </w:rPr>
            </w:pPr>
            <w:r w:rsidRPr="009301EF">
              <w:rPr>
                <w:rFonts w:asciiTheme="majorHAnsi" w:eastAsia="Times New Roman" w:hAnsiTheme="majorHAnsi" w:cstheme="majorHAnsi"/>
                <w:b/>
                <w:bCs/>
                <w:sz w:val="18"/>
                <w:szCs w:val="18"/>
                <w:highlight w:val="magenta"/>
                <w:lang w:eastAsia="fr-FR"/>
              </w:rPr>
              <w:t>USD 35,000:</w:t>
            </w:r>
            <w:r w:rsidRPr="009301EF">
              <w:rPr>
                <w:rFonts w:asciiTheme="majorHAnsi" w:eastAsia="Times New Roman" w:hAnsiTheme="majorHAnsi" w:cstheme="majorHAnsi"/>
                <w:sz w:val="18"/>
                <w:szCs w:val="18"/>
                <w:highlight w:val="magenta"/>
                <w:lang w:eastAsia="fr-FR"/>
              </w:rPr>
              <w:t xml:space="preserve">  Travel costs (tickets and DSA) for Value Chain Specialist, Governance Specialist, Administrative </w:t>
            </w:r>
            <w:proofErr w:type="spellStart"/>
            <w:r w:rsidRPr="009301EF">
              <w:rPr>
                <w:rFonts w:asciiTheme="majorHAnsi" w:eastAsia="Times New Roman" w:hAnsiTheme="majorHAnsi" w:cstheme="majorHAnsi"/>
                <w:sz w:val="18"/>
                <w:szCs w:val="18"/>
                <w:highlight w:val="magenta"/>
                <w:lang w:eastAsia="fr-FR"/>
              </w:rPr>
              <w:t>Asssistant</w:t>
            </w:r>
            <w:proofErr w:type="spellEnd"/>
            <w:r w:rsidRPr="009301EF">
              <w:rPr>
                <w:rFonts w:asciiTheme="majorHAnsi" w:eastAsia="Times New Roman" w:hAnsiTheme="majorHAnsi" w:cstheme="majorHAnsi"/>
                <w:sz w:val="18"/>
                <w:szCs w:val="18"/>
                <w:highlight w:val="magenta"/>
                <w:lang w:eastAsia="fr-FR"/>
              </w:rPr>
              <w:t xml:space="preserve"> </w:t>
            </w:r>
          </w:p>
        </w:tc>
      </w:tr>
      <w:tr w:rsidR="000A2A52" w:rsidRPr="00327CBE" w14:paraId="4DB86FF3" w14:textId="77777777" w:rsidTr="008244FA">
        <w:trPr>
          <w:trHeight w:val="20"/>
        </w:trPr>
        <w:tc>
          <w:tcPr>
            <w:tcW w:w="1144" w:type="dxa"/>
            <w:vMerge/>
            <w:tcBorders>
              <w:top w:val="single" w:sz="8" w:space="0" w:color="auto"/>
              <w:left w:val="single" w:sz="8" w:space="0" w:color="auto"/>
              <w:bottom w:val="single" w:sz="8" w:space="0" w:color="000000"/>
              <w:right w:val="single" w:sz="8" w:space="0" w:color="auto"/>
            </w:tcBorders>
            <w:vAlign w:val="center"/>
            <w:hideMark/>
          </w:tcPr>
          <w:p w14:paraId="15EF1B98"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1102510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20EBB6A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single" w:sz="8" w:space="0" w:color="auto"/>
              <w:right w:val="single" w:sz="8" w:space="0" w:color="000000"/>
            </w:tcBorders>
            <w:shd w:val="clear" w:color="auto" w:fill="auto"/>
            <w:vAlign w:val="center"/>
            <w:hideMark/>
          </w:tcPr>
          <w:p w14:paraId="0DCB5CEC" w14:textId="1045D4CF" w:rsidR="000A2A52" w:rsidRPr="009301EF" w:rsidRDefault="000A2A52" w:rsidP="00327CBE">
            <w:pPr>
              <w:rPr>
                <w:rFonts w:asciiTheme="majorHAnsi" w:eastAsia="Times New Roman" w:hAnsiTheme="majorHAnsi" w:cstheme="majorHAnsi"/>
                <w:sz w:val="18"/>
                <w:szCs w:val="18"/>
                <w:highlight w:val="magenta"/>
                <w:lang w:eastAsia="fr-FR"/>
              </w:rPr>
            </w:pPr>
            <w:r w:rsidRPr="009301EF">
              <w:rPr>
                <w:rFonts w:asciiTheme="majorHAnsi" w:eastAsia="Times New Roman" w:hAnsiTheme="majorHAnsi" w:cstheme="majorHAnsi"/>
                <w:b/>
                <w:bCs/>
                <w:sz w:val="18"/>
                <w:szCs w:val="18"/>
                <w:highlight w:val="magenta"/>
                <w:lang w:eastAsia="fr-FR"/>
              </w:rPr>
              <w:t>USD 35,000: T</w:t>
            </w:r>
            <w:r w:rsidRPr="009301EF">
              <w:rPr>
                <w:rFonts w:asciiTheme="majorHAnsi" w:eastAsia="Times New Roman" w:hAnsiTheme="majorHAnsi" w:cstheme="majorHAnsi"/>
                <w:sz w:val="18"/>
                <w:szCs w:val="18"/>
                <w:highlight w:val="magenta"/>
                <w:lang w:eastAsia="fr-FR"/>
              </w:rPr>
              <w:t>ravel costs for  Supervision and Monitoring activities by NGO/CSO (Mitigation Plan) (Over 5 years)</w:t>
            </w:r>
          </w:p>
        </w:tc>
      </w:tr>
      <w:tr w:rsidR="000A2A52" w:rsidRPr="00327CBE" w14:paraId="0F1B45B6"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37AB892E"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16</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4ABA83A0" w14:textId="67C6C9AC" w:rsidR="000A2A52" w:rsidRPr="008244FA" w:rsidRDefault="00A02261" w:rsidP="00327CBE">
            <w:pPr>
              <w:jc w:val="center"/>
              <w:rPr>
                <w:rFonts w:asciiTheme="majorHAnsi" w:eastAsia="Times New Roman" w:hAnsiTheme="majorHAnsi" w:cstheme="majorHAnsi"/>
                <w:color w:val="000000"/>
                <w:sz w:val="18"/>
                <w:szCs w:val="18"/>
                <w:lang w:val="fr-FR" w:eastAsia="fr-FR"/>
              </w:rPr>
            </w:pPr>
            <w:r>
              <w:rPr>
                <w:rFonts w:asciiTheme="majorHAnsi" w:eastAsia="Times New Roman" w:hAnsiTheme="majorHAnsi" w:cstheme="majorHAnsi"/>
                <w:color w:val="000000"/>
                <w:sz w:val="18"/>
                <w:szCs w:val="18"/>
                <w:lang w:val="fr-FR" w:eastAsia="fr-FR"/>
              </w:rPr>
              <w:t>75</w:t>
            </w:r>
            <w:r w:rsidR="000A2A52" w:rsidRPr="008244FA">
              <w:rPr>
                <w:rFonts w:asciiTheme="majorHAnsi" w:eastAsia="Times New Roman" w:hAnsiTheme="majorHAnsi" w:cstheme="majorHAnsi"/>
                <w:color w:val="000000"/>
                <w:sz w:val="18"/>
                <w:szCs w:val="18"/>
                <w:lang w:val="fr-FR" w:eastAsia="fr-FR"/>
              </w:rPr>
              <w:t>,000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705869C3"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72100 </w:t>
            </w: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companies</w:t>
            </w:r>
            <w:proofErr w:type="spellEnd"/>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6D9BE24F" w14:textId="00C4620F" w:rsidR="004A40DE"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w:t>
            </w:r>
            <w:r w:rsidR="001F1DA8">
              <w:rPr>
                <w:rFonts w:asciiTheme="majorHAnsi" w:eastAsia="Times New Roman" w:hAnsiTheme="majorHAnsi" w:cstheme="majorHAnsi"/>
                <w:b/>
                <w:bCs/>
                <w:sz w:val="18"/>
                <w:szCs w:val="18"/>
                <w:lang w:eastAsia="fr-FR"/>
              </w:rPr>
              <w:t>35</w:t>
            </w:r>
            <w:r w:rsidRPr="008244FA">
              <w:rPr>
                <w:rFonts w:asciiTheme="majorHAnsi" w:eastAsia="Times New Roman" w:hAnsiTheme="majorHAnsi" w:cstheme="majorHAnsi"/>
                <w:b/>
                <w:bCs/>
                <w:sz w:val="18"/>
                <w:szCs w:val="18"/>
                <w:lang w:eastAsia="fr-FR"/>
              </w:rPr>
              <w:t xml:space="preserve">,000: </w:t>
            </w:r>
            <w:r w:rsidRPr="008244FA">
              <w:rPr>
                <w:rFonts w:asciiTheme="majorHAnsi" w:eastAsia="Times New Roman" w:hAnsiTheme="majorHAnsi" w:cstheme="majorHAnsi"/>
                <w:sz w:val="18"/>
                <w:szCs w:val="18"/>
                <w:lang w:eastAsia="fr-FR"/>
              </w:rPr>
              <w:t xml:space="preserve">Costs of office security (over 5 years)                                             </w:t>
            </w:r>
          </w:p>
          <w:p w14:paraId="0ADE597A" w14:textId="20F8387D"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USD40,000:</w:t>
            </w:r>
            <w:r w:rsidRPr="008244FA">
              <w:rPr>
                <w:rFonts w:asciiTheme="majorHAnsi" w:eastAsia="Times New Roman" w:hAnsiTheme="majorHAnsi" w:cstheme="majorHAnsi"/>
                <w:sz w:val="18"/>
                <w:szCs w:val="18"/>
                <w:lang w:eastAsia="fr-FR"/>
              </w:rPr>
              <w:t xml:space="preserve"> Costs of communication services company              </w:t>
            </w:r>
          </w:p>
        </w:tc>
      </w:tr>
      <w:tr w:rsidR="000A2A52" w:rsidRPr="00327CBE" w14:paraId="4484E3B6" w14:textId="77777777" w:rsidTr="008244FA">
        <w:trPr>
          <w:trHeight w:val="20"/>
        </w:trPr>
        <w:tc>
          <w:tcPr>
            <w:tcW w:w="1144" w:type="dxa"/>
            <w:vMerge w:val="restart"/>
            <w:tcBorders>
              <w:top w:val="nil"/>
              <w:left w:val="single" w:sz="8" w:space="0" w:color="auto"/>
              <w:bottom w:val="nil"/>
              <w:right w:val="single" w:sz="8" w:space="0" w:color="auto"/>
            </w:tcBorders>
            <w:shd w:val="clear" w:color="auto" w:fill="auto"/>
            <w:vAlign w:val="center"/>
            <w:hideMark/>
          </w:tcPr>
          <w:p w14:paraId="244E06EC"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17</w:t>
            </w:r>
          </w:p>
        </w:tc>
        <w:tc>
          <w:tcPr>
            <w:tcW w:w="1256" w:type="dxa"/>
            <w:vMerge w:val="restart"/>
            <w:tcBorders>
              <w:top w:val="single" w:sz="8" w:space="0" w:color="auto"/>
              <w:left w:val="single" w:sz="8" w:space="0" w:color="auto"/>
              <w:bottom w:val="nil"/>
              <w:right w:val="single" w:sz="8" w:space="0" w:color="000000"/>
            </w:tcBorders>
            <w:shd w:val="clear" w:color="auto" w:fill="auto"/>
            <w:vAlign w:val="center"/>
            <w:hideMark/>
          </w:tcPr>
          <w:p w14:paraId="606C613A"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95,000</w:t>
            </w:r>
          </w:p>
        </w:tc>
        <w:tc>
          <w:tcPr>
            <w:tcW w:w="2126" w:type="dxa"/>
            <w:vMerge w:val="restart"/>
            <w:tcBorders>
              <w:top w:val="single" w:sz="8" w:space="0" w:color="auto"/>
              <w:left w:val="single" w:sz="8" w:space="0" w:color="auto"/>
              <w:bottom w:val="nil"/>
              <w:right w:val="single" w:sz="8" w:space="0" w:color="000000"/>
            </w:tcBorders>
            <w:shd w:val="clear" w:color="auto" w:fill="auto"/>
            <w:vAlign w:val="center"/>
            <w:hideMark/>
          </w:tcPr>
          <w:p w14:paraId="38DAD193"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72200 Equipment and </w:t>
            </w:r>
            <w:proofErr w:type="spellStart"/>
            <w:r w:rsidRPr="008244FA">
              <w:rPr>
                <w:rFonts w:asciiTheme="majorHAnsi" w:eastAsia="Times New Roman" w:hAnsiTheme="majorHAnsi" w:cstheme="majorHAnsi"/>
                <w:color w:val="000000"/>
                <w:sz w:val="18"/>
                <w:szCs w:val="18"/>
                <w:lang w:val="fr-FR" w:eastAsia="fr-FR"/>
              </w:rPr>
              <w:t>furniture</w:t>
            </w:r>
            <w:proofErr w:type="spellEnd"/>
          </w:p>
        </w:tc>
        <w:tc>
          <w:tcPr>
            <w:tcW w:w="9939" w:type="dxa"/>
            <w:gridSpan w:val="6"/>
            <w:tcBorders>
              <w:top w:val="single" w:sz="8" w:space="0" w:color="auto"/>
              <w:left w:val="nil"/>
              <w:bottom w:val="nil"/>
              <w:right w:val="single" w:sz="8" w:space="0" w:color="000000"/>
            </w:tcBorders>
            <w:shd w:val="clear" w:color="auto" w:fill="auto"/>
            <w:vAlign w:val="center"/>
            <w:hideMark/>
          </w:tcPr>
          <w:p w14:paraId="3DA6D6A2" w14:textId="77777777" w:rsidR="000A2A52" w:rsidRPr="009953BD" w:rsidRDefault="000A2A52" w:rsidP="00327CBE">
            <w:pPr>
              <w:rPr>
                <w:rFonts w:asciiTheme="majorHAnsi" w:eastAsia="Times New Roman" w:hAnsiTheme="majorHAnsi" w:cstheme="majorHAnsi"/>
                <w:sz w:val="18"/>
                <w:szCs w:val="18"/>
                <w:highlight w:val="magenta"/>
                <w:lang w:eastAsia="fr-FR"/>
              </w:rPr>
            </w:pPr>
            <w:r w:rsidRPr="009953BD">
              <w:rPr>
                <w:rFonts w:asciiTheme="majorHAnsi" w:eastAsia="Times New Roman" w:hAnsiTheme="majorHAnsi" w:cstheme="majorHAnsi"/>
                <w:b/>
                <w:bCs/>
                <w:sz w:val="18"/>
                <w:szCs w:val="18"/>
                <w:highlight w:val="magenta"/>
                <w:lang w:eastAsia="fr-FR"/>
              </w:rPr>
              <w:t xml:space="preserve">USD 30,000: </w:t>
            </w:r>
            <w:r w:rsidRPr="009953BD">
              <w:rPr>
                <w:rFonts w:asciiTheme="majorHAnsi" w:eastAsia="Times New Roman" w:hAnsiTheme="majorHAnsi" w:cstheme="majorHAnsi"/>
                <w:sz w:val="18"/>
                <w:szCs w:val="18"/>
                <w:highlight w:val="magenta"/>
                <w:lang w:eastAsia="fr-FR"/>
              </w:rPr>
              <w:t xml:space="preserve">costs of stationery, Office materials and other </w:t>
            </w:r>
            <w:proofErr w:type="spellStart"/>
            <w:r w:rsidRPr="009953BD">
              <w:rPr>
                <w:rFonts w:asciiTheme="majorHAnsi" w:eastAsia="Times New Roman" w:hAnsiTheme="majorHAnsi" w:cstheme="majorHAnsi"/>
                <w:sz w:val="18"/>
                <w:szCs w:val="18"/>
                <w:highlight w:val="magenta"/>
                <w:lang w:eastAsia="fr-FR"/>
              </w:rPr>
              <w:t>equipments</w:t>
            </w:r>
            <w:proofErr w:type="spellEnd"/>
            <w:r w:rsidRPr="009953BD">
              <w:rPr>
                <w:rFonts w:asciiTheme="majorHAnsi" w:eastAsia="Times New Roman" w:hAnsiTheme="majorHAnsi" w:cstheme="majorHAnsi"/>
                <w:sz w:val="18"/>
                <w:szCs w:val="18"/>
                <w:highlight w:val="magenta"/>
                <w:lang w:eastAsia="fr-FR"/>
              </w:rPr>
              <w:t xml:space="preserve"> (Over 5 years)</w:t>
            </w:r>
          </w:p>
        </w:tc>
      </w:tr>
      <w:tr w:rsidR="000A2A52" w:rsidRPr="00327CBE" w14:paraId="1FF99D9A"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3920954F"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320CC986"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2F9BDAA5"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091FB1EE" w14:textId="1491300B" w:rsidR="000A2A52" w:rsidRPr="009953BD" w:rsidRDefault="000A2A52" w:rsidP="00327CBE">
            <w:pPr>
              <w:rPr>
                <w:rFonts w:asciiTheme="majorHAnsi" w:eastAsia="Times New Roman" w:hAnsiTheme="majorHAnsi" w:cstheme="majorHAnsi"/>
                <w:sz w:val="18"/>
                <w:szCs w:val="18"/>
                <w:highlight w:val="magenta"/>
                <w:lang w:eastAsia="fr-FR"/>
              </w:rPr>
            </w:pPr>
            <w:r w:rsidRPr="009953BD">
              <w:rPr>
                <w:rFonts w:asciiTheme="majorHAnsi" w:eastAsia="Times New Roman" w:hAnsiTheme="majorHAnsi" w:cstheme="majorHAnsi"/>
                <w:b/>
                <w:bCs/>
                <w:sz w:val="18"/>
                <w:szCs w:val="18"/>
                <w:highlight w:val="magenta"/>
                <w:lang w:eastAsia="fr-FR"/>
              </w:rPr>
              <w:t>USD 10,000:</w:t>
            </w:r>
            <w:r w:rsidRPr="009953BD">
              <w:rPr>
                <w:rFonts w:asciiTheme="majorHAnsi" w:eastAsia="Times New Roman" w:hAnsiTheme="majorHAnsi" w:cstheme="majorHAnsi"/>
                <w:sz w:val="18"/>
                <w:szCs w:val="18"/>
                <w:highlight w:val="magenta"/>
                <w:lang w:eastAsia="fr-FR"/>
              </w:rPr>
              <w:t xml:space="preserve">costs of tables and chairs </w:t>
            </w:r>
          </w:p>
        </w:tc>
      </w:tr>
      <w:tr w:rsidR="000A2A52" w:rsidRPr="00327CBE" w14:paraId="190CEFD9"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461FE1E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502952C6"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5C594E32"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6919ACF4" w14:textId="77777777" w:rsidR="000A2A52" w:rsidRPr="009953BD" w:rsidRDefault="000A2A52" w:rsidP="00327CBE">
            <w:pPr>
              <w:rPr>
                <w:rFonts w:asciiTheme="majorHAnsi" w:eastAsia="Times New Roman" w:hAnsiTheme="majorHAnsi" w:cstheme="majorHAnsi"/>
                <w:sz w:val="18"/>
                <w:szCs w:val="18"/>
                <w:highlight w:val="magenta"/>
                <w:lang w:eastAsia="fr-FR"/>
              </w:rPr>
            </w:pPr>
            <w:r w:rsidRPr="009953BD">
              <w:rPr>
                <w:rFonts w:asciiTheme="majorHAnsi" w:eastAsia="Times New Roman" w:hAnsiTheme="majorHAnsi" w:cstheme="majorHAnsi"/>
                <w:b/>
                <w:bCs/>
                <w:sz w:val="18"/>
                <w:szCs w:val="18"/>
                <w:highlight w:val="magenta"/>
                <w:lang w:eastAsia="fr-FR"/>
              </w:rPr>
              <w:t>USD 5,000</w:t>
            </w:r>
            <w:r w:rsidRPr="009953BD">
              <w:rPr>
                <w:rFonts w:asciiTheme="majorHAnsi" w:eastAsia="Times New Roman" w:hAnsiTheme="majorHAnsi" w:cstheme="majorHAnsi"/>
                <w:sz w:val="18"/>
                <w:szCs w:val="18"/>
                <w:highlight w:val="magenta"/>
                <w:lang w:eastAsia="fr-FR"/>
              </w:rPr>
              <w:t>: Costs for training materials</w:t>
            </w:r>
          </w:p>
        </w:tc>
      </w:tr>
      <w:tr w:rsidR="000A2A52" w:rsidRPr="00327CBE" w14:paraId="4418542E"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205A1E3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3C4506C8"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3F21FD5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16011F3E" w14:textId="77777777" w:rsidR="000A2A52" w:rsidRPr="009953BD" w:rsidRDefault="000A2A52" w:rsidP="00327CBE">
            <w:pPr>
              <w:rPr>
                <w:rFonts w:asciiTheme="majorHAnsi" w:eastAsia="Times New Roman" w:hAnsiTheme="majorHAnsi" w:cstheme="majorHAnsi"/>
                <w:sz w:val="18"/>
                <w:szCs w:val="18"/>
                <w:highlight w:val="magenta"/>
                <w:lang w:eastAsia="fr-FR"/>
              </w:rPr>
            </w:pPr>
            <w:r w:rsidRPr="009953BD">
              <w:rPr>
                <w:rFonts w:asciiTheme="majorHAnsi" w:eastAsia="Times New Roman" w:hAnsiTheme="majorHAnsi" w:cstheme="majorHAnsi"/>
                <w:b/>
                <w:bCs/>
                <w:sz w:val="18"/>
                <w:szCs w:val="18"/>
                <w:highlight w:val="magenta"/>
                <w:lang w:eastAsia="fr-FR"/>
              </w:rPr>
              <w:t>USD 20,000:</w:t>
            </w:r>
            <w:r w:rsidRPr="009953BD">
              <w:rPr>
                <w:rFonts w:asciiTheme="majorHAnsi" w:eastAsia="Times New Roman" w:hAnsiTheme="majorHAnsi" w:cstheme="majorHAnsi"/>
                <w:sz w:val="18"/>
                <w:szCs w:val="18"/>
                <w:highlight w:val="magenta"/>
                <w:lang w:eastAsia="fr-FR"/>
              </w:rPr>
              <w:t xml:space="preserve"> Costs of vehicle maintenance  and Fuel (over 5 years)</w:t>
            </w:r>
          </w:p>
        </w:tc>
      </w:tr>
      <w:tr w:rsidR="000A2A52" w:rsidRPr="00327CBE" w14:paraId="3A1853E4"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74624D90"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7A4679E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7CBEB494"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3B229E1B" w14:textId="77777777" w:rsidR="000A2A52" w:rsidRPr="009953BD" w:rsidRDefault="000A2A52" w:rsidP="00327CBE">
            <w:pPr>
              <w:rPr>
                <w:rFonts w:asciiTheme="majorHAnsi" w:eastAsia="Times New Roman" w:hAnsiTheme="majorHAnsi" w:cstheme="majorHAnsi"/>
                <w:sz w:val="18"/>
                <w:szCs w:val="18"/>
                <w:highlight w:val="magenta"/>
                <w:lang w:eastAsia="fr-FR"/>
              </w:rPr>
            </w:pPr>
            <w:r w:rsidRPr="009953BD">
              <w:rPr>
                <w:rFonts w:asciiTheme="majorHAnsi" w:eastAsia="Times New Roman" w:hAnsiTheme="majorHAnsi" w:cstheme="majorHAnsi"/>
                <w:b/>
                <w:bCs/>
                <w:sz w:val="18"/>
                <w:szCs w:val="18"/>
                <w:highlight w:val="magenta"/>
                <w:lang w:eastAsia="fr-FR"/>
              </w:rPr>
              <w:t>USD 30,000:</w:t>
            </w:r>
            <w:r w:rsidRPr="009953BD">
              <w:rPr>
                <w:rFonts w:asciiTheme="majorHAnsi" w:eastAsia="Times New Roman" w:hAnsiTheme="majorHAnsi" w:cstheme="majorHAnsi"/>
                <w:sz w:val="18"/>
                <w:szCs w:val="18"/>
                <w:highlight w:val="magenta"/>
                <w:lang w:eastAsia="fr-FR"/>
              </w:rPr>
              <w:t xml:space="preserve"> Costs of generator, inverter, batteries, solar panel and electrical installations</w:t>
            </w:r>
          </w:p>
        </w:tc>
      </w:tr>
      <w:tr w:rsidR="000A2A52" w:rsidRPr="00327CBE" w14:paraId="2A326523" w14:textId="77777777" w:rsidTr="008244FA">
        <w:trPr>
          <w:trHeight w:val="20"/>
        </w:trPr>
        <w:tc>
          <w:tcPr>
            <w:tcW w:w="114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25722C0"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18</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73DD002E"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25,000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005CDC27"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72400 </w:t>
            </w:r>
            <w:proofErr w:type="spellStart"/>
            <w:r w:rsidRPr="008244FA">
              <w:rPr>
                <w:rFonts w:asciiTheme="majorHAnsi" w:eastAsia="Times New Roman" w:hAnsiTheme="majorHAnsi" w:cstheme="majorHAnsi"/>
                <w:color w:val="000000"/>
                <w:sz w:val="18"/>
                <w:szCs w:val="18"/>
                <w:lang w:val="fr-FR" w:eastAsia="fr-FR"/>
              </w:rPr>
              <w:t>Communic</w:t>
            </w:r>
            <w:proofErr w:type="spellEnd"/>
            <w:r w:rsidRPr="008244FA">
              <w:rPr>
                <w:rFonts w:asciiTheme="majorHAnsi" w:eastAsia="Times New Roman" w:hAnsiTheme="majorHAnsi" w:cstheme="majorHAnsi"/>
                <w:color w:val="000000"/>
                <w:sz w:val="18"/>
                <w:szCs w:val="18"/>
                <w:lang w:val="fr-FR" w:eastAsia="fr-FR"/>
              </w:rPr>
              <w:t xml:space="preserve"> &amp; </w:t>
            </w:r>
            <w:proofErr w:type="spellStart"/>
            <w:r w:rsidRPr="008244FA">
              <w:rPr>
                <w:rFonts w:asciiTheme="majorHAnsi" w:eastAsia="Times New Roman" w:hAnsiTheme="majorHAnsi" w:cstheme="majorHAnsi"/>
                <w:color w:val="000000"/>
                <w:sz w:val="18"/>
                <w:szCs w:val="18"/>
                <w:lang w:val="fr-FR" w:eastAsia="fr-FR"/>
              </w:rPr>
              <w:t>Audio-Visual</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057665F7"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25,000:</w:t>
            </w:r>
            <w:r w:rsidRPr="008244FA">
              <w:rPr>
                <w:rFonts w:asciiTheme="majorHAnsi" w:eastAsia="Times New Roman" w:hAnsiTheme="majorHAnsi" w:cstheme="majorHAnsi"/>
                <w:sz w:val="18"/>
                <w:szCs w:val="18"/>
                <w:lang w:eastAsia="fr-FR"/>
              </w:rPr>
              <w:t xml:space="preserve"> Costs of communication equipment </w:t>
            </w:r>
          </w:p>
        </w:tc>
      </w:tr>
      <w:tr w:rsidR="000A2A52" w:rsidRPr="00327CBE" w14:paraId="5984714E"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6A5EBE99"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19</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4FC2E729"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16,000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032ADD86"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72800 Information </w:t>
            </w:r>
            <w:proofErr w:type="spellStart"/>
            <w:r w:rsidRPr="008244FA">
              <w:rPr>
                <w:rFonts w:asciiTheme="majorHAnsi" w:eastAsia="Times New Roman" w:hAnsiTheme="majorHAnsi" w:cstheme="majorHAnsi"/>
                <w:color w:val="000000"/>
                <w:sz w:val="18"/>
                <w:szCs w:val="18"/>
                <w:lang w:val="fr-FR" w:eastAsia="fr-FR"/>
              </w:rPr>
              <w:t>Technology</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1E81180D"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USD16,000:</w:t>
            </w:r>
            <w:r w:rsidRPr="008244FA">
              <w:rPr>
                <w:rFonts w:asciiTheme="majorHAnsi" w:eastAsia="Times New Roman" w:hAnsiTheme="majorHAnsi" w:cstheme="majorHAnsi"/>
                <w:sz w:val="18"/>
                <w:szCs w:val="18"/>
                <w:lang w:eastAsia="fr-FR"/>
              </w:rPr>
              <w:t xml:space="preserve"> Costs of portable computers and supplies (Over 5 years)</w:t>
            </w:r>
          </w:p>
        </w:tc>
      </w:tr>
      <w:tr w:rsidR="000A2A52" w:rsidRPr="00327CBE" w14:paraId="7C834962"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48FBB239"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20</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7AF11C54"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50,000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0ED8CABD"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73100 </w:t>
            </w:r>
            <w:proofErr w:type="spellStart"/>
            <w:r w:rsidRPr="008244FA">
              <w:rPr>
                <w:rFonts w:asciiTheme="majorHAnsi" w:eastAsia="Times New Roman" w:hAnsiTheme="majorHAnsi" w:cstheme="majorHAnsi"/>
                <w:color w:val="000000"/>
                <w:sz w:val="18"/>
                <w:szCs w:val="18"/>
                <w:lang w:val="fr-FR" w:eastAsia="fr-FR"/>
              </w:rPr>
              <w:t>Rental</w:t>
            </w:r>
            <w:proofErr w:type="spellEnd"/>
            <w:r w:rsidRPr="008244FA">
              <w:rPr>
                <w:rFonts w:asciiTheme="majorHAnsi" w:eastAsia="Times New Roman" w:hAnsiTheme="majorHAnsi" w:cstheme="majorHAnsi"/>
                <w:color w:val="000000"/>
                <w:sz w:val="18"/>
                <w:szCs w:val="18"/>
                <w:lang w:val="fr-FR" w:eastAsia="fr-FR"/>
              </w:rPr>
              <w:t xml:space="preserve"> and Maintenance - </w:t>
            </w:r>
            <w:proofErr w:type="spellStart"/>
            <w:r w:rsidRPr="008244FA">
              <w:rPr>
                <w:rFonts w:asciiTheme="majorHAnsi" w:eastAsia="Times New Roman" w:hAnsiTheme="majorHAnsi" w:cstheme="majorHAnsi"/>
                <w:color w:val="000000"/>
                <w:sz w:val="18"/>
                <w:szCs w:val="18"/>
                <w:lang w:val="fr-FR" w:eastAsia="fr-FR"/>
              </w:rPr>
              <w:t>Premises</w:t>
            </w:r>
            <w:proofErr w:type="spellEnd"/>
            <w:r w:rsidRPr="008244FA">
              <w:rPr>
                <w:rFonts w:asciiTheme="majorHAnsi" w:eastAsia="Times New Roman" w:hAnsiTheme="majorHAnsi" w:cstheme="majorHAnsi"/>
                <w:color w:val="000000"/>
                <w:sz w:val="18"/>
                <w:szCs w:val="18"/>
                <w:lang w:val="fr-FR" w:eastAsia="fr-FR"/>
              </w:rPr>
              <w:t xml:space="preserve"> </w:t>
            </w: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2DE670D4"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sz w:val="18"/>
                <w:szCs w:val="18"/>
                <w:lang w:eastAsia="fr-FR"/>
              </w:rPr>
              <w:t xml:space="preserve"> </w:t>
            </w:r>
            <w:r w:rsidRPr="008244FA">
              <w:rPr>
                <w:rFonts w:asciiTheme="majorHAnsi" w:eastAsia="Times New Roman" w:hAnsiTheme="majorHAnsi" w:cstheme="majorHAnsi"/>
                <w:b/>
                <w:bCs/>
                <w:sz w:val="18"/>
                <w:szCs w:val="18"/>
                <w:lang w:eastAsia="fr-FR"/>
              </w:rPr>
              <w:t>USD 50,000:</w:t>
            </w:r>
            <w:r w:rsidRPr="008244FA">
              <w:rPr>
                <w:rFonts w:asciiTheme="majorHAnsi" w:eastAsia="Times New Roman" w:hAnsiTheme="majorHAnsi" w:cstheme="majorHAnsi"/>
                <w:sz w:val="18"/>
                <w:szCs w:val="18"/>
                <w:lang w:eastAsia="fr-FR"/>
              </w:rPr>
              <w:t xml:space="preserve"> Costs of office rental and maintenance (over 5 years)</w:t>
            </w:r>
          </w:p>
        </w:tc>
      </w:tr>
      <w:tr w:rsidR="000A2A52" w:rsidRPr="00327CBE" w14:paraId="22D205C9"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53A322AC"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21</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3475F3E1"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50,000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2C19DEF3" w14:textId="77777777" w:rsidR="000A2A52" w:rsidRPr="008244FA" w:rsidRDefault="000A2A52" w:rsidP="00327CBE">
            <w:pPr>
              <w:jc w:val="cente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eastAsia="fr-FR"/>
              </w:rPr>
              <w:t xml:space="preserve">73400 Rental and Maintenance – other equipment  </w:t>
            </w: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778ACC71" w14:textId="30875521"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50,000: Costs</w:t>
            </w:r>
            <w:r w:rsidRPr="008244FA">
              <w:rPr>
                <w:rFonts w:asciiTheme="majorHAnsi" w:eastAsia="Times New Roman" w:hAnsiTheme="majorHAnsi" w:cstheme="majorHAnsi"/>
                <w:sz w:val="18"/>
                <w:szCs w:val="18"/>
                <w:lang w:eastAsia="fr-FR"/>
              </w:rPr>
              <w:t xml:space="preserve"> of rental and maintenance of cars, motorcycles and other materials (over 5 years)</w:t>
            </w:r>
          </w:p>
        </w:tc>
      </w:tr>
      <w:tr w:rsidR="000A2A52" w:rsidRPr="00327CBE" w14:paraId="45EA6A66"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6E34B7E0"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22</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777EEDA1"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15,000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5B6F30FF"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74500 </w:t>
            </w:r>
            <w:proofErr w:type="spellStart"/>
            <w:r w:rsidRPr="008244FA">
              <w:rPr>
                <w:rFonts w:asciiTheme="majorHAnsi" w:eastAsia="Times New Roman" w:hAnsiTheme="majorHAnsi" w:cstheme="majorHAnsi"/>
                <w:color w:val="000000"/>
                <w:sz w:val="18"/>
                <w:szCs w:val="18"/>
                <w:lang w:val="fr-FR" w:eastAsia="fr-FR"/>
              </w:rPr>
              <w:t>Miscellaneous</w:t>
            </w:r>
            <w:proofErr w:type="spellEnd"/>
            <w:r w:rsidRPr="008244FA">
              <w:rPr>
                <w:rFonts w:asciiTheme="majorHAnsi" w:eastAsia="Times New Roman" w:hAnsiTheme="majorHAnsi" w:cstheme="majorHAnsi"/>
                <w:color w:val="000000"/>
                <w:sz w:val="18"/>
                <w:szCs w:val="18"/>
                <w:lang w:val="fr-FR" w:eastAsia="fr-FR"/>
              </w:rPr>
              <w:t xml:space="preserve"> </w:t>
            </w: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53B79C0C"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15,000:</w:t>
            </w:r>
            <w:r w:rsidRPr="008244FA">
              <w:rPr>
                <w:rFonts w:asciiTheme="majorHAnsi" w:eastAsia="Times New Roman" w:hAnsiTheme="majorHAnsi" w:cstheme="majorHAnsi"/>
                <w:sz w:val="18"/>
                <w:szCs w:val="18"/>
                <w:lang w:eastAsia="fr-FR"/>
              </w:rPr>
              <w:t xml:space="preserve"> Miscellaneous costs including contingencies and other expenses (over 5 years)</w:t>
            </w:r>
          </w:p>
        </w:tc>
      </w:tr>
      <w:tr w:rsidR="000A2A52" w:rsidRPr="00327CBE" w14:paraId="5657ED00" w14:textId="77777777" w:rsidTr="008244FA">
        <w:trPr>
          <w:trHeight w:val="20"/>
        </w:trPr>
        <w:tc>
          <w:tcPr>
            <w:tcW w:w="1144" w:type="dxa"/>
            <w:vMerge w:val="restart"/>
            <w:tcBorders>
              <w:top w:val="nil"/>
              <w:left w:val="single" w:sz="8" w:space="0" w:color="auto"/>
              <w:bottom w:val="single" w:sz="8" w:space="0" w:color="000000"/>
              <w:right w:val="single" w:sz="8" w:space="0" w:color="auto"/>
            </w:tcBorders>
            <w:shd w:val="clear" w:color="auto" w:fill="auto"/>
            <w:vAlign w:val="center"/>
            <w:hideMark/>
          </w:tcPr>
          <w:p w14:paraId="4D00B66D"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23</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2F63589A"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101,800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14AE018"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75700 Training</w:t>
            </w:r>
          </w:p>
        </w:tc>
        <w:tc>
          <w:tcPr>
            <w:tcW w:w="9939" w:type="dxa"/>
            <w:gridSpan w:val="6"/>
            <w:tcBorders>
              <w:top w:val="single" w:sz="8" w:space="0" w:color="auto"/>
              <w:left w:val="nil"/>
              <w:bottom w:val="nil"/>
              <w:right w:val="single" w:sz="8" w:space="0" w:color="000000"/>
            </w:tcBorders>
            <w:shd w:val="clear" w:color="auto" w:fill="auto"/>
            <w:vAlign w:val="center"/>
            <w:hideMark/>
          </w:tcPr>
          <w:p w14:paraId="0083AB86"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sz w:val="18"/>
                <w:szCs w:val="18"/>
                <w:lang w:eastAsia="fr-FR"/>
              </w:rPr>
              <w:t xml:space="preserve"> </w:t>
            </w:r>
            <w:r w:rsidRPr="008244FA">
              <w:rPr>
                <w:rFonts w:asciiTheme="majorHAnsi" w:eastAsia="Times New Roman" w:hAnsiTheme="majorHAnsi" w:cstheme="majorHAnsi"/>
                <w:b/>
                <w:bCs/>
                <w:sz w:val="18"/>
                <w:szCs w:val="18"/>
                <w:lang w:eastAsia="fr-FR"/>
              </w:rPr>
              <w:t>USD36,000:</w:t>
            </w:r>
            <w:r w:rsidRPr="008244FA">
              <w:rPr>
                <w:rFonts w:asciiTheme="majorHAnsi" w:eastAsia="Times New Roman" w:hAnsiTheme="majorHAnsi" w:cstheme="majorHAnsi"/>
                <w:sz w:val="18"/>
                <w:szCs w:val="18"/>
                <w:lang w:eastAsia="fr-FR"/>
              </w:rPr>
              <w:t xml:space="preserve"> Awareness raising materials and meetings/events (8) with finance institutions (in support of Output 2.2 Financing mechanisms for tree-based production systems)</w:t>
            </w:r>
          </w:p>
        </w:tc>
      </w:tr>
      <w:tr w:rsidR="000A2A52" w:rsidRPr="00327CBE" w14:paraId="2772A6C3"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062BF11F"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5ECDE237"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1B6C3B6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22300669"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sz w:val="18"/>
                <w:szCs w:val="18"/>
                <w:lang w:eastAsia="fr-FR"/>
              </w:rPr>
              <w:t xml:space="preserve"> </w:t>
            </w:r>
            <w:r w:rsidRPr="008244FA">
              <w:rPr>
                <w:rFonts w:asciiTheme="majorHAnsi" w:eastAsia="Times New Roman" w:hAnsiTheme="majorHAnsi" w:cstheme="majorHAnsi"/>
                <w:b/>
                <w:bCs/>
                <w:sz w:val="18"/>
                <w:szCs w:val="18"/>
                <w:lang w:eastAsia="fr-FR"/>
              </w:rPr>
              <w:t>USD36,000:</w:t>
            </w:r>
            <w:r w:rsidRPr="008244FA">
              <w:rPr>
                <w:rFonts w:asciiTheme="majorHAnsi" w:eastAsia="Times New Roman" w:hAnsiTheme="majorHAnsi" w:cstheme="majorHAnsi"/>
                <w:sz w:val="18"/>
                <w:szCs w:val="18"/>
                <w:lang w:eastAsia="fr-FR"/>
              </w:rPr>
              <w:t xml:space="preserve"> Facilitation of strategic planning by finance institutions to make provision for including credit packages for businesses based on tree-based production systems (in support of Output 2.2 Financing mechanisms for tree-based production systems)</w:t>
            </w:r>
          </w:p>
        </w:tc>
      </w:tr>
      <w:tr w:rsidR="000A2A52" w:rsidRPr="00327CBE" w14:paraId="7E4CF1AD"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74745EA7"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2F602860"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16F9C085"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single" w:sz="8" w:space="0" w:color="auto"/>
              <w:right w:val="single" w:sz="8" w:space="0" w:color="000000"/>
            </w:tcBorders>
            <w:shd w:val="clear" w:color="auto" w:fill="auto"/>
            <w:vAlign w:val="center"/>
            <w:hideMark/>
          </w:tcPr>
          <w:p w14:paraId="065B7966"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USD29,800:</w:t>
            </w:r>
            <w:r w:rsidRPr="008244FA">
              <w:rPr>
                <w:rFonts w:asciiTheme="majorHAnsi" w:eastAsia="Times New Roman" w:hAnsiTheme="majorHAnsi" w:cstheme="majorHAnsi"/>
                <w:sz w:val="18"/>
                <w:szCs w:val="18"/>
                <w:lang w:eastAsia="fr-FR"/>
              </w:rPr>
              <w:t xml:space="preserve"> Facilitation of discussions between finance institutions and potential beneficiaries (in support of Output 2.2 Financing mechanisms for tree-based production systems)</w:t>
            </w:r>
          </w:p>
        </w:tc>
      </w:tr>
      <w:tr w:rsidR="000A2A52" w:rsidRPr="00327CBE" w14:paraId="07946C71" w14:textId="77777777" w:rsidTr="008244FA">
        <w:trPr>
          <w:trHeight w:val="420"/>
        </w:trPr>
        <w:tc>
          <w:tcPr>
            <w:tcW w:w="14465" w:type="dxa"/>
            <w:gridSpan w:val="9"/>
            <w:tcBorders>
              <w:top w:val="single" w:sz="8" w:space="0" w:color="auto"/>
              <w:left w:val="single" w:sz="8" w:space="0" w:color="auto"/>
              <w:bottom w:val="single" w:sz="8" w:space="0" w:color="auto"/>
              <w:right w:val="single" w:sz="8" w:space="0" w:color="000000"/>
            </w:tcBorders>
            <w:shd w:val="clear" w:color="000000" w:fill="D9D9D9"/>
            <w:noWrap/>
            <w:vAlign w:val="center"/>
            <w:hideMark/>
          </w:tcPr>
          <w:p w14:paraId="68E07FD1" w14:textId="77777777" w:rsidR="000A2A52" w:rsidRPr="008244FA" w:rsidRDefault="000A2A52" w:rsidP="008244FA">
            <w:pPr>
              <w:rPr>
                <w:rFonts w:asciiTheme="majorHAnsi" w:eastAsia="Times New Roman" w:hAnsiTheme="majorHAnsi" w:cstheme="majorHAnsi"/>
                <w:b/>
                <w:bCs/>
                <w:color w:val="000000"/>
                <w:sz w:val="18"/>
                <w:szCs w:val="18"/>
                <w:lang w:eastAsia="fr-FR"/>
              </w:rPr>
            </w:pPr>
            <w:r w:rsidRPr="008244FA">
              <w:rPr>
                <w:rFonts w:asciiTheme="majorHAnsi" w:eastAsia="Times New Roman" w:hAnsiTheme="majorHAnsi" w:cstheme="majorHAnsi"/>
                <w:b/>
                <w:bCs/>
                <w:color w:val="000000"/>
                <w:sz w:val="18"/>
                <w:szCs w:val="18"/>
                <w:lang w:eastAsia="fr-FR"/>
              </w:rPr>
              <w:t xml:space="preserve">COMPONENT/OUTCOME 3: </w:t>
            </w:r>
            <w:r w:rsidRPr="008244FA">
              <w:rPr>
                <w:rFonts w:asciiTheme="majorHAnsi" w:eastAsia="Times New Roman" w:hAnsiTheme="majorHAnsi" w:cstheme="majorHAnsi"/>
                <w:color w:val="000000"/>
                <w:sz w:val="18"/>
                <w:szCs w:val="18"/>
                <w:lang w:eastAsia="fr-FR"/>
              </w:rPr>
              <w:t>Knowledge management and learning</w:t>
            </w:r>
          </w:p>
        </w:tc>
      </w:tr>
      <w:tr w:rsidR="000A2A52" w:rsidRPr="00327CBE" w14:paraId="16E84F69" w14:textId="77777777" w:rsidTr="008244FA">
        <w:trPr>
          <w:trHeight w:val="276"/>
        </w:trPr>
        <w:tc>
          <w:tcPr>
            <w:tcW w:w="1144" w:type="dxa"/>
            <w:vMerge w:val="restart"/>
            <w:tcBorders>
              <w:top w:val="single" w:sz="8" w:space="0" w:color="auto"/>
              <w:left w:val="single" w:sz="8" w:space="0" w:color="auto"/>
              <w:bottom w:val="nil"/>
              <w:right w:val="single" w:sz="8" w:space="0" w:color="auto"/>
            </w:tcBorders>
            <w:shd w:val="clear" w:color="auto" w:fill="auto"/>
            <w:vAlign w:val="center"/>
            <w:hideMark/>
          </w:tcPr>
          <w:p w14:paraId="6410D3A9"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24</w:t>
            </w:r>
          </w:p>
        </w:tc>
        <w:tc>
          <w:tcPr>
            <w:tcW w:w="1256" w:type="dxa"/>
            <w:vMerge w:val="restart"/>
            <w:tcBorders>
              <w:top w:val="single" w:sz="8" w:space="0" w:color="auto"/>
              <w:left w:val="single" w:sz="8" w:space="0" w:color="auto"/>
              <w:bottom w:val="nil"/>
              <w:right w:val="single" w:sz="8" w:space="0" w:color="000000"/>
            </w:tcBorders>
            <w:shd w:val="clear" w:color="auto" w:fill="auto"/>
            <w:vAlign w:val="center"/>
            <w:hideMark/>
          </w:tcPr>
          <w:p w14:paraId="7494E577"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120,000</w:t>
            </w:r>
          </w:p>
        </w:tc>
        <w:tc>
          <w:tcPr>
            <w:tcW w:w="2126" w:type="dxa"/>
            <w:vMerge w:val="restart"/>
            <w:tcBorders>
              <w:top w:val="single" w:sz="8" w:space="0" w:color="auto"/>
              <w:left w:val="single" w:sz="8" w:space="0" w:color="auto"/>
              <w:bottom w:val="nil"/>
              <w:right w:val="nil"/>
            </w:tcBorders>
            <w:shd w:val="clear" w:color="auto" w:fill="auto"/>
            <w:vAlign w:val="center"/>
            <w:hideMark/>
          </w:tcPr>
          <w:p w14:paraId="0F33F5BA"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71200 International Consultants </w:t>
            </w:r>
          </w:p>
        </w:tc>
        <w:tc>
          <w:tcPr>
            <w:tcW w:w="9939" w:type="dxa"/>
            <w:gridSpan w:val="6"/>
            <w:vMerge w:val="restart"/>
            <w:tcBorders>
              <w:top w:val="single" w:sz="8" w:space="0" w:color="auto"/>
              <w:left w:val="single" w:sz="8" w:space="0" w:color="auto"/>
              <w:bottom w:val="nil"/>
              <w:right w:val="single" w:sz="8" w:space="0" w:color="000000"/>
            </w:tcBorders>
            <w:shd w:val="clear" w:color="auto" w:fill="auto"/>
            <w:vAlign w:val="center"/>
            <w:hideMark/>
          </w:tcPr>
          <w:p w14:paraId="57669ED6" w14:textId="77777777" w:rsidR="000A2A52" w:rsidRPr="004A140A" w:rsidRDefault="000A2A52" w:rsidP="00327CBE">
            <w:pPr>
              <w:rPr>
                <w:rFonts w:asciiTheme="majorHAnsi" w:eastAsia="Times New Roman" w:hAnsiTheme="majorHAnsi" w:cstheme="majorHAnsi"/>
                <w:sz w:val="18"/>
                <w:szCs w:val="18"/>
                <w:highlight w:val="cyan"/>
                <w:lang w:eastAsia="fr-FR"/>
              </w:rPr>
            </w:pPr>
            <w:r w:rsidRPr="004A140A">
              <w:rPr>
                <w:rFonts w:asciiTheme="majorHAnsi" w:eastAsia="Times New Roman" w:hAnsiTheme="majorHAnsi" w:cstheme="majorHAnsi"/>
                <w:b/>
                <w:bCs/>
                <w:sz w:val="18"/>
                <w:szCs w:val="18"/>
                <w:highlight w:val="cyan"/>
                <w:lang w:eastAsia="fr-FR"/>
              </w:rPr>
              <w:t>USD 24,000:</w:t>
            </w:r>
            <w:r w:rsidRPr="004A140A">
              <w:rPr>
                <w:rFonts w:asciiTheme="majorHAnsi" w:eastAsia="Times New Roman" w:hAnsiTheme="majorHAnsi" w:cstheme="majorHAnsi"/>
                <w:sz w:val="18"/>
                <w:szCs w:val="18"/>
                <w:highlight w:val="cyan"/>
                <w:lang w:eastAsia="fr-FR"/>
              </w:rPr>
              <w:t xml:space="preserve"> International Consultant for ESMF Development (40 days @ 600 USD)</w:t>
            </w:r>
          </w:p>
        </w:tc>
      </w:tr>
      <w:tr w:rsidR="000A2A52" w:rsidRPr="00327CBE" w14:paraId="430953A9" w14:textId="77777777" w:rsidTr="008244FA">
        <w:trPr>
          <w:trHeight w:val="276"/>
        </w:trPr>
        <w:tc>
          <w:tcPr>
            <w:tcW w:w="1144" w:type="dxa"/>
            <w:vMerge/>
            <w:tcBorders>
              <w:top w:val="single" w:sz="8" w:space="0" w:color="auto"/>
              <w:left w:val="single" w:sz="8" w:space="0" w:color="auto"/>
              <w:bottom w:val="nil"/>
              <w:right w:val="single" w:sz="8" w:space="0" w:color="auto"/>
            </w:tcBorders>
            <w:vAlign w:val="center"/>
            <w:hideMark/>
          </w:tcPr>
          <w:p w14:paraId="693B368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1FA89D0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nil"/>
            </w:tcBorders>
            <w:vAlign w:val="center"/>
            <w:hideMark/>
          </w:tcPr>
          <w:p w14:paraId="229D25A2"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vMerge/>
            <w:tcBorders>
              <w:top w:val="single" w:sz="8" w:space="0" w:color="auto"/>
              <w:left w:val="single" w:sz="8" w:space="0" w:color="auto"/>
              <w:bottom w:val="nil"/>
              <w:right w:val="single" w:sz="8" w:space="0" w:color="000000"/>
            </w:tcBorders>
            <w:vAlign w:val="center"/>
            <w:hideMark/>
          </w:tcPr>
          <w:p w14:paraId="01B976A5" w14:textId="77777777" w:rsidR="000A2A52" w:rsidRPr="004A140A" w:rsidRDefault="000A2A52" w:rsidP="00327CBE">
            <w:pPr>
              <w:rPr>
                <w:rFonts w:asciiTheme="majorHAnsi" w:eastAsia="Times New Roman" w:hAnsiTheme="majorHAnsi" w:cstheme="majorHAnsi"/>
                <w:sz w:val="18"/>
                <w:szCs w:val="18"/>
                <w:highlight w:val="cyan"/>
                <w:lang w:eastAsia="fr-FR"/>
              </w:rPr>
            </w:pPr>
          </w:p>
        </w:tc>
      </w:tr>
      <w:tr w:rsidR="000A2A52" w:rsidRPr="00327CBE" w14:paraId="3E884905" w14:textId="77777777" w:rsidTr="008244FA">
        <w:trPr>
          <w:trHeight w:val="20"/>
        </w:trPr>
        <w:tc>
          <w:tcPr>
            <w:tcW w:w="1144" w:type="dxa"/>
            <w:vMerge/>
            <w:tcBorders>
              <w:top w:val="single" w:sz="8" w:space="0" w:color="auto"/>
              <w:left w:val="single" w:sz="8" w:space="0" w:color="auto"/>
              <w:bottom w:val="nil"/>
              <w:right w:val="single" w:sz="8" w:space="0" w:color="auto"/>
            </w:tcBorders>
            <w:vAlign w:val="center"/>
            <w:hideMark/>
          </w:tcPr>
          <w:p w14:paraId="57DB4B5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12E559D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nil"/>
            </w:tcBorders>
            <w:vAlign w:val="center"/>
            <w:hideMark/>
          </w:tcPr>
          <w:p w14:paraId="03B53B4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single" w:sz="8" w:space="0" w:color="auto"/>
              <w:bottom w:val="single" w:sz="8" w:space="0" w:color="auto"/>
              <w:right w:val="single" w:sz="8" w:space="0" w:color="000000"/>
            </w:tcBorders>
            <w:shd w:val="clear" w:color="auto" w:fill="auto"/>
            <w:vAlign w:val="center"/>
            <w:hideMark/>
          </w:tcPr>
          <w:p w14:paraId="383F5F41" w14:textId="77777777" w:rsidR="000A2A52" w:rsidRPr="004A140A" w:rsidRDefault="000A2A52" w:rsidP="00327CBE">
            <w:pPr>
              <w:rPr>
                <w:rFonts w:asciiTheme="majorHAnsi" w:eastAsia="Times New Roman" w:hAnsiTheme="majorHAnsi" w:cstheme="majorHAnsi"/>
                <w:sz w:val="18"/>
                <w:szCs w:val="18"/>
                <w:highlight w:val="cyan"/>
                <w:lang w:eastAsia="fr-FR"/>
              </w:rPr>
            </w:pPr>
            <w:r w:rsidRPr="004A140A">
              <w:rPr>
                <w:rFonts w:asciiTheme="majorHAnsi" w:eastAsia="Times New Roman" w:hAnsiTheme="majorHAnsi" w:cstheme="majorHAnsi"/>
                <w:b/>
                <w:bCs/>
                <w:sz w:val="18"/>
                <w:szCs w:val="18"/>
                <w:highlight w:val="cyan"/>
                <w:lang w:eastAsia="fr-FR"/>
              </w:rPr>
              <w:t>USD 48,000:</w:t>
            </w:r>
            <w:r w:rsidRPr="004A140A">
              <w:rPr>
                <w:rFonts w:asciiTheme="majorHAnsi" w:eastAsia="Times New Roman" w:hAnsiTheme="majorHAnsi" w:cstheme="majorHAnsi"/>
                <w:sz w:val="18"/>
                <w:szCs w:val="18"/>
                <w:highlight w:val="cyan"/>
                <w:lang w:eastAsia="fr-FR"/>
              </w:rPr>
              <w:t xml:space="preserve"> Development of value chain strengthening strategies and establishment of an exchange platform between producers and buyers ( 80 days @ 600) (Over 3 years)                                                                                               </w:t>
            </w:r>
          </w:p>
          <w:p w14:paraId="5AB07513" w14:textId="5A598B3C" w:rsidR="000A2A52" w:rsidRPr="004A140A" w:rsidRDefault="000A2A52" w:rsidP="00327CBE">
            <w:pPr>
              <w:rPr>
                <w:rFonts w:asciiTheme="majorHAnsi" w:eastAsia="Times New Roman" w:hAnsiTheme="majorHAnsi" w:cstheme="majorHAnsi"/>
                <w:sz w:val="18"/>
                <w:szCs w:val="18"/>
                <w:highlight w:val="cyan"/>
                <w:lang w:eastAsia="fr-FR"/>
              </w:rPr>
            </w:pPr>
            <w:r w:rsidRPr="004A140A">
              <w:rPr>
                <w:rFonts w:asciiTheme="majorHAnsi" w:eastAsia="Times New Roman" w:hAnsiTheme="majorHAnsi" w:cstheme="majorHAnsi"/>
                <w:b/>
                <w:bCs/>
                <w:sz w:val="18"/>
                <w:szCs w:val="18"/>
                <w:highlight w:val="cyan"/>
                <w:lang w:eastAsia="fr-FR"/>
              </w:rPr>
              <w:t>USD 48,000:</w:t>
            </w:r>
            <w:r w:rsidRPr="004A140A">
              <w:rPr>
                <w:rFonts w:asciiTheme="majorHAnsi" w:eastAsia="Times New Roman" w:hAnsiTheme="majorHAnsi" w:cstheme="majorHAnsi"/>
                <w:sz w:val="18"/>
                <w:szCs w:val="18"/>
                <w:highlight w:val="cyan"/>
                <w:lang w:eastAsia="fr-FR"/>
              </w:rPr>
              <w:t xml:space="preserve"> International consultant to conduct mid-term and final evaluations</w:t>
            </w:r>
          </w:p>
        </w:tc>
      </w:tr>
      <w:tr w:rsidR="000A2A52" w:rsidRPr="00327CBE" w14:paraId="02099D56" w14:textId="77777777" w:rsidTr="008244FA">
        <w:trPr>
          <w:trHeight w:val="20"/>
        </w:trPr>
        <w:tc>
          <w:tcPr>
            <w:tcW w:w="1144" w:type="dxa"/>
            <w:vMerge w:val="restart"/>
            <w:tcBorders>
              <w:top w:val="nil"/>
              <w:left w:val="single" w:sz="8" w:space="0" w:color="auto"/>
              <w:bottom w:val="single" w:sz="8" w:space="0" w:color="000000"/>
              <w:right w:val="single" w:sz="8" w:space="0" w:color="auto"/>
            </w:tcBorders>
            <w:shd w:val="clear" w:color="auto" w:fill="auto"/>
            <w:vAlign w:val="center"/>
            <w:hideMark/>
          </w:tcPr>
          <w:p w14:paraId="0D662CF8"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25</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23D7EC01" w14:textId="52793094"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w:t>
            </w:r>
            <w:r w:rsidR="001F1DA8">
              <w:rPr>
                <w:rFonts w:asciiTheme="majorHAnsi" w:eastAsia="Times New Roman" w:hAnsiTheme="majorHAnsi" w:cstheme="majorHAnsi"/>
                <w:color w:val="000000"/>
                <w:sz w:val="18"/>
                <w:szCs w:val="18"/>
                <w:lang w:val="fr-FR" w:eastAsia="fr-FR"/>
              </w:rPr>
              <w:t>37</w:t>
            </w:r>
            <w:r w:rsidRPr="008244FA">
              <w:rPr>
                <w:rFonts w:asciiTheme="majorHAnsi" w:eastAsia="Times New Roman" w:hAnsiTheme="majorHAnsi" w:cstheme="majorHAnsi"/>
                <w:color w:val="000000"/>
                <w:sz w:val="18"/>
                <w:szCs w:val="18"/>
                <w:lang w:val="fr-FR" w:eastAsia="fr-FR"/>
              </w:rPr>
              <w:t>,000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2D85A7E6"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71300 Local Consultants </w:t>
            </w:r>
          </w:p>
        </w:tc>
        <w:tc>
          <w:tcPr>
            <w:tcW w:w="9939" w:type="dxa"/>
            <w:gridSpan w:val="6"/>
            <w:tcBorders>
              <w:top w:val="nil"/>
              <w:left w:val="nil"/>
              <w:bottom w:val="nil"/>
              <w:right w:val="single" w:sz="8" w:space="0" w:color="000000"/>
            </w:tcBorders>
            <w:shd w:val="clear" w:color="auto" w:fill="auto"/>
            <w:vAlign w:val="center"/>
            <w:hideMark/>
          </w:tcPr>
          <w:p w14:paraId="7B86EB9B" w14:textId="77777777" w:rsidR="000A2A52" w:rsidRPr="006F5817" w:rsidRDefault="000A2A52" w:rsidP="00327CBE">
            <w:pPr>
              <w:rPr>
                <w:rFonts w:asciiTheme="majorHAnsi" w:eastAsia="Times New Roman" w:hAnsiTheme="majorHAnsi" w:cstheme="majorHAnsi"/>
                <w:sz w:val="18"/>
                <w:szCs w:val="18"/>
                <w:highlight w:val="magenta"/>
                <w:lang w:eastAsia="fr-FR"/>
              </w:rPr>
            </w:pPr>
            <w:r w:rsidRPr="006F5817">
              <w:rPr>
                <w:rFonts w:asciiTheme="majorHAnsi" w:eastAsia="Times New Roman" w:hAnsiTheme="majorHAnsi" w:cstheme="majorHAnsi"/>
                <w:b/>
                <w:bCs/>
                <w:sz w:val="18"/>
                <w:szCs w:val="18"/>
                <w:highlight w:val="magenta"/>
                <w:lang w:eastAsia="fr-FR"/>
              </w:rPr>
              <w:t xml:space="preserve">USD 35,000 : </w:t>
            </w:r>
            <w:r w:rsidRPr="006F5817">
              <w:rPr>
                <w:rFonts w:asciiTheme="majorHAnsi" w:eastAsia="Times New Roman" w:hAnsiTheme="majorHAnsi" w:cstheme="majorHAnsi"/>
                <w:sz w:val="18"/>
                <w:szCs w:val="18"/>
                <w:highlight w:val="magenta"/>
                <w:lang w:eastAsia="fr-FR"/>
              </w:rPr>
              <w:t>Local consultant for the ESMF Development ( 70 days @ USD 500)</w:t>
            </w:r>
          </w:p>
        </w:tc>
      </w:tr>
      <w:tr w:rsidR="000A2A52" w:rsidRPr="00327CBE" w14:paraId="1F1746AF"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45E5A1D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157DA3E6"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1005784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3CE4582B" w14:textId="77777777" w:rsidR="000A2A52" w:rsidRPr="006F5817" w:rsidRDefault="000A2A52" w:rsidP="00327CBE">
            <w:pPr>
              <w:rPr>
                <w:rFonts w:asciiTheme="majorHAnsi" w:eastAsia="Times New Roman" w:hAnsiTheme="majorHAnsi" w:cstheme="majorHAnsi"/>
                <w:sz w:val="18"/>
                <w:szCs w:val="18"/>
                <w:highlight w:val="magenta"/>
                <w:lang w:eastAsia="fr-FR"/>
              </w:rPr>
            </w:pPr>
            <w:r w:rsidRPr="006F5817">
              <w:rPr>
                <w:rFonts w:asciiTheme="majorHAnsi" w:eastAsia="Times New Roman" w:hAnsiTheme="majorHAnsi" w:cstheme="majorHAnsi"/>
                <w:b/>
                <w:bCs/>
                <w:sz w:val="18"/>
                <w:szCs w:val="18"/>
                <w:highlight w:val="magenta"/>
                <w:lang w:eastAsia="fr-FR"/>
              </w:rPr>
              <w:t xml:space="preserve">USD 30,000: </w:t>
            </w:r>
            <w:r w:rsidRPr="006F5817">
              <w:rPr>
                <w:rFonts w:asciiTheme="majorHAnsi" w:eastAsia="Times New Roman" w:hAnsiTheme="majorHAnsi" w:cstheme="majorHAnsi"/>
                <w:sz w:val="18"/>
                <w:szCs w:val="18"/>
                <w:highlight w:val="magenta"/>
                <w:lang w:eastAsia="fr-FR"/>
              </w:rPr>
              <w:t>National consultant for formulation of knowledge management and dissemination/scaling up strategy (60 days @ USD 500)</w:t>
            </w:r>
          </w:p>
        </w:tc>
      </w:tr>
      <w:tr w:rsidR="000A2A52" w:rsidRPr="00327CBE" w14:paraId="34D14E3A"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5AFF71F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14C46BD3"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4E6935A0"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361EE8B8" w14:textId="77777777" w:rsidR="000A2A52" w:rsidRPr="006F5817" w:rsidRDefault="000A2A52" w:rsidP="00327CBE">
            <w:pPr>
              <w:rPr>
                <w:rFonts w:asciiTheme="majorHAnsi" w:eastAsia="Times New Roman" w:hAnsiTheme="majorHAnsi" w:cstheme="majorHAnsi"/>
                <w:sz w:val="18"/>
                <w:szCs w:val="18"/>
                <w:highlight w:val="magenta"/>
                <w:lang w:eastAsia="fr-FR"/>
              </w:rPr>
            </w:pPr>
            <w:r w:rsidRPr="006F5817">
              <w:rPr>
                <w:rFonts w:asciiTheme="majorHAnsi" w:eastAsia="Times New Roman" w:hAnsiTheme="majorHAnsi" w:cstheme="majorHAnsi"/>
                <w:b/>
                <w:bCs/>
                <w:sz w:val="18"/>
                <w:szCs w:val="18"/>
                <w:highlight w:val="magenta"/>
                <w:lang w:eastAsia="fr-FR"/>
              </w:rPr>
              <w:t>USD 30,000:</w:t>
            </w:r>
            <w:r w:rsidRPr="006F5817">
              <w:rPr>
                <w:rFonts w:asciiTheme="majorHAnsi" w:eastAsia="Times New Roman" w:hAnsiTheme="majorHAnsi" w:cstheme="majorHAnsi"/>
                <w:sz w:val="18"/>
                <w:szCs w:val="18"/>
                <w:highlight w:val="magenta"/>
                <w:lang w:eastAsia="fr-FR"/>
              </w:rPr>
              <w:t xml:space="preserve"> Budget for national consultants to conduct midterm and final evaluation  ( 30 days x2 @ USD 500)</w:t>
            </w:r>
          </w:p>
          <w:p w14:paraId="353B08E7" w14:textId="68D3AAAE" w:rsidR="001F1DA8" w:rsidRPr="006F5817" w:rsidRDefault="001F1DA8" w:rsidP="00327CBE">
            <w:pPr>
              <w:rPr>
                <w:rFonts w:asciiTheme="majorHAnsi" w:eastAsia="Times New Roman" w:hAnsiTheme="majorHAnsi" w:cstheme="majorHAnsi"/>
                <w:sz w:val="18"/>
                <w:szCs w:val="18"/>
                <w:highlight w:val="magenta"/>
                <w:lang w:eastAsia="fr-FR"/>
              </w:rPr>
            </w:pPr>
            <w:r w:rsidRPr="006F5817">
              <w:rPr>
                <w:rFonts w:asciiTheme="majorHAnsi" w:eastAsia="Times New Roman" w:hAnsiTheme="majorHAnsi" w:cstheme="majorHAnsi"/>
                <w:b/>
                <w:sz w:val="18"/>
                <w:szCs w:val="18"/>
                <w:highlight w:val="magenta"/>
                <w:lang w:eastAsia="fr-FR"/>
              </w:rPr>
              <w:t>USD 12,000</w:t>
            </w:r>
            <w:r w:rsidRPr="006F5817">
              <w:rPr>
                <w:rFonts w:asciiTheme="majorHAnsi" w:eastAsia="Times New Roman" w:hAnsiTheme="majorHAnsi" w:cstheme="majorHAnsi"/>
                <w:sz w:val="18"/>
                <w:szCs w:val="18"/>
                <w:highlight w:val="magenta"/>
                <w:lang w:eastAsia="fr-FR"/>
              </w:rPr>
              <w:t xml:space="preserve"> : Budget for translation of the mid-term and final evaluation document</w:t>
            </w:r>
          </w:p>
        </w:tc>
      </w:tr>
      <w:tr w:rsidR="000A2A52" w:rsidRPr="00327CBE" w14:paraId="2FE6EB93"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5CB2C56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514C2BC7"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72385AF0"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single" w:sz="8" w:space="0" w:color="auto"/>
              <w:right w:val="single" w:sz="8" w:space="0" w:color="000000"/>
            </w:tcBorders>
            <w:shd w:val="clear" w:color="auto" w:fill="auto"/>
            <w:vAlign w:val="center"/>
            <w:hideMark/>
          </w:tcPr>
          <w:p w14:paraId="7705ADBC" w14:textId="77777777" w:rsidR="000A2A52" w:rsidRPr="006F5817" w:rsidRDefault="000A2A52" w:rsidP="00327CBE">
            <w:pPr>
              <w:rPr>
                <w:rFonts w:asciiTheme="majorHAnsi" w:eastAsia="Times New Roman" w:hAnsiTheme="majorHAnsi" w:cstheme="majorHAnsi"/>
                <w:sz w:val="18"/>
                <w:szCs w:val="18"/>
                <w:highlight w:val="magenta"/>
                <w:lang w:eastAsia="fr-FR"/>
              </w:rPr>
            </w:pPr>
            <w:r w:rsidRPr="006F5817">
              <w:rPr>
                <w:rFonts w:asciiTheme="majorHAnsi" w:eastAsia="Times New Roman" w:hAnsiTheme="majorHAnsi" w:cstheme="majorHAnsi"/>
                <w:b/>
                <w:bCs/>
                <w:sz w:val="18"/>
                <w:szCs w:val="18"/>
                <w:highlight w:val="magenta"/>
                <w:lang w:eastAsia="fr-FR"/>
              </w:rPr>
              <w:t>USD 30,000:</w:t>
            </w:r>
            <w:r w:rsidRPr="006F5817">
              <w:rPr>
                <w:rFonts w:asciiTheme="majorHAnsi" w:eastAsia="Times New Roman" w:hAnsiTheme="majorHAnsi" w:cstheme="majorHAnsi"/>
                <w:sz w:val="18"/>
                <w:szCs w:val="18"/>
                <w:highlight w:val="magenta"/>
                <w:lang w:eastAsia="fr-FR"/>
              </w:rPr>
              <w:t xml:space="preserve"> Formulation of communication and dissemination strategy (Output 3.2): (60 days @ USD500 )</w:t>
            </w:r>
          </w:p>
        </w:tc>
      </w:tr>
      <w:tr w:rsidR="000A2A52" w:rsidRPr="00327CBE" w14:paraId="47B0763F" w14:textId="77777777" w:rsidTr="008244FA">
        <w:trPr>
          <w:trHeight w:val="20"/>
        </w:trPr>
        <w:tc>
          <w:tcPr>
            <w:tcW w:w="1144" w:type="dxa"/>
            <w:vMerge w:val="restart"/>
            <w:tcBorders>
              <w:top w:val="nil"/>
              <w:left w:val="single" w:sz="8" w:space="0" w:color="auto"/>
              <w:bottom w:val="nil"/>
              <w:right w:val="single" w:sz="8" w:space="0" w:color="auto"/>
            </w:tcBorders>
            <w:shd w:val="clear" w:color="auto" w:fill="auto"/>
            <w:vAlign w:val="center"/>
            <w:hideMark/>
          </w:tcPr>
          <w:p w14:paraId="48E83DFE"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26</w:t>
            </w:r>
          </w:p>
        </w:tc>
        <w:tc>
          <w:tcPr>
            <w:tcW w:w="1256" w:type="dxa"/>
            <w:vMerge w:val="restart"/>
            <w:tcBorders>
              <w:top w:val="single" w:sz="8" w:space="0" w:color="auto"/>
              <w:left w:val="single" w:sz="8" w:space="0" w:color="auto"/>
              <w:bottom w:val="nil"/>
              <w:right w:val="single" w:sz="8" w:space="0" w:color="000000"/>
            </w:tcBorders>
            <w:shd w:val="clear" w:color="auto" w:fill="auto"/>
            <w:vAlign w:val="center"/>
            <w:hideMark/>
          </w:tcPr>
          <w:p w14:paraId="109F2014" w14:textId="28E64B58"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w:t>
            </w:r>
            <w:r w:rsidR="001F1DA8">
              <w:rPr>
                <w:rFonts w:asciiTheme="majorHAnsi" w:eastAsia="Times New Roman" w:hAnsiTheme="majorHAnsi" w:cstheme="majorHAnsi"/>
                <w:color w:val="000000"/>
                <w:sz w:val="18"/>
                <w:szCs w:val="18"/>
                <w:lang w:val="fr-FR" w:eastAsia="fr-FR"/>
              </w:rPr>
              <w:t>44</w:t>
            </w:r>
            <w:r w:rsidRPr="008244FA">
              <w:rPr>
                <w:rFonts w:asciiTheme="majorHAnsi" w:eastAsia="Times New Roman" w:hAnsiTheme="majorHAnsi" w:cstheme="majorHAnsi"/>
                <w:color w:val="000000"/>
                <w:sz w:val="18"/>
                <w:szCs w:val="18"/>
                <w:lang w:val="fr-FR" w:eastAsia="fr-FR"/>
              </w:rPr>
              <w:t>,</w:t>
            </w:r>
            <w:r w:rsidR="001F1DA8">
              <w:rPr>
                <w:rFonts w:asciiTheme="majorHAnsi" w:eastAsia="Times New Roman" w:hAnsiTheme="majorHAnsi" w:cstheme="majorHAnsi"/>
                <w:color w:val="000000"/>
                <w:sz w:val="18"/>
                <w:szCs w:val="18"/>
                <w:lang w:val="fr-FR" w:eastAsia="fr-FR"/>
              </w:rPr>
              <w:t>20</w:t>
            </w:r>
            <w:r w:rsidRPr="008244FA">
              <w:rPr>
                <w:rFonts w:asciiTheme="majorHAnsi" w:eastAsia="Times New Roman" w:hAnsiTheme="majorHAnsi" w:cstheme="majorHAnsi"/>
                <w:color w:val="000000"/>
                <w:sz w:val="18"/>
                <w:szCs w:val="18"/>
                <w:lang w:val="fr-FR" w:eastAsia="fr-FR"/>
              </w:rPr>
              <w:t>0</w:t>
            </w:r>
          </w:p>
        </w:tc>
        <w:tc>
          <w:tcPr>
            <w:tcW w:w="2126" w:type="dxa"/>
            <w:vMerge w:val="restart"/>
            <w:tcBorders>
              <w:top w:val="single" w:sz="8" w:space="0" w:color="auto"/>
              <w:left w:val="single" w:sz="8" w:space="0" w:color="auto"/>
              <w:bottom w:val="nil"/>
              <w:right w:val="single" w:sz="8" w:space="0" w:color="000000"/>
            </w:tcBorders>
            <w:shd w:val="clear" w:color="auto" w:fill="auto"/>
            <w:vAlign w:val="center"/>
            <w:hideMark/>
          </w:tcPr>
          <w:p w14:paraId="439E5AD5"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71400 </w:t>
            </w: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Individ</w:t>
            </w:r>
            <w:proofErr w:type="spellEnd"/>
            <w:r w:rsidRPr="008244FA">
              <w:rPr>
                <w:rFonts w:asciiTheme="majorHAnsi" w:eastAsia="Times New Roman" w:hAnsiTheme="majorHAnsi" w:cstheme="majorHAnsi"/>
                <w:color w:val="000000"/>
                <w:sz w:val="18"/>
                <w:szCs w:val="18"/>
                <w:lang w:val="fr-FR" w:eastAsia="fr-FR"/>
              </w:rPr>
              <w:t xml:space="preserve"> </w:t>
            </w:r>
          </w:p>
        </w:tc>
        <w:tc>
          <w:tcPr>
            <w:tcW w:w="9939" w:type="dxa"/>
            <w:gridSpan w:val="6"/>
            <w:tcBorders>
              <w:top w:val="nil"/>
              <w:left w:val="nil"/>
              <w:bottom w:val="nil"/>
              <w:right w:val="single" w:sz="8" w:space="0" w:color="000000"/>
            </w:tcBorders>
            <w:shd w:val="clear" w:color="000000" w:fill="FFFFFF"/>
            <w:vAlign w:val="center"/>
            <w:hideMark/>
          </w:tcPr>
          <w:p w14:paraId="2D0F86BB" w14:textId="77777777" w:rsidR="000A2A52" w:rsidRPr="006F5817" w:rsidRDefault="000A2A52" w:rsidP="00327CBE">
            <w:pPr>
              <w:rPr>
                <w:rFonts w:asciiTheme="majorHAnsi" w:eastAsia="Times New Roman" w:hAnsiTheme="majorHAnsi" w:cstheme="majorHAnsi"/>
                <w:sz w:val="18"/>
                <w:szCs w:val="18"/>
                <w:highlight w:val="magenta"/>
                <w:lang w:eastAsia="fr-FR"/>
              </w:rPr>
            </w:pPr>
            <w:r w:rsidRPr="006F5817">
              <w:rPr>
                <w:rFonts w:asciiTheme="majorHAnsi" w:eastAsia="Times New Roman" w:hAnsiTheme="majorHAnsi" w:cstheme="majorHAnsi"/>
                <w:b/>
                <w:bCs/>
                <w:sz w:val="18"/>
                <w:szCs w:val="18"/>
                <w:highlight w:val="magenta"/>
                <w:lang w:eastAsia="fr-FR"/>
              </w:rPr>
              <w:t>USD 98,400:</w:t>
            </w:r>
            <w:r w:rsidRPr="006F5817">
              <w:rPr>
                <w:rFonts w:asciiTheme="majorHAnsi" w:eastAsia="Times New Roman" w:hAnsiTheme="majorHAnsi" w:cstheme="majorHAnsi"/>
                <w:sz w:val="18"/>
                <w:szCs w:val="18"/>
                <w:highlight w:val="magenta"/>
                <w:lang w:eastAsia="fr-FR"/>
              </w:rPr>
              <w:t xml:space="preserve"> Salary of the Administrative assistant  (total 5 person/years @ USD19,680 per year</w:t>
            </w:r>
          </w:p>
        </w:tc>
      </w:tr>
      <w:tr w:rsidR="000A2A52" w:rsidRPr="00327CBE" w14:paraId="39128CB0"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57B51F35"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5A7B29A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41FA50C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000000" w:fill="FFFFFF"/>
            <w:vAlign w:val="center"/>
            <w:hideMark/>
          </w:tcPr>
          <w:p w14:paraId="3AFA8D7B" w14:textId="7393B4B6" w:rsidR="000A2A52" w:rsidRPr="006F5817" w:rsidRDefault="000A2A52" w:rsidP="00327CBE">
            <w:pPr>
              <w:rPr>
                <w:rFonts w:asciiTheme="majorHAnsi" w:eastAsia="Times New Roman" w:hAnsiTheme="majorHAnsi" w:cstheme="majorHAnsi"/>
                <w:sz w:val="18"/>
                <w:szCs w:val="18"/>
                <w:highlight w:val="magenta"/>
                <w:lang w:eastAsia="fr-FR"/>
              </w:rPr>
            </w:pPr>
            <w:r w:rsidRPr="006F5817">
              <w:rPr>
                <w:rFonts w:asciiTheme="majorHAnsi" w:eastAsia="Times New Roman" w:hAnsiTheme="majorHAnsi" w:cstheme="majorHAnsi"/>
                <w:b/>
                <w:bCs/>
                <w:sz w:val="18"/>
                <w:szCs w:val="18"/>
                <w:highlight w:val="magenta"/>
                <w:lang w:eastAsia="fr-FR"/>
              </w:rPr>
              <w:t xml:space="preserve">USD </w:t>
            </w:r>
            <w:r w:rsidR="001F1DA8" w:rsidRPr="006F5817">
              <w:rPr>
                <w:rFonts w:asciiTheme="majorHAnsi" w:eastAsia="Times New Roman" w:hAnsiTheme="majorHAnsi" w:cstheme="majorHAnsi"/>
                <w:b/>
                <w:bCs/>
                <w:sz w:val="18"/>
                <w:szCs w:val="18"/>
                <w:highlight w:val="magenta"/>
                <w:lang w:eastAsia="fr-FR"/>
              </w:rPr>
              <w:t>55</w:t>
            </w:r>
            <w:r w:rsidRPr="006F5817">
              <w:rPr>
                <w:rFonts w:asciiTheme="majorHAnsi" w:eastAsia="Times New Roman" w:hAnsiTheme="majorHAnsi" w:cstheme="majorHAnsi"/>
                <w:b/>
                <w:bCs/>
                <w:sz w:val="18"/>
                <w:szCs w:val="18"/>
                <w:highlight w:val="magenta"/>
                <w:lang w:eastAsia="fr-FR"/>
              </w:rPr>
              <w:t>,</w:t>
            </w:r>
            <w:r w:rsidR="001F1DA8" w:rsidRPr="006F5817">
              <w:rPr>
                <w:rFonts w:asciiTheme="majorHAnsi" w:eastAsia="Times New Roman" w:hAnsiTheme="majorHAnsi" w:cstheme="majorHAnsi"/>
                <w:b/>
                <w:bCs/>
                <w:sz w:val="18"/>
                <w:szCs w:val="18"/>
                <w:highlight w:val="magenta"/>
                <w:lang w:eastAsia="fr-FR"/>
              </w:rPr>
              <w:t>8</w:t>
            </w:r>
            <w:r w:rsidRPr="006F5817">
              <w:rPr>
                <w:rFonts w:asciiTheme="majorHAnsi" w:eastAsia="Times New Roman" w:hAnsiTheme="majorHAnsi" w:cstheme="majorHAnsi"/>
                <w:b/>
                <w:bCs/>
                <w:sz w:val="18"/>
                <w:szCs w:val="18"/>
                <w:highlight w:val="magenta"/>
                <w:lang w:eastAsia="fr-FR"/>
              </w:rPr>
              <w:t>00</w:t>
            </w:r>
            <w:r w:rsidRPr="006F5817">
              <w:rPr>
                <w:rFonts w:asciiTheme="majorHAnsi" w:eastAsia="Times New Roman" w:hAnsiTheme="majorHAnsi" w:cstheme="majorHAnsi"/>
                <w:sz w:val="18"/>
                <w:szCs w:val="18"/>
                <w:highlight w:val="magenta"/>
                <w:lang w:eastAsia="fr-FR"/>
              </w:rPr>
              <w:t>: Salary of the driver  (total 5 person/years @ USD</w:t>
            </w:r>
            <w:r w:rsidR="001F1DA8" w:rsidRPr="006F5817">
              <w:rPr>
                <w:rFonts w:asciiTheme="majorHAnsi" w:eastAsia="Times New Roman" w:hAnsiTheme="majorHAnsi" w:cstheme="majorHAnsi"/>
                <w:sz w:val="18"/>
                <w:szCs w:val="18"/>
                <w:highlight w:val="magenta"/>
                <w:lang w:eastAsia="fr-FR"/>
              </w:rPr>
              <w:t>11,16</w:t>
            </w:r>
            <w:r w:rsidRPr="006F5817">
              <w:rPr>
                <w:rFonts w:asciiTheme="majorHAnsi" w:eastAsia="Times New Roman" w:hAnsiTheme="majorHAnsi" w:cstheme="majorHAnsi"/>
                <w:sz w:val="18"/>
                <w:szCs w:val="18"/>
                <w:highlight w:val="magenta"/>
                <w:lang w:eastAsia="fr-FR"/>
              </w:rPr>
              <w:t>0 per year)</w:t>
            </w:r>
          </w:p>
        </w:tc>
      </w:tr>
      <w:tr w:rsidR="000A2A52" w:rsidRPr="00327CBE" w14:paraId="7D35371E"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17AC1016"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3EF1CECB"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5D97216E"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000000" w:fill="FFFFFF"/>
            <w:vAlign w:val="center"/>
            <w:hideMark/>
          </w:tcPr>
          <w:p w14:paraId="09EA5115" w14:textId="39F0C757" w:rsidR="000A2A52" w:rsidRPr="006F5817" w:rsidRDefault="00F575C2" w:rsidP="00327CBE">
            <w:pPr>
              <w:rPr>
                <w:rFonts w:asciiTheme="majorHAnsi" w:eastAsia="Times New Roman" w:hAnsiTheme="majorHAnsi" w:cstheme="majorHAnsi"/>
                <w:b/>
                <w:bCs/>
                <w:sz w:val="18"/>
                <w:szCs w:val="18"/>
                <w:highlight w:val="magenta"/>
                <w:lang w:eastAsia="fr-FR"/>
              </w:rPr>
            </w:pPr>
            <w:r w:rsidRPr="006F5817">
              <w:rPr>
                <w:rFonts w:asciiTheme="majorHAnsi" w:eastAsia="Times New Roman" w:hAnsiTheme="majorHAnsi" w:cstheme="majorHAnsi"/>
                <w:b/>
                <w:bCs/>
                <w:sz w:val="18"/>
                <w:szCs w:val="18"/>
                <w:highlight w:val="magenta"/>
                <w:lang w:eastAsia="fr-FR"/>
              </w:rPr>
              <w:t xml:space="preserve">USD </w:t>
            </w:r>
            <w:r w:rsidR="001F1DA8" w:rsidRPr="006F5817">
              <w:rPr>
                <w:rFonts w:asciiTheme="majorHAnsi" w:eastAsia="Times New Roman" w:hAnsiTheme="majorHAnsi" w:cstheme="majorHAnsi"/>
                <w:b/>
                <w:bCs/>
                <w:sz w:val="18"/>
                <w:szCs w:val="18"/>
                <w:highlight w:val="magenta"/>
                <w:lang w:eastAsia="fr-FR"/>
              </w:rPr>
              <w:t>90,00</w:t>
            </w:r>
            <w:r w:rsidR="000A2A52" w:rsidRPr="006F5817">
              <w:rPr>
                <w:rFonts w:asciiTheme="majorHAnsi" w:eastAsia="Times New Roman" w:hAnsiTheme="majorHAnsi" w:cstheme="majorHAnsi"/>
                <w:b/>
                <w:bCs/>
                <w:sz w:val="18"/>
                <w:szCs w:val="18"/>
                <w:highlight w:val="magenta"/>
                <w:lang w:eastAsia="fr-FR"/>
              </w:rPr>
              <w:t xml:space="preserve">0:  </w:t>
            </w:r>
            <w:r w:rsidR="001F1DA8" w:rsidRPr="006F5817">
              <w:rPr>
                <w:rFonts w:asciiTheme="majorHAnsi" w:eastAsia="Times New Roman" w:hAnsiTheme="majorHAnsi" w:cstheme="majorHAnsi"/>
                <w:b/>
                <w:bCs/>
                <w:sz w:val="18"/>
                <w:szCs w:val="18"/>
                <w:highlight w:val="magenta"/>
                <w:lang w:eastAsia="fr-FR"/>
              </w:rPr>
              <w:t>50</w:t>
            </w:r>
            <w:r w:rsidR="000A2A52" w:rsidRPr="006F5817">
              <w:rPr>
                <w:rFonts w:asciiTheme="majorHAnsi" w:eastAsia="Times New Roman" w:hAnsiTheme="majorHAnsi" w:cstheme="majorHAnsi"/>
                <w:sz w:val="18"/>
                <w:szCs w:val="18"/>
                <w:highlight w:val="magenta"/>
                <w:lang w:eastAsia="fr-FR"/>
              </w:rPr>
              <w:t xml:space="preserve">% of total Salary of Technical Assistant to provide technical support to the </w:t>
            </w:r>
            <w:r w:rsidR="007F6480" w:rsidRPr="006F5817">
              <w:rPr>
                <w:rFonts w:asciiTheme="majorHAnsi" w:eastAsia="Times New Roman" w:hAnsiTheme="majorHAnsi" w:cstheme="majorHAnsi"/>
                <w:sz w:val="18"/>
                <w:szCs w:val="18"/>
                <w:highlight w:val="magenta"/>
                <w:lang w:eastAsia="fr-FR"/>
              </w:rPr>
              <w:t>Project</w:t>
            </w:r>
            <w:r w:rsidR="000A2A52" w:rsidRPr="006F5817">
              <w:rPr>
                <w:rFonts w:asciiTheme="majorHAnsi" w:eastAsia="Times New Roman" w:hAnsiTheme="majorHAnsi" w:cstheme="majorHAnsi"/>
                <w:sz w:val="18"/>
                <w:szCs w:val="18"/>
                <w:highlight w:val="magenta"/>
                <w:lang w:eastAsia="fr-FR"/>
              </w:rPr>
              <w:t xml:space="preserve"> Officer</w:t>
            </w:r>
            <w:r w:rsidR="001F1DA8" w:rsidRPr="006F5817">
              <w:rPr>
                <w:rFonts w:asciiTheme="majorHAnsi" w:eastAsia="Times New Roman" w:hAnsiTheme="majorHAnsi" w:cstheme="majorHAnsi"/>
                <w:sz w:val="18"/>
                <w:szCs w:val="18"/>
                <w:highlight w:val="magenta"/>
                <w:lang w:eastAsia="fr-FR"/>
              </w:rPr>
              <w:t xml:space="preserve"> </w:t>
            </w:r>
            <w:r w:rsidR="000A2A52" w:rsidRPr="006F5817">
              <w:rPr>
                <w:rFonts w:asciiTheme="majorHAnsi" w:eastAsia="Times New Roman" w:hAnsiTheme="majorHAnsi" w:cstheme="majorHAnsi"/>
                <w:sz w:val="18"/>
                <w:szCs w:val="18"/>
                <w:highlight w:val="magenta"/>
                <w:lang w:eastAsia="fr-FR"/>
              </w:rPr>
              <w:t xml:space="preserve">(total 5 person/years @ </w:t>
            </w:r>
            <w:r w:rsidR="000A2A52" w:rsidRPr="006F5817">
              <w:rPr>
                <w:rFonts w:asciiTheme="majorHAnsi" w:eastAsia="Times New Roman" w:hAnsiTheme="majorHAnsi" w:cstheme="majorHAnsi"/>
                <w:color w:val="000000" w:themeColor="text1"/>
                <w:sz w:val="18"/>
                <w:szCs w:val="18"/>
                <w:highlight w:val="magenta"/>
                <w:lang w:eastAsia="fr-FR"/>
              </w:rPr>
              <w:t>USD3</w:t>
            </w:r>
            <w:r w:rsidR="001F1DA8" w:rsidRPr="006F5817">
              <w:rPr>
                <w:rFonts w:asciiTheme="majorHAnsi" w:eastAsia="Times New Roman" w:hAnsiTheme="majorHAnsi" w:cstheme="majorHAnsi"/>
                <w:color w:val="000000" w:themeColor="text1"/>
                <w:sz w:val="18"/>
                <w:szCs w:val="18"/>
                <w:highlight w:val="magenta"/>
                <w:lang w:eastAsia="fr-FR"/>
              </w:rPr>
              <w:t>6</w:t>
            </w:r>
            <w:r w:rsidR="00F30D18">
              <w:rPr>
                <w:rFonts w:asciiTheme="majorHAnsi" w:eastAsia="Times New Roman" w:hAnsiTheme="majorHAnsi" w:cstheme="majorHAnsi"/>
                <w:color w:val="000000" w:themeColor="text1"/>
                <w:sz w:val="18"/>
                <w:szCs w:val="18"/>
                <w:highlight w:val="magenta"/>
                <w:lang w:eastAsia="fr-FR"/>
              </w:rPr>
              <w:t>,</w:t>
            </w:r>
            <w:r w:rsidR="001F1DA8" w:rsidRPr="006F5817">
              <w:rPr>
                <w:rFonts w:asciiTheme="majorHAnsi" w:eastAsia="Times New Roman" w:hAnsiTheme="majorHAnsi" w:cstheme="majorHAnsi"/>
                <w:color w:val="000000" w:themeColor="text1"/>
                <w:sz w:val="18"/>
                <w:szCs w:val="18"/>
                <w:highlight w:val="magenta"/>
                <w:lang w:eastAsia="fr-FR"/>
              </w:rPr>
              <w:t>00</w:t>
            </w:r>
            <w:r w:rsidR="00F30D18">
              <w:rPr>
                <w:rFonts w:asciiTheme="majorHAnsi" w:eastAsia="Times New Roman" w:hAnsiTheme="majorHAnsi" w:cstheme="majorHAnsi"/>
                <w:color w:val="000000" w:themeColor="text1"/>
                <w:sz w:val="18"/>
                <w:szCs w:val="18"/>
                <w:highlight w:val="magenta"/>
                <w:lang w:eastAsia="fr-FR"/>
              </w:rPr>
              <w:t>0</w:t>
            </w:r>
            <w:r w:rsidR="000A2A52" w:rsidRPr="006F5817">
              <w:rPr>
                <w:rFonts w:asciiTheme="majorHAnsi" w:eastAsia="Times New Roman" w:hAnsiTheme="majorHAnsi" w:cstheme="majorHAnsi"/>
                <w:color w:val="000000" w:themeColor="text1"/>
                <w:sz w:val="18"/>
                <w:szCs w:val="18"/>
                <w:highlight w:val="magenta"/>
                <w:lang w:eastAsia="fr-FR"/>
              </w:rPr>
              <w:t xml:space="preserve"> </w:t>
            </w:r>
            <w:r w:rsidR="000A2A52" w:rsidRPr="006F5817">
              <w:rPr>
                <w:rFonts w:asciiTheme="majorHAnsi" w:eastAsia="Times New Roman" w:hAnsiTheme="majorHAnsi" w:cstheme="majorHAnsi"/>
                <w:sz w:val="18"/>
                <w:szCs w:val="18"/>
                <w:highlight w:val="magenta"/>
                <w:lang w:eastAsia="fr-FR"/>
              </w:rPr>
              <w:t>per year); the remaining budget is covered under DPC</w:t>
            </w:r>
          </w:p>
        </w:tc>
      </w:tr>
      <w:tr w:rsidR="000A2A52" w:rsidRPr="00327CBE" w14:paraId="4D7E7502" w14:textId="77777777" w:rsidTr="008244FA">
        <w:trPr>
          <w:trHeight w:val="20"/>
        </w:trPr>
        <w:tc>
          <w:tcPr>
            <w:tcW w:w="1144" w:type="dxa"/>
            <w:vMerge w:val="restart"/>
            <w:tcBorders>
              <w:top w:val="single" w:sz="8" w:space="0" w:color="auto"/>
              <w:left w:val="single" w:sz="8" w:space="0" w:color="auto"/>
              <w:bottom w:val="nil"/>
              <w:right w:val="single" w:sz="8" w:space="0" w:color="auto"/>
            </w:tcBorders>
            <w:shd w:val="clear" w:color="auto" w:fill="auto"/>
            <w:vAlign w:val="center"/>
            <w:hideMark/>
          </w:tcPr>
          <w:p w14:paraId="7D906558"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27</w:t>
            </w:r>
          </w:p>
        </w:tc>
        <w:tc>
          <w:tcPr>
            <w:tcW w:w="1256" w:type="dxa"/>
            <w:vMerge w:val="restart"/>
            <w:tcBorders>
              <w:top w:val="single" w:sz="8" w:space="0" w:color="auto"/>
              <w:left w:val="single" w:sz="8" w:space="0" w:color="auto"/>
              <w:bottom w:val="nil"/>
              <w:right w:val="single" w:sz="8" w:space="0" w:color="000000"/>
            </w:tcBorders>
            <w:shd w:val="clear" w:color="auto" w:fill="auto"/>
            <w:vAlign w:val="center"/>
            <w:hideMark/>
          </w:tcPr>
          <w:p w14:paraId="278CCD18"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84,350</w:t>
            </w:r>
          </w:p>
        </w:tc>
        <w:tc>
          <w:tcPr>
            <w:tcW w:w="2126" w:type="dxa"/>
            <w:vMerge w:val="restart"/>
            <w:tcBorders>
              <w:top w:val="single" w:sz="8" w:space="0" w:color="auto"/>
              <w:left w:val="single" w:sz="8" w:space="0" w:color="auto"/>
              <w:bottom w:val="nil"/>
              <w:right w:val="single" w:sz="8" w:space="0" w:color="000000"/>
            </w:tcBorders>
            <w:shd w:val="clear" w:color="auto" w:fill="auto"/>
            <w:vAlign w:val="center"/>
            <w:hideMark/>
          </w:tcPr>
          <w:p w14:paraId="5FA4C964"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 71600 Travel </w:t>
            </w:r>
          </w:p>
        </w:tc>
        <w:tc>
          <w:tcPr>
            <w:tcW w:w="9939" w:type="dxa"/>
            <w:gridSpan w:val="6"/>
            <w:tcBorders>
              <w:top w:val="single" w:sz="8" w:space="0" w:color="auto"/>
              <w:left w:val="nil"/>
              <w:bottom w:val="nil"/>
              <w:right w:val="single" w:sz="8" w:space="0" w:color="000000"/>
            </w:tcBorders>
            <w:shd w:val="clear" w:color="auto" w:fill="auto"/>
            <w:vAlign w:val="center"/>
            <w:hideMark/>
          </w:tcPr>
          <w:p w14:paraId="4FCED998" w14:textId="6D775E6A"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 xml:space="preserve">USD 29,000: </w:t>
            </w:r>
            <w:r w:rsidRPr="008244FA">
              <w:rPr>
                <w:rFonts w:asciiTheme="majorHAnsi" w:eastAsia="Times New Roman" w:hAnsiTheme="majorHAnsi" w:cstheme="majorHAnsi"/>
                <w:sz w:val="18"/>
                <w:szCs w:val="18"/>
                <w:lang w:eastAsia="fr-FR"/>
              </w:rPr>
              <w:t xml:space="preserve">Travel costs (tickets and DSA) for the </w:t>
            </w:r>
            <w:r w:rsidR="007F6480">
              <w:rPr>
                <w:rFonts w:asciiTheme="majorHAnsi" w:eastAsia="Times New Roman" w:hAnsiTheme="majorHAnsi" w:cstheme="majorHAnsi"/>
                <w:sz w:val="18"/>
                <w:szCs w:val="18"/>
                <w:lang w:eastAsia="fr-FR"/>
              </w:rPr>
              <w:t>Project</w:t>
            </w:r>
            <w:r w:rsidRPr="008244FA">
              <w:rPr>
                <w:rFonts w:asciiTheme="majorHAnsi" w:eastAsia="Times New Roman" w:hAnsiTheme="majorHAnsi" w:cstheme="majorHAnsi"/>
                <w:sz w:val="18"/>
                <w:szCs w:val="18"/>
                <w:lang w:eastAsia="fr-FR"/>
              </w:rPr>
              <w:t xml:space="preserve"> Officer</w:t>
            </w:r>
          </w:p>
        </w:tc>
      </w:tr>
      <w:tr w:rsidR="000A2A52" w:rsidRPr="00327CBE" w14:paraId="11BC9C47" w14:textId="77777777" w:rsidTr="008244FA">
        <w:trPr>
          <w:trHeight w:val="20"/>
        </w:trPr>
        <w:tc>
          <w:tcPr>
            <w:tcW w:w="1144" w:type="dxa"/>
            <w:vMerge/>
            <w:tcBorders>
              <w:top w:val="single" w:sz="8" w:space="0" w:color="auto"/>
              <w:left w:val="single" w:sz="8" w:space="0" w:color="auto"/>
              <w:bottom w:val="nil"/>
              <w:right w:val="single" w:sz="8" w:space="0" w:color="auto"/>
            </w:tcBorders>
            <w:vAlign w:val="center"/>
            <w:hideMark/>
          </w:tcPr>
          <w:p w14:paraId="075BB0EF"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639F872E"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7A11DF0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1AA6F2C8" w14:textId="77777777" w:rsidR="000A2A52" w:rsidRPr="008244FA" w:rsidRDefault="000A2A52" w:rsidP="00327CBE">
            <w:pP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b/>
                <w:bCs/>
                <w:color w:val="000000"/>
                <w:sz w:val="18"/>
                <w:szCs w:val="18"/>
                <w:lang w:eastAsia="fr-FR"/>
              </w:rPr>
              <w:t>USD 29,000</w:t>
            </w:r>
            <w:r w:rsidRPr="008244FA">
              <w:rPr>
                <w:rFonts w:asciiTheme="majorHAnsi" w:eastAsia="Times New Roman" w:hAnsiTheme="majorHAnsi" w:cstheme="majorHAnsi"/>
                <w:color w:val="000000"/>
                <w:sz w:val="18"/>
                <w:szCs w:val="18"/>
                <w:lang w:eastAsia="fr-FR"/>
              </w:rPr>
              <w:t>: Travel costs (tickets and DSA) for the Driver</w:t>
            </w:r>
          </w:p>
        </w:tc>
      </w:tr>
      <w:tr w:rsidR="000A2A52" w:rsidRPr="00327CBE" w14:paraId="2517188D" w14:textId="77777777" w:rsidTr="008244FA">
        <w:trPr>
          <w:trHeight w:val="20"/>
        </w:trPr>
        <w:tc>
          <w:tcPr>
            <w:tcW w:w="1144" w:type="dxa"/>
            <w:vMerge/>
            <w:tcBorders>
              <w:top w:val="single" w:sz="8" w:space="0" w:color="auto"/>
              <w:left w:val="single" w:sz="8" w:space="0" w:color="auto"/>
              <w:bottom w:val="nil"/>
              <w:right w:val="single" w:sz="8" w:space="0" w:color="auto"/>
            </w:tcBorders>
            <w:vAlign w:val="center"/>
            <w:hideMark/>
          </w:tcPr>
          <w:p w14:paraId="0BC41D6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7DA9729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689E6AE4"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20778ADE"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8,000:</w:t>
            </w:r>
            <w:r w:rsidRPr="008244FA">
              <w:rPr>
                <w:rFonts w:asciiTheme="majorHAnsi" w:eastAsia="Times New Roman" w:hAnsiTheme="majorHAnsi" w:cstheme="majorHAnsi"/>
                <w:sz w:val="18"/>
                <w:szCs w:val="18"/>
                <w:lang w:eastAsia="fr-FR"/>
              </w:rPr>
              <w:t xml:space="preserve"> Travel costs (tickets and DSA) for Administrative Assistant</w:t>
            </w:r>
          </w:p>
        </w:tc>
      </w:tr>
      <w:tr w:rsidR="000A2A52" w:rsidRPr="00327CBE" w14:paraId="1FBD9FE5" w14:textId="77777777" w:rsidTr="008244FA">
        <w:trPr>
          <w:trHeight w:val="20"/>
        </w:trPr>
        <w:tc>
          <w:tcPr>
            <w:tcW w:w="1144" w:type="dxa"/>
            <w:vMerge/>
            <w:tcBorders>
              <w:top w:val="single" w:sz="8" w:space="0" w:color="auto"/>
              <w:left w:val="single" w:sz="8" w:space="0" w:color="auto"/>
              <w:bottom w:val="nil"/>
              <w:right w:val="single" w:sz="8" w:space="0" w:color="auto"/>
            </w:tcBorders>
            <w:vAlign w:val="center"/>
            <w:hideMark/>
          </w:tcPr>
          <w:p w14:paraId="0215B204"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155B004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5F2729F8"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7C81EF13"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18,350:</w:t>
            </w:r>
            <w:r w:rsidRPr="008244FA">
              <w:rPr>
                <w:rFonts w:asciiTheme="majorHAnsi" w:eastAsia="Times New Roman" w:hAnsiTheme="majorHAnsi" w:cstheme="majorHAnsi"/>
                <w:sz w:val="18"/>
                <w:szCs w:val="18"/>
                <w:lang w:eastAsia="fr-FR"/>
              </w:rPr>
              <w:t xml:space="preserve"> Travel costs for Monitoring activities (Mitigation Plan) </w:t>
            </w:r>
          </w:p>
        </w:tc>
      </w:tr>
      <w:tr w:rsidR="000A2A52" w:rsidRPr="00327CBE" w14:paraId="46959B41" w14:textId="77777777" w:rsidTr="008244FA">
        <w:trPr>
          <w:trHeight w:val="20"/>
        </w:trPr>
        <w:tc>
          <w:tcPr>
            <w:tcW w:w="114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8ABCE8F"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28</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022030E6" w14:textId="02848593"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4</w:t>
            </w:r>
            <w:r w:rsidR="001F1DA8">
              <w:rPr>
                <w:rFonts w:asciiTheme="majorHAnsi" w:eastAsia="Times New Roman" w:hAnsiTheme="majorHAnsi" w:cstheme="majorHAnsi"/>
                <w:color w:val="000000"/>
                <w:sz w:val="18"/>
                <w:szCs w:val="18"/>
                <w:lang w:val="fr-FR" w:eastAsia="fr-FR"/>
              </w:rPr>
              <w:t>2</w:t>
            </w:r>
            <w:r w:rsidRPr="008244FA">
              <w:rPr>
                <w:rFonts w:asciiTheme="majorHAnsi" w:eastAsia="Times New Roman" w:hAnsiTheme="majorHAnsi" w:cstheme="majorHAnsi"/>
                <w:color w:val="000000"/>
                <w:sz w:val="18"/>
                <w:szCs w:val="18"/>
                <w:lang w:val="fr-FR" w:eastAsia="fr-FR"/>
              </w:rPr>
              <w:t>,</w:t>
            </w:r>
            <w:r w:rsidR="001F1DA8">
              <w:rPr>
                <w:rFonts w:asciiTheme="majorHAnsi" w:eastAsia="Times New Roman" w:hAnsiTheme="majorHAnsi" w:cstheme="majorHAnsi"/>
                <w:color w:val="000000"/>
                <w:sz w:val="18"/>
                <w:szCs w:val="18"/>
                <w:lang w:val="fr-FR" w:eastAsia="fr-FR"/>
              </w:rPr>
              <w:t>5</w:t>
            </w:r>
            <w:r w:rsidRPr="008244FA">
              <w:rPr>
                <w:rFonts w:asciiTheme="majorHAnsi" w:eastAsia="Times New Roman" w:hAnsiTheme="majorHAnsi" w:cstheme="majorHAnsi"/>
                <w:color w:val="000000"/>
                <w:sz w:val="18"/>
                <w:szCs w:val="18"/>
                <w:lang w:val="fr-FR" w:eastAsia="fr-FR"/>
              </w:rPr>
              <w:t>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28009F14"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72100 </w:t>
            </w: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companies</w:t>
            </w:r>
            <w:proofErr w:type="spellEnd"/>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3AE38C99" w14:textId="72577DB9"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USD4</w:t>
            </w:r>
            <w:r w:rsidR="001F1DA8">
              <w:rPr>
                <w:rFonts w:asciiTheme="majorHAnsi" w:eastAsia="Times New Roman" w:hAnsiTheme="majorHAnsi" w:cstheme="majorHAnsi"/>
                <w:b/>
                <w:bCs/>
                <w:sz w:val="18"/>
                <w:szCs w:val="18"/>
                <w:lang w:eastAsia="fr-FR"/>
              </w:rPr>
              <w:t>2</w:t>
            </w:r>
            <w:r w:rsidRPr="008244FA">
              <w:rPr>
                <w:rFonts w:asciiTheme="majorHAnsi" w:eastAsia="Times New Roman" w:hAnsiTheme="majorHAnsi" w:cstheme="majorHAnsi"/>
                <w:b/>
                <w:bCs/>
                <w:sz w:val="18"/>
                <w:szCs w:val="18"/>
                <w:lang w:eastAsia="fr-FR"/>
              </w:rPr>
              <w:t>,</w:t>
            </w:r>
            <w:r w:rsidR="001F1DA8">
              <w:rPr>
                <w:rFonts w:asciiTheme="majorHAnsi" w:eastAsia="Times New Roman" w:hAnsiTheme="majorHAnsi" w:cstheme="majorHAnsi"/>
                <w:b/>
                <w:bCs/>
                <w:sz w:val="18"/>
                <w:szCs w:val="18"/>
                <w:lang w:eastAsia="fr-FR"/>
              </w:rPr>
              <w:t>5</w:t>
            </w:r>
            <w:r w:rsidRPr="008244FA">
              <w:rPr>
                <w:rFonts w:asciiTheme="majorHAnsi" w:eastAsia="Times New Roman" w:hAnsiTheme="majorHAnsi" w:cstheme="majorHAnsi"/>
                <w:b/>
                <w:bCs/>
                <w:sz w:val="18"/>
                <w:szCs w:val="18"/>
                <w:lang w:eastAsia="fr-FR"/>
              </w:rPr>
              <w:t xml:space="preserve">00: </w:t>
            </w:r>
            <w:r w:rsidRPr="008244FA">
              <w:rPr>
                <w:rFonts w:asciiTheme="majorHAnsi" w:eastAsia="Times New Roman" w:hAnsiTheme="majorHAnsi" w:cstheme="majorHAnsi"/>
                <w:sz w:val="18"/>
                <w:szCs w:val="18"/>
                <w:lang w:eastAsia="fr-FR"/>
              </w:rPr>
              <w:t>Costs of office security (over 5 years)</w:t>
            </w:r>
          </w:p>
        </w:tc>
      </w:tr>
      <w:tr w:rsidR="000A2A52" w:rsidRPr="00327CBE" w14:paraId="45C51356" w14:textId="77777777" w:rsidTr="008244FA">
        <w:trPr>
          <w:trHeight w:val="20"/>
        </w:trPr>
        <w:tc>
          <w:tcPr>
            <w:tcW w:w="1144" w:type="dxa"/>
            <w:vMerge w:val="restart"/>
            <w:tcBorders>
              <w:top w:val="nil"/>
              <w:left w:val="single" w:sz="8" w:space="0" w:color="auto"/>
              <w:bottom w:val="nil"/>
              <w:right w:val="single" w:sz="8" w:space="0" w:color="auto"/>
            </w:tcBorders>
            <w:shd w:val="clear" w:color="auto" w:fill="auto"/>
            <w:vAlign w:val="center"/>
            <w:hideMark/>
          </w:tcPr>
          <w:p w14:paraId="7471E600"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29</w:t>
            </w:r>
          </w:p>
        </w:tc>
        <w:tc>
          <w:tcPr>
            <w:tcW w:w="1256" w:type="dxa"/>
            <w:vMerge w:val="restart"/>
            <w:tcBorders>
              <w:top w:val="single" w:sz="8" w:space="0" w:color="auto"/>
              <w:left w:val="single" w:sz="8" w:space="0" w:color="auto"/>
              <w:bottom w:val="nil"/>
              <w:right w:val="single" w:sz="8" w:space="0" w:color="000000"/>
            </w:tcBorders>
            <w:shd w:val="clear" w:color="auto" w:fill="auto"/>
            <w:vAlign w:val="center"/>
            <w:hideMark/>
          </w:tcPr>
          <w:p w14:paraId="50918296"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355,000</w:t>
            </w:r>
          </w:p>
        </w:tc>
        <w:tc>
          <w:tcPr>
            <w:tcW w:w="2126" w:type="dxa"/>
            <w:vMerge w:val="restart"/>
            <w:tcBorders>
              <w:top w:val="single" w:sz="8" w:space="0" w:color="auto"/>
              <w:left w:val="single" w:sz="8" w:space="0" w:color="auto"/>
              <w:bottom w:val="nil"/>
              <w:right w:val="single" w:sz="8" w:space="0" w:color="000000"/>
            </w:tcBorders>
            <w:shd w:val="clear" w:color="auto" w:fill="auto"/>
            <w:vAlign w:val="center"/>
            <w:hideMark/>
          </w:tcPr>
          <w:p w14:paraId="794BA69B"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72200 Equipment and </w:t>
            </w:r>
            <w:proofErr w:type="spellStart"/>
            <w:r w:rsidRPr="008244FA">
              <w:rPr>
                <w:rFonts w:asciiTheme="majorHAnsi" w:eastAsia="Times New Roman" w:hAnsiTheme="majorHAnsi" w:cstheme="majorHAnsi"/>
                <w:color w:val="000000"/>
                <w:sz w:val="18"/>
                <w:szCs w:val="18"/>
                <w:lang w:val="fr-FR" w:eastAsia="fr-FR"/>
              </w:rPr>
              <w:t>Furniture</w:t>
            </w:r>
            <w:proofErr w:type="spellEnd"/>
            <w:r w:rsidRPr="008244FA">
              <w:rPr>
                <w:rFonts w:asciiTheme="majorHAnsi" w:eastAsia="Times New Roman" w:hAnsiTheme="majorHAnsi" w:cstheme="majorHAnsi"/>
                <w:color w:val="000000"/>
                <w:sz w:val="18"/>
                <w:szCs w:val="18"/>
                <w:lang w:val="fr-FR" w:eastAsia="fr-FR"/>
              </w:rPr>
              <w:t xml:space="preserve"> </w:t>
            </w:r>
          </w:p>
        </w:tc>
        <w:tc>
          <w:tcPr>
            <w:tcW w:w="9939" w:type="dxa"/>
            <w:gridSpan w:val="6"/>
            <w:tcBorders>
              <w:top w:val="single" w:sz="8" w:space="0" w:color="auto"/>
              <w:left w:val="nil"/>
              <w:bottom w:val="nil"/>
              <w:right w:val="single" w:sz="8" w:space="0" w:color="000000"/>
            </w:tcBorders>
            <w:shd w:val="clear" w:color="auto" w:fill="auto"/>
            <w:vAlign w:val="center"/>
            <w:hideMark/>
          </w:tcPr>
          <w:p w14:paraId="66437AA6"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50,000</w:t>
            </w:r>
            <w:r w:rsidRPr="008244FA">
              <w:rPr>
                <w:rFonts w:asciiTheme="majorHAnsi" w:eastAsia="Times New Roman" w:hAnsiTheme="majorHAnsi" w:cstheme="majorHAnsi"/>
                <w:sz w:val="18"/>
                <w:szCs w:val="18"/>
                <w:lang w:eastAsia="fr-FR"/>
              </w:rPr>
              <w:t>: Costs of stationery and Office materials (Over 5 years)</w:t>
            </w:r>
          </w:p>
        </w:tc>
      </w:tr>
      <w:tr w:rsidR="000A2A52" w:rsidRPr="00327CBE" w14:paraId="76327646"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3483ACB3"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3A851C6E"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1FA073CA"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6986DF54"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90,000:</w:t>
            </w:r>
            <w:r w:rsidRPr="008244FA">
              <w:rPr>
                <w:rFonts w:asciiTheme="majorHAnsi" w:eastAsia="Times New Roman" w:hAnsiTheme="majorHAnsi" w:cstheme="majorHAnsi"/>
                <w:sz w:val="18"/>
                <w:szCs w:val="18"/>
                <w:lang w:eastAsia="fr-FR"/>
              </w:rPr>
              <w:t xml:space="preserve"> Costs of 4X4 cars (total 2@USD 45,000) needed to enable technical and coordination staff to reach widely dispersed project locations for technical oversight and coordination work</w:t>
            </w:r>
          </w:p>
        </w:tc>
      </w:tr>
      <w:tr w:rsidR="000A2A52" w:rsidRPr="00327CBE" w14:paraId="648215CE"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08F056B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073A7023"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67ECAC27"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7D955245"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25,000:</w:t>
            </w:r>
            <w:r w:rsidRPr="008244FA">
              <w:rPr>
                <w:rFonts w:asciiTheme="majorHAnsi" w:eastAsia="Times New Roman" w:hAnsiTheme="majorHAnsi" w:cstheme="majorHAnsi"/>
                <w:sz w:val="18"/>
                <w:szCs w:val="18"/>
                <w:lang w:eastAsia="fr-FR"/>
              </w:rPr>
              <w:t xml:space="preserve"> Costs of tables and chairs (Over 5 years)</w:t>
            </w:r>
          </w:p>
        </w:tc>
      </w:tr>
      <w:tr w:rsidR="000A2A52" w:rsidRPr="00327CBE" w14:paraId="40D9F3B8"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6D8B59A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15FC1386"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0285AED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5D91E3B8"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USD 80 000:</w:t>
            </w:r>
            <w:r w:rsidRPr="008244FA">
              <w:rPr>
                <w:rFonts w:asciiTheme="majorHAnsi" w:eastAsia="Times New Roman" w:hAnsiTheme="majorHAnsi" w:cstheme="majorHAnsi"/>
                <w:sz w:val="18"/>
                <w:szCs w:val="18"/>
                <w:lang w:eastAsia="fr-FR"/>
              </w:rPr>
              <w:t xml:space="preserve"> Costs of vehicle maintenance ( over 5 years)</w:t>
            </w:r>
          </w:p>
        </w:tc>
      </w:tr>
      <w:tr w:rsidR="000A2A52" w:rsidRPr="00327CBE" w14:paraId="12987648" w14:textId="77777777" w:rsidTr="008244FA">
        <w:trPr>
          <w:trHeight w:val="20"/>
        </w:trPr>
        <w:tc>
          <w:tcPr>
            <w:tcW w:w="1144" w:type="dxa"/>
            <w:vMerge/>
            <w:tcBorders>
              <w:top w:val="nil"/>
              <w:left w:val="single" w:sz="8" w:space="0" w:color="auto"/>
              <w:bottom w:val="nil"/>
              <w:right w:val="single" w:sz="8" w:space="0" w:color="auto"/>
            </w:tcBorders>
            <w:vAlign w:val="center"/>
            <w:hideMark/>
          </w:tcPr>
          <w:p w14:paraId="0467BD94"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nil"/>
              <w:right w:val="single" w:sz="8" w:space="0" w:color="000000"/>
            </w:tcBorders>
            <w:vAlign w:val="center"/>
            <w:hideMark/>
          </w:tcPr>
          <w:p w14:paraId="1AE0812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nil"/>
              <w:right w:val="single" w:sz="8" w:space="0" w:color="000000"/>
            </w:tcBorders>
            <w:vAlign w:val="center"/>
            <w:hideMark/>
          </w:tcPr>
          <w:p w14:paraId="31C86DD8"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712AD0C8" w14:textId="77777777"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b/>
                <w:bCs/>
                <w:sz w:val="18"/>
                <w:szCs w:val="18"/>
                <w:lang w:eastAsia="fr-FR"/>
              </w:rPr>
              <w:t xml:space="preserve"> USD 110,000:</w:t>
            </w:r>
            <w:r w:rsidRPr="008244FA">
              <w:rPr>
                <w:rFonts w:asciiTheme="majorHAnsi" w:eastAsia="Times New Roman" w:hAnsiTheme="majorHAnsi" w:cstheme="majorHAnsi"/>
                <w:sz w:val="18"/>
                <w:szCs w:val="18"/>
                <w:lang w:eastAsia="fr-FR"/>
              </w:rPr>
              <w:t xml:space="preserve"> Costs of generator, inverter, batteries, solar panel and electrical installations </w:t>
            </w:r>
          </w:p>
        </w:tc>
      </w:tr>
      <w:tr w:rsidR="000A2A52" w:rsidRPr="00327CBE" w14:paraId="3AB91308" w14:textId="77777777" w:rsidTr="008244FA">
        <w:trPr>
          <w:trHeight w:val="20"/>
        </w:trPr>
        <w:tc>
          <w:tcPr>
            <w:tcW w:w="114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DFE51BD"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30</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2092B899" w14:textId="2AD42FF2" w:rsidR="000A2A52" w:rsidRPr="008244FA" w:rsidRDefault="001F1DA8" w:rsidP="00327CBE">
            <w:pPr>
              <w:jc w:val="center"/>
              <w:rPr>
                <w:rFonts w:asciiTheme="majorHAnsi" w:eastAsia="Times New Roman" w:hAnsiTheme="majorHAnsi" w:cstheme="majorHAnsi"/>
                <w:color w:val="000000"/>
                <w:sz w:val="18"/>
                <w:szCs w:val="18"/>
                <w:lang w:val="fr-FR" w:eastAsia="fr-FR"/>
              </w:rPr>
            </w:pPr>
            <w:r>
              <w:rPr>
                <w:rFonts w:asciiTheme="majorHAnsi" w:eastAsia="Times New Roman" w:hAnsiTheme="majorHAnsi" w:cstheme="majorHAnsi"/>
                <w:color w:val="000000"/>
                <w:sz w:val="18"/>
                <w:szCs w:val="18"/>
                <w:lang w:val="fr-FR" w:eastAsia="fr-FR"/>
              </w:rPr>
              <w:t>33</w:t>
            </w:r>
            <w:r w:rsidR="000A2A52" w:rsidRPr="008244FA">
              <w:rPr>
                <w:rFonts w:asciiTheme="majorHAnsi" w:eastAsia="Times New Roman" w:hAnsiTheme="majorHAnsi" w:cstheme="majorHAnsi"/>
                <w:color w:val="000000"/>
                <w:sz w:val="18"/>
                <w:szCs w:val="18"/>
                <w:lang w:val="fr-FR" w:eastAsia="fr-FR"/>
              </w:rPr>
              <w:t>,</w:t>
            </w:r>
            <w:r>
              <w:rPr>
                <w:rFonts w:asciiTheme="majorHAnsi" w:eastAsia="Times New Roman" w:hAnsiTheme="majorHAnsi" w:cstheme="majorHAnsi"/>
                <w:color w:val="000000"/>
                <w:sz w:val="18"/>
                <w:szCs w:val="18"/>
                <w:lang w:val="fr-FR" w:eastAsia="fr-FR"/>
              </w:rPr>
              <w:t>5</w:t>
            </w:r>
            <w:r w:rsidR="000A2A52" w:rsidRPr="008244FA">
              <w:rPr>
                <w:rFonts w:asciiTheme="majorHAnsi" w:eastAsia="Times New Roman" w:hAnsiTheme="majorHAnsi" w:cstheme="majorHAnsi"/>
                <w:color w:val="000000"/>
                <w:sz w:val="18"/>
                <w:szCs w:val="18"/>
                <w:lang w:val="fr-FR" w:eastAsia="fr-FR"/>
              </w:rPr>
              <w:t>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37C07FA7"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72400 </w:t>
            </w:r>
            <w:proofErr w:type="spellStart"/>
            <w:r w:rsidRPr="008244FA">
              <w:rPr>
                <w:rFonts w:asciiTheme="majorHAnsi" w:eastAsia="Times New Roman" w:hAnsiTheme="majorHAnsi" w:cstheme="majorHAnsi"/>
                <w:color w:val="000000"/>
                <w:sz w:val="18"/>
                <w:szCs w:val="18"/>
                <w:lang w:val="fr-FR" w:eastAsia="fr-FR"/>
              </w:rPr>
              <w:t>Communic</w:t>
            </w:r>
            <w:proofErr w:type="spellEnd"/>
            <w:r w:rsidRPr="008244FA">
              <w:rPr>
                <w:rFonts w:asciiTheme="majorHAnsi" w:eastAsia="Times New Roman" w:hAnsiTheme="majorHAnsi" w:cstheme="majorHAnsi"/>
                <w:color w:val="000000"/>
                <w:sz w:val="18"/>
                <w:szCs w:val="18"/>
                <w:lang w:val="fr-FR" w:eastAsia="fr-FR"/>
              </w:rPr>
              <w:t xml:space="preserve"> &amp; </w:t>
            </w:r>
            <w:proofErr w:type="spellStart"/>
            <w:r w:rsidRPr="008244FA">
              <w:rPr>
                <w:rFonts w:asciiTheme="majorHAnsi" w:eastAsia="Times New Roman" w:hAnsiTheme="majorHAnsi" w:cstheme="majorHAnsi"/>
                <w:color w:val="000000"/>
                <w:sz w:val="18"/>
                <w:szCs w:val="18"/>
                <w:lang w:val="fr-FR" w:eastAsia="fr-FR"/>
              </w:rPr>
              <w:t>Audio-Visual</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6EEDFABD" w14:textId="7170B0EF" w:rsidR="000A2A52" w:rsidRPr="001F1DA8" w:rsidRDefault="000A2A52" w:rsidP="00327CBE">
            <w:pPr>
              <w:rPr>
                <w:rFonts w:asciiTheme="majorHAnsi" w:eastAsia="Times New Roman" w:hAnsiTheme="majorHAnsi" w:cstheme="majorHAnsi"/>
                <w:color w:val="000000"/>
                <w:sz w:val="18"/>
                <w:szCs w:val="18"/>
                <w:highlight w:val="cyan"/>
                <w:lang w:eastAsia="fr-FR"/>
              </w:rPr>
            </w:pPr>
            <w:r w:rsidRPr="00F30D18">
              <w:rPr>
                <w:rFonts w:asciiTheme="majorHAnsi" w:eastAsia="Times New Roman" w:hAnsiTheme="majorHAnsi" w:cstheme="majorHAnsi"/>
                <w:b/>
                <w:bCs/>
                <w:color w:val="000000"/>
                <w:sz w:val="18"/>
                <w:szCs w:val="18"/>
                <w:highlight w:val="magenta"/>
                <w:lang w:eastAsia="fr-FR"/>
              </w:rPr>
              <w:t xml:space="preserve">USD </w:t>
            </w:r>
            <w:r w:rsidR="001F1DA8" w:rsidRPr="00F30D18">
              <w:rPr>
                <w:rFonts w:asciiTheme="majorHAnsi" w:eastAsia="Times New Roman" w:hAnsiTheme="majorHAnsi" w:cstheme="majorHAnsi"/>
                <w:b/>
                <w:bCs/>
                <w:color w:val="000000"/>
                <w:sz w:val="18"/>
                <w:szCs w:val="18"/>
                <w:highlight w:val="magenta"/>
                <w:lang w:eastAsia="fr-FR"/>
              </w:rPr>
              <w:t>33</w:t>
            </w:r>
            <w:r w:rsidRPr="00F30D18">
              <w:rPr>
                <w:rFonts w:asciiTheme="majorHAnsi" w:eastAsia="Times New Roman" w:hAnsiTheme="majorHAnsi" w:cstheme="majorHAnsi"/>
                <w:b/>
                <w:bCs/>
                <w:color w:val="000000"/>
                <w:sz w:val="18"/>
                <w:szCs w:val="18"/>
                <w:highlight w:val="magenta"/>
                <w:lang w:eastAsia="fr-FR"/>
              </w:rPr>
              <w:t>,</w:t>
            </w:r>
            <w:r w:rsidR="001F1DA8" w:rsidRPr="00F30D18">
              <w:rPr>
                <w:rFonts w:asciiTheme="majorHAnsi" w:eastAsia="Times New Roman" w:hAnsiTheme="majorHAnsi" w:cstheme="majorHAnsi"/>
                <w:b/>
                <w:bCs/>
                <w:color w:val="000000"/>
                <w:sz w:val="18"/>
                <w:szCs w:val="18"/>
                <w:highlight w:val="magenta"/>
                <w:lang w:eastAsia="fr-FR"/>
              </w:rPr>
              <w:t>5</w:t>
            </w:r>
            <w:r w:rsidRPr="00F30D18">
              <w:rPr>
                <w:rFonts w:asciiTheme="majorHAnsi" w:eastAsia="Times New Roman" w:hAnsiTheme="majorHAnsi" w:cstheme="majorHAnsi"/>
                <w:b/>
                <w:bCs/>
                <w:color w:val="000000"/>
                <w:sz w:val="18"/>
                <w:szCs w:val="18"/>
                <w:highlight w:val="magenta"/>
                <w:lang w:eastAsia="fr-FR"/>
              </w:rPr>
              <w:t>00: C</w:t>
            </w:r>
            <w:r w:rsidRPr="00F30D18">
              <w:rPr>
                <w:rFonts w:asciiTheme="majorHAnsi" w:eastAsia="Times New Roman" w:hAnsiTheme="majorHAnsi" w:cstheme="majorHAnsi"/>
                <w:color w:val="000000"/>
                <w:sz w:val="18"/>
                <w:szCs w:val="18"/>
                <w:highlight w:val="magenta"/>
                <w:lang w:eastAsia="fr-FR"/>
              </w:rPr>
              <w:t>osts of communication equipment (Over 5 years)</w:t>
            </w:r>
          </w:p>
        </w:tc>
      </w:tr>
      <w:tr w:rsidR="000A2A52" w:rsidRPr="00327CBE" w14:paraId="149CE51D"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691BE2CF"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31</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6DD91549" w14:textId="3BD2BEF1" w:rsidR="000A2A52" w:rsidRPr="008244FA" w:rsidRDefault="001F1DA8" w:rsidP="00327CBE">
            <w:pPr>
              <w:jc w:val="center"/>
              <w:rPr>
                <w:rFonts w:asciiTheme="majorHAnsi" w:eastAsia="Times New Roman" w:hAnsiTheme="majorHAnsi" w:cstheme="majorHAnsi"/>
                <w:color w:val="000000"/>
                <w:sz w:val="18"/>
                <w:szCs w:val="18"/>
                <w:lang w:val="fr-FR" w:eastAsia="fr-FR"/>
              </w:rPr>
            </w:pPr>
            <w:r>
              <w:rPr>
                <w:rFonts w:asciiTheme="majorHAnsi" w:eastAsia="Times New Roman" w:hAnsiTheme="majorHAnsi" w:cstheme="majorHAnsi"/>
                <w:color w:val="000000"/>
                <w:sz w:val="18"/>
                <w:szCs w:val="18"/>
                <w:lang w:val="fr-FR" w:eastAsia="fr-FR"/>
              </w:rPr>
              <w:t>35</w:t>
            </w:r>
            <w:r w:rsidR="000A2A52" w:rsidRPr="008244FA">
              <w:rPr>
                <w:rFonts w:asciiTheme="majorHAnsi" w:eastAsia="Times New Roman" w:hAnsiTheme="majorHAnsi" w:cstheme="majorHAnsi"/>
                <w:color w:val="000000"/>
                <w:sz w:val="18"/>
                <w:szCs w:val="18"/>
                <w:lang w:val="fr-FR" w:eastAsia="fr-FR"/>
              </w:rPr>
              <w:t>,000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3C12758D"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72800 Information </w:t>
            </w:r>
            <w:proofErr w:type="spellStart"/>
            <w:r w:rsidRPr="008244FA">
              <w:rPr>
                <w:rFonts w:asciiTheme="majorHAnsi" w:eastAsia="Times New Roman" w:hAnsiTheme="majorHAnsi" w:cstheme="majorHAnsi"/>
                <w:color w:val="000000"/>
                <w:sz w:val="18"/>
                <w:szCs w:val="18"/>
                <w:lang w:val="fr-FR" w:eastAsia="fr-FR"/>
              </w:rPr>
              <w:t>Technology</w:t>
            </w:r>
            <w:proofErr w:type="spellEnd"/>
            <w:r w:rsidRPr="008244FA">
              <w:rPr>
                <w:rFonts w:asciiTheme="majorHAnsi" w:eastAsia="Times New Roman" w:hAnsiTheme="majorHAnsi" w:cstheme="majorHAnsi"/>
                <w:color w:val="000000"/>
                <w:sz w:val="18"/>
                <w:szCs w:val="18"/>
                <w:lang w:val="fr-FR" w:eastAsia="fr-FR"/>
              </w:rPr>
              <w:t xml:space="preserve"> Equipment</w:t>
            </w: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2B346895" w14:textId="449F09AB" w:rsidR="000A2A52" w:rsidRPr="001F1DA8" w:rsidRDefault="000A2A52" w:rsidP="00327CBE">
            <w:pPr>
              <w:rPr>
                <w:rFonts w:asciiTheme="majorHAnsi" w:eastAsia="Times New Roman" w:hAnsiTheme="majorHAnsi" w:cstheme="majorHAnsi"/>
                <w:sz w:val="18"/>
                <w:szCs w:val="18"/>
                <w:highlight w:val="cyan"/>
                <w:lang w:eastAsia="fr-FR"/>
              </w:rPr>
            </w:pPr>
            <w:r w:rsidRPr="00F30D18">
              <w:rPr>
                <w:rFonts w:asciiTheme="majorHAnsi" w:eastAsia="Times New Roman" w:hAnsiTheme="majorHAnsi" w:cstheme="majorHAnsi"/>
                <w:b/>
                <w:bCs/>
                <w:sz w:val="18"/>
                <w:szCs w:val="18"/>
                <w:highlight w:val="magenta"/>
                <w:lang w:eastAsia="fr-FR"/>
              </w:rPr>
              <w:t xml:space="preserve">USD </w:t>
            </w:r>
            <w:r w:rsidR="001F1DA8" w:rsidRPr="00F30D18">
              <w:rPr>
                <w:rFonts w:asciiTheme="majorHAnsi" w:eastAsia="Times New Roman" w:hAnsiTheme="majorHAnsi" w:cstheme="majorHAnsi"/>
                <w:b/>
                <w:bCs/>
                <w:sz w:val="18"/>
                <w:szCs w:val="18"/>
                <w:highlight w:val="magenta"/>
                <w:lang w:eastAsia="fr-FR"/>
              </w:rPr>
              <w:t>35</w:t>
            </w:r>
            <w:r w:rsidRPr="00F30D18">
              <w:rPr>
                <w:rFonts w:asciiTheme="majorHAnsi" w:eastAsia="Times New Roman" w:hAnsiTheme="majorHAnsi" w:cstheme="majorHAnsi"/>
                <w:b/>
                <w:bCs/>
                <w:sz w:val="18"/>
                <w:szCs w:val="18"/>
                <w:highlight w:val="magenta"/>
                <w:lang w:eastAsia="fr-FR"/>
              </w:rPr>
              <w:t>,000:</w:t>
            </w:r>
            <w:r w:rsidRPr="00F30D18">
              <w:rPr>
                <w:rFonts w:asciiTheme="majorHAnsi" w:eastAsia="Times New Roman" w:hAnsiTheme="majorHAnsi" w:cstheme="majorHAnsi"/>
                <w:sz w:val="18"/>
                <w:szCs w:val="18"/>
                <w:highlight w:val="magenta"/>
                <w:lang w:eastAsia="fr-FR"/>
              </w:rPr>
              <w:t xml:space="preserve"> Costs of portable computers and supplies for project staff (Over 5 years)</w:t>
            </w:r>
          </w:p>
        </w:tc>
      </w:tr>
      <w:tr w:rsidR="000A2A52" w:rsidRPr="00327CBE" w14:paraId="3BFCFDA6"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620E39DD"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32</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56CEB331" w14:textId="29AD0B24" w:rsidR="000A2A52" w:rsidRPr="008244FA" w:rsidRDefault="001F1DA8" w:rsidP="00327CBE">
            <w:pPr>
              <w:jc w:val="center"/>
              <w:rPr>
                <w:rFonts w:asciiTheme="majorHAnsi" w:eastAsia="Times New Roman" w:hAnsiTheme="majorHAnsi" w:cstheme="majorHAnsi"/>
                <w:color w:val="000000"/>
                <w:sz w:val="18"/>
                <w:szCs w:val="18"/>
                <w:lang w:val="fr-FR" w:eastAsia="fr-FR"/>
              </w:rPr>
            </w:pPr>
            <w:r>
              <w:rPr>
                <w:rFonts w:asciiTheme="majorHAnsi" w:eastAsia="Times New Roman" w:hAnsiTheme="majorHAnsi" w:cstheme="majorHAnsi"/>
                <w:color w:val="000000"/>
                <w:sz w:val="18"/>
                <w:szCs w:val="18"/>
                <w:lang w:val="fr-FR" w:eastAsia="fr-FR"/>
              </w:rPr>
              <w:t>100</w:t>
            </w:r>
            <w:r w:rsidR="000A2A52" w:rsidRPr="008244FA">
              <w:rPr>
                <w:rFonts w:asciiTheme="majorHAnsi" w:eastAsia="Times New Roman" w:hAnsiTheme="majorHAnsi" w:cstheme="majorHAnsi"/>
                <w:color w:val="000000"/>
                <w:sz w:val="18"/>
                <w:szCs w:val="18"/>
                <w:lang w:val="fr-FR" w:eastAsia="fr-FR"/>
              </w:rPr>
              <w:t>,000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52BD4BD2"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73100 </w:t>
            </w:r>
            <w:proofErr w:type="spellStart"/>
            <w:r w:rsidRPr="008244FA">
              <w:rPr>
                <w:rFonts w:asciiTheme="majorHAnsi" w:eastAsia="Times New Roman" w:hAnsiTheme="majorHAnsi" w:cstheme="majorHAnsi"/>
                <w:color w:val="000000"/>
                <w:sz w:val="18"/>
                <w:szCs w:val="18"/>
                <w:lang w:val="fr-FR" w:eastAsia="fr-FR"/>
              </w:rPr>
              <w:t>Rental</w:t>
            </w:r>
            <w:proofErr w:type="spellEnd"/>
            <w:r w:rsidRPr="008244FA">
              <w:rPr>
                <w:rFonts w:asciiTheme="majorHAnsi" w:eastAsia="Times New Roman" w:hAnsiTheme="majorHAnsi" w:cstheme="majorHAnsi"/>
                <w:color w:val="000000"/>
                <w:sz w:val="18"/>
                <w:szCs w:val="18"/>
                <w:lang w:val="fr-FR" w:eastAsia="fr-FR"/>
              </w:rPr>
              <w:t xml:space="preserve"> and Maintenance - </w:t>
            </w:r>
            <w:proofErr w:type="spellStart"/>
            <w:r w:rsidRPr="008244FA">
              <w:rPr>
                <w:rFonts w:asciiTheme="majorHAnsi" w:eastAsia="Times New Roman" w:hAnsiTheme="majorHAnsi" w:cstheme="majorHAnsi"/>
                <w:color w:val="000000"/>
                <w:sz w:val="18"/>
                <w:szCs w:val="18"/>
                <w:lang w:val="fr-FR" w:eastAsia="fr-FR"/>
              </w:rPr>
              <w:t>Premises</w:t>
            </w:r>
            <w:proofErr w:type="spellEnd"/>
            <w:r w:rsidRPr="008244FA">
              <w:rPr>
                <w:rFonts w:asciiTheme="majorHAnsi" w:eastAsia="Times New Roman" w:hAnsiTheme="majorHAnsi" w:cstheme="majorHAnsi"/>
                <w:color w:val="000000"/>
                <w:sz w:val="18"/>
                <w:szCs w:val="18"/>
                <w:lang w:val="fr-FR" w:eastAsia="fr-FR"/>
              </w:rPr>
              <w:t xml:space="preserve"> </w:t>
            </w: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43129C25" w14:textId="6159681E" w:rsidR="000A2A52" w:rsidRPr="008244FA" w:rsidRDefault="000A2A52" w:rsidP="00327CBE">
            <w:pPr>
              <w:rPr>
                <w:rFonts w:asciiTheme="majorHAnsi" w:eastAsia="Times New Roman" w:hAnsiTheme="majorHAnsi" w:cstheme="majorHAnsi"/>
                <w:sz w:val="18"/>
                <w:szCs w:val="18"/>
                <w:lang w:eastAsia="fr-FR"/>
              </w:rPr>
            </w:pPr>
            <w:r w:rsidRPr="008244FA">
              <w:rPr>
                <w:rFonts w:asciiTheme="majorHAnsi" w:eastAsia="Times New Roman" w:hAnsiTheme="majorHAnsi" w:cstheme="majorHAnsi"/>
                <w:sz w:val="18"/>
                <w:szCs w:val="18"/>
                <w:lang w:eastAsia="fr-FR"/>
              </w:rPr>
              <w:t xml:space="preserve"> </w:t>
            </w:r>
            <w:r w:rsidRPr="00F30D18">
              <w:rPr>
                <w:rFonts w:asciiTheme="majorHAnsi" w:eastAsia="Times New Roman" w:hAnsiTheme="majorHAnsi" w:cstheme="majorHAnsi"/>
                <w:b/>
                <w:bCs/>
                <w:sz w:val="18"/>
                <w:szCs w:val="18"/>
                <w:highlight w:val="magenta"/>
                <w:lang w:eastAsia="fr-FR"/>
              </w:rPr>
              <w:t xml:space="preserve">USD </w:t>
            </w:r>
            <w:r w:rsidR="001F1DA8" w:rsidRPr="00F30D18">
              <w:rPr>
                <w:rFonts w:asciiTheme="majorHAnsi" w:eastAsia="Times New Roman" w:hAnsiTheme="majorHAnsi" w:cstheme="majorHAnsi"/>
                <w:b/>
                <w:bCs/>
                <w:sz w:val="18"/>
                <w:szCs w:val="18"/>
                <w:highlight w:val="magenta"/>
                <w:lang w:eastAsia="fr-FR"/>
              </w:rPr>
              <w:t>100</w:t>
            </w:r>
            <w:r w:rsidRPr="00F30D18">
              <w:rPr>
                <w:rFonts w:asciiTheme="majorHAnsi" w:eastAsia="Times New Roman" w:hAnsiTheme="majorHAnsi" w:cstheme="majorHAnsi"/>
                <w:b/>
                <w:bCs/>
                <w:sz w:val="18"/>
                <w:szCs w:val="18"/>
                <w:highlight w:val="magenta"/>
                <w:lang w:eastAsia="fr-FR"/>
              </w:rPr>
              <w:t>,000:</w:t>
            </w:r>
            <w:r w:rsidRPr="00F30D18">
              <w:rPr>
                <w:rFonts w:asciiTheme="majorHAnsi" w:eastAsia="Times New Roman" w:hAnsiTheme="majorHAnsi" w:cstheme="majorHAnsi"/>
                <w:sz w:val="18"/>
                <w:szCs w:val="18"/>
                <w:highlight w:val="magenta"/>
                <w:lang w:eastAsia="fr-FR"/>
              </w:rPr>
              <w:t xml:space="preserve"> Costs of office rental and maintenance (over 5 years)</w:t>
            </w:r>
          </w:p>
        </w:tc>
      </w:tr>
      <w:tr w:rsidR="000A2A52" w:rsidRPr="00327CBE" w14:paraId="1BE3C537" w14:textId="77777777" w:rsidTr="008244FA">
        <w:trPr>
          <w:trHeight w:val="20"/>
        </w:trPr>
        <w:tc>
          <w:tcPr>
            <w:tcW w:w="1144" w:type="dxa"/>
            <w:tcBorders>
              <w:top w:val="nil"/>
              <w:left w:val="single" w:sz="8" w:space="0" w:color="auto"/>
              <w:bottom w:val="single" w:sz="8" w:space="0" w:color="auto"/>
              <w:right w:val="single" w:sz="8" w:space="0" w:color="auto"/>
            </w:tcBorders>
            <w:shd w:val="clear" w:color="auto" w:fill="auto"/>
            <w:vAlign w:val="center"/>
            <w:hideMark/>
          </w:tcPr>
          <w:p w14:paraId="739BAAB5"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33</w:t>
            </w:r>
          </w:p>
        </w:tc>
        <w:tc>
          <w:tcPr>
            <w:tcW w:w="1256" w:type="dxa"/>
            <w:tcBorders>
              <w:top w:val="single" w:sz="8" w:space="0" w:color="auto"/>
              <w:left w:val="nil"/>
              <w:bottom w:val="single" w:sz="8" w:space="0" w:color="auto"/>
              <w:right w:val="single" w:sz="8" w:space="0" w:color="000000"/>
            </w:tcBorders>
            <w:shd w:val="clear" w:color="auto" w:fill="auto"/>
            <w:vAlign w:val="center"/>
            <w:hideMark/>
          </w:tcPr>
          <w:p w14:paraId="35F0E70D" w14:textId="3FF8A413" w:rsidR="000A2A52" w:rsidRPr="008244FA" w:rsidRDefault="00F30D18" w:rsidP="00327CBE">
            <w:pPr>
              <w:jc w:val="center"/>
              <w:rPr>
                <w:rFonts w:asciiTheme="majorHAnsi" w:eastAsia="Times New Roman" w:hAnsiTheme="majorHAnsi" w:cstheme="majorHAnsi"/>
                <w:color w:val="000000"/>
                <w:sz w:val="18"/>
                <w:szCs w:val="18"/>
                <w:lang w:val="fr-FR" w:eastAsia="fr-FR"/>
              </w:rPr>
            </w:pPr>
            <w:r>
              <w:rPr>
                <w:rFonts w:asciiTheme="majorHAnsi" w:eastAsia="Times New Roman" w:hAnsiTheme="majorHAnsi" w:cstheme="majorHAnsi"/>
                <w:color w:val="000000"/>
                <w:sz w:val="18"/>
                <w:szCs w:val="18"/>
                <w:lang w:val="fr-FR" w:eastAsia="fr-FR"/>
              </w:rPr>
              <w:t>50,000</w:t>
            </w:r>
          </w:p>
        </w:tc>
        <w:tc>
          <w:tcPr>
            <w:tcW w:w="2126" w:type="dxa"/>
            <w:tcBorders>
              <w:top w:val="single" w:sz="8" w:space="0" w:color="auto"/>
              <w:left w:val="nil"/>
              <w:bottom w:val="single" w:sz="8" w:space="0" w:color="auto"/>
              <w:right w:val="single" w:sz="8" w:space="0" w:color="000000"/>
            </w:tcBorders>
            <w:shd w:val="clear" w:color="auto" w:fill="auto"/>
            <w:vAlign w:val="center"/>
            <w:hideMark/>
          </w:tcPr>
          <w:p w14:paraId="75DCBCF4" w14:textId="77777777" w:rsidR="000A2A52" w:rsidRPr="008244FA" w:rsidRDefault="000A2A52" w:rsidP="00327CBE">
            <w:pPr>
              <w:jc w:val="cente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eastAsia="fr-FR"/>
              </w:rPr>
              <w:t xml:space="preserve">73400 Rental and Maintenance – other equipment </w:t>
            </w:r>
          </w:p>
        </w:tc>
        <w:tc>
          <w:tcPr>
            <w:tcW w:w="9939" w:type="dxa"/>
            <w:gridSpan w:val="6"/>
            <w:tcBorders>
              <w:top w:val="single" w:sz="8" w:space="0" w:color="auto"/>
              <w:left w:val="nil"/>
              <w:bottom w:val="single" w:sz="8" w:space="0" w:color="auto"/>
              <w:right w:val="single" w:sz="8" w:space="0" w:color="000000"/>
            </w:tcBorders>
            <w:shd w:val="clear" w:color="auto" w:fill="auto"/>
            <w:vAlign w:val="center"/>
            <w:hideMark/>
          </w:tcPr>
          <w:p w14:paraId="3049D7AD" w14:textId="3241699E" w:rsidR="000A2A52" w:rsidRPr="008244FA" w:rsidRDefault="000A2A52" w:rsidP="00327CBE">
            <w:pPr>
              <w:rPr>
                <w:rFonts w:asciiTheme="majorHAnsi" w:eastAsia="Times New Roman" w:hAnsiTheme="majorHAnsi" w:cstheme="majorHAnsi"/>
                <w:sz w:val="18"/>
                <w:szCs w:val="18"/>
                <w:lang w:eastAsia="fr-FR"/>
              </w:rPr>
            </w:pPr>
            <w:r w:rsidRPr="00F30D18">
              <w:rPr>
                <w:rFonts w:asciiTheme="majorHAnsi" w:eastAsia="Times New Roman" w:hAnsiTheme="majorHAnsi" w:cstheme="majorHAnsi"/>
                <w:b/>
                <w:bCs/>
                <w:sz w:val="18"/>
                <w:szCs w:val="18"/>
                <w:highlight w:val="magenta"/>
                <w:lang w:eastAsia="fr-FR"/>
              </w:rPr>
              <w:t xml:space="preserve">USD </w:t>
            </w:r>
            <w:r w:rsidR="00F30D18" w:rsidRPr="00F30D18">
              <w:rPr>
                <w:rFonts w:asciiTheme="majorHAnsi" w:eastAsia="Times New Roman" w:hAnsiTheme="majorHAnsi" w:cstheme="majorHAnsi"/>
                <w:b/>
                <w:bCs/>
                <w:sz w:val="18"/>
                <w:szCs w:val="18"/>
                <w:highlight w:val="magenta"/>
                <w:lang w:eastAsia="fr-FR"/>
              </w:rPr>
              <w:t>50</w:t>
            </w:r>
            <w:r w:rsidRPr="00F30D18">
              <w:rPr>
                <w:rFonts w:asciiTheme="majorHAnsi" w:eastAsia="Times New Roman" w:hAnsiTheme="majorHAnsi" w:cstheme="majorHAnsi"/>
                <w:b/>
                <w:bCs/>
                <w:sz w:val="18"/>
                <w:szCs w:val="18"/>
                <w:highlight w:val="magenta"/>
                <w:lang w:eastAsia="fr-FR"/>
              </w:rPr>
              <w:t>,</w:t>
            </w:r>
            <w:r w:rsidR="00F30D18" w:rsidRPr="00F30D18">
              <w:rPr>
                <w:rFonts w:asciiTheme="majorHAnsi" w:eastAsia="Times New Roman" w:hAnsiTheme="majorHAnsi" w:cstheme="majorHAnsi"/>
                <w:b/>
                <w:bCs/>
                <w:sz w:val="18"/>
                <w:szCs w:val="18"/>
                <w:highlight w:val="magenta"/>
                <w:lang w:eastAsia="fr-FR"/>
              </w:rPr>
              <w:t>000</w:t>
            </w:r>
            <w:r w:rsidRPr="00F30D18">
              <w:rPr>
                <w:rFonts w:asciiTheme="majorHAnsi" w:eastAsia="Times New Roman" w:hAnsiTheme="majorHAnsi" w:cstheme="majorHAnsi"/>
                <w:b/>
                <w:bCs/>
                <w:sz w:val="18"/>
                <w:szCs w:val="18"/>
                <w:highlight w:val="magenta"/>
                <w:lang w:eastAsia="fr-FR"/>
              </w:rPr>
              <w:t xml:space="preserve">: </w:t>
            </w:r>
            <w:r w:rsidRPr="00F30D18">
              <w:rPr>
                <w:rFonts w:asciiTheme="majorHAnsi" w:eastAsia="Times New Roman" w:hAnsiTheme="majorHAnsi" w:cstheme="majorHAnsi"/>
                <w:sz w:val="18"/>
                <w:szCs w:val="18"/>
                <w:highlight w:val="magenta"/>
                <w:lang w:eastAsia="fr-FR"/>
              </w:rPr>
              <w:t xml:space="preserve">Costs of rental and maintenance of cars and </w:t>
            </w:r>
            <w:proofErr w:type="gramStart"/>
            <w:r w:rsidRPr="00F30D18">
              <w:rPr>
                <w:rFonts w:asciiTheme="majorHAnsi" w:eastAsia="Times New Roman" w:hAnsiTheme="majorHAnsi" w:cstheme="majorHAnsi"/>
                <w:sz w:val="18"/>
                <w:szCs w:val="18"/>
                <w:highlight w:val="magenta"/>
                <w:lang w:eastAsia="fr-FR"/>
              </w:rPr>
              <w:t>others</w:t>
            </w:r>
            <w:proofErr w:type="gramEnd"/>
            <w:r w:rsidRPr="00F30D18">
              <w:rPr>
                <w:rFonts w:asciiTheme="majorHAnsi" w:eastAsia="Times New Roman" w:hAnsiTheme="majorHAnsi" w:cstheme="majorHAnsi"/>
                <w:sz w:val="18"/>
                <w:szCs w:val="18"/>
                <w:highlight w:val="magenta"/>
                <w:lang w:eastAsia="fr-FR"/>
              </w:rPr>
              <w:t xml:space="preserve"> materials (Over 5 years)</w:t>
            </w:r>
          </w:p>
        </w:tc>
      </w:tr>
      <w:tr w:rsidR="000A2A52" w:rsidRPr="00327CBE" w14:paraId="26E5D47F" w14:textId="77777777" w:rsidTr="008244FA">
        <w:trPr>
          <w:trHeight w:val="20"/>
        </w:trPr>
        <w:tc>
          <w:tcPr>
            <w:tcW w:w="1144" w:type="dxa"/>
            <w:vMerge w:val="restart"/>
            <w:tcBorders>
              <w:top w:val="nil"/>
              <w:left w:val="single" w:sz="8" w:space="0" w:color="auto"/>
              <w:bottom w:val="single" w:sz="8" w:space="0" w:color="000000"/>
              <w:right w:val="single" w:sz="8" w:space="0" w:color="auto"/>
            </w:tcBorders>
            <w:shd w:val="clear" w:color="auto" w:fill="auto"/>
            <w:vAlign w:val="center"/>
            <w:hideMark/>
          </w:tcPr>
          <w:p w14:paraId="0C119FC2"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34</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1B2A819D" w14:textId="0B2528C1" w:rsidR="000A2A52" w:rsidRPr="008244FA" w:rsidRDefault="001F1DA8" w:rsidP="00327CBE">
            <w:pPr>
              <w:jc w:val="center"/>
              <w:rPr>
                <w:rFonts w:asciiTheme="majorHAnsi" w:eastAsia="Times New Roman" w:hAnsiTheme="majorHAnsi" w:cstheme="majorHAnsi"/>
                <w:color w:val="000000"/>
                <w:sz w:val="18"/>
                <w:szCs w:val="18"/>
                <w:lang w:val="fr-FR" w:eastAsia="fr-FR"/>
              </w:rPr>
            </w:pPr>
            <w:r>
              <w:rPr>
                <w:rFonts w:asciiTheme="majorHAnsi" w:eastAsia="Times New Roman" w:hAnsiTheme="majorHAnsi" w:cstheme="majorHAnsi"/>
                <w:color w:val="000000"/>
                <w:sz w:val="18"/>
                <w:szCs w:val="18"/>
                <w:lang w:val="fr-FR" w:eastAsia="fr-FR"/>
              </w:rPr>
              <w:t>34</w:t>
            </w:r>
            <w:r w:rsidR="000A2A52" w:rsidRPr="008244FA">
              <w:rPr>
                <w:rFonts w:asciiTheme="majorHAnsi" w:eastAsia="Times New Roman" w:hAnsiTheme="majorHAnsi" w:cstheme="majorHAnsi"/>
                <w:color w:val="000000"/>
                <w:sz w:val="18"/>
                <w:szCs w:val="18"/>
                <w:lang w:val="fr-FR" w:eastAsia="fr-FR"/>
              </w:rPr>
              <w:t>,000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48BB16FC" w14:textId="77777777" w:rsidR="000A2A52" w:rsidRPr="008244FA" w:rsidRDefault="000A2A52" w:rsidP="00327CBE">
            <w:pPr>
              <w:jc w:val="cente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eastAsia="fr-FR"/>
              </w:rPr>
              <w:t xml:space="preserve">74200 Audio </w:t>
            </w:r>
            <w:proofErr w:type="spellStart"/>
            <w:r w:rsidRPr="008244FA">
              <w:rPr>
                <w:rFonts w:asciiTheme="majorHAnsi" w:eastAsia="Times New Roman" w:hAnsiTheme="majorHAnsi" w:cstheme="majorHAnsi"/>
                <w:color w:val="000000"/>
                <w:sz w:val="18"/>
                <w:szCs w:val="18"/>
                <w:lang w:eastAsia="fr-FR"/>
              </w:rPr>
              <w:t>Visual&amp;Print</w:t>
            </w:r>
            <w:proofErr w:type="spellEnd"/>
            <w:r w:rsidRPr="008244FA">
              <w:rPr>
                <w:rFonts w:asciiTheme="majorHAnsi" w:eastAsia="Times New Roman" w:hAnsiTheme="majorHAnsi" w:cstheme="majorHAnsi"/>
                <w:color w:val="000000"/>
                <w:sz w:val="18"/>
                <w:szCs w:val="18"/>
                <w:lang w:eastAsia="fr-FR"/>
              </w:rPr>
              <w:t xml:space="preserve"> Prod Costs </w:t>
            </w:r>
          </w:p>
        </w:tc>
        <w:tc>
          <w:tcPr>
            <w:tcW w:w="9939" w:type="dxa"/>
            <w:gridSpan w:val="6"/>
            <w:tcBorders>
              <w:top w:val="single" w:sz="8" w:space="0" w:color="auto"/>
              <w:left w:val="nil"/>
              <w:bottom w:val="nil"/>
              <w:right w:val="single" w:sz="8" w:space="0" w:color="000000"/>
            </w:tcBorders>
            <w:shd w:val="clear" w:color="auto" w:fill="auto"/>
            <w:vAlign w:val="center"/>
            <w:hideMark/>
          </w:tcPr>
          <w:p w14:paraId="4C6DAF2B" w14:textId="77777777" w:rsidR="000A2A52" w:rsidRPr="001F1DA8" w:rsidRDefault="000A2A52" w:rsidP="00327CBE">
            <w:pPr>
              <w:rPr>
                <w:rFonts w:asciiTheme="majorHAnsi" w:eastAsia="Times New Roman" w:hAnsiTheme="majorHAnsi" w:cstheme="majorHAnsi"/>
                <w:sz w:val="18"/>
                <w:szCs w:val="18"/>
                <w:highlight w:val="cyan"/>
                <w:lang w:eastAsia="fr-FR"/>
              </w:rPr>
            </w:pPr>
            <w:r w:rsidRPr="001F1DA8">
              <w:rPr>
                <w:rFonts w:asciiTheme="majorHAnsi" w:eastAsia="Times New Roman" w:hAnsiTheme="majorHAnsi" w:cstheme="majorHAnsi"/>
                <w:b/>
                <w:bCs/>
                <w:sz w:val="18"/>
                <w:szCs w:val="18"/>
                <w:highlight w:val="cyan"/>
                <w:lang w:eastAsia="fr-FR"/>
              </w:rPr>
              <w:t>USD20,000:</w:t>
            </w:r>
            <w:r w:rsidRPr="001F1DA8">
              <w:rPr>
                <w:rFonts w:asciiTheme="majorHAnsi" w:eastAsia="Times New Roman" w:hAnsiTheme="majorHAnsi" w:cstheme="majorHAnsi"/>
                <w:sz w:val="18"/>
                <w:szCs w:val="18"/>
                <w:highlight w:val="cyan"/>
                <w:lang w:eastAsia="fr-FR"/>
              </w:rPr>
              <w:t xml:space="preserve"> Publishing services in support of Output 3.2 (Communication strategy)</w:t>
            </w:r>
          </w:p>
        </w:tc>
      </w:tr>
      <w:tr w:rsidR="000A2A52" w:rsidRPr="00327CBE" w14:paraId="3C9CCDB1" w14:textId="77777777" w:rsidTr="001F1DA8">
        <w:trPr>
          <w:trHeight w:val="20"/>
        </w:trPr>
        <w:tc>
          <w:tcPr>
            <w:tcW w:w="1144" w:type="dxa"/>
            <w:vMerge/>
            <w:tcBorders>
              <w:top w:val="nil"/>
              <w:left w:val="single" w:sz="8" w:space="0" w:color="auto"/>
              <w:bottom w:val="single" w:sz="8" w:space="0" w:color="000000"/>
              <w:right w:val="single" w:sz="8" w:space="0" w:color="auto"/>
            </w:tcBorders>
            <w:vAlign w:val="center"/>
            <w:hideMark/>
          </w:tcPr>
          <w:p w14:paraId="5A15D7BD"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1302521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5B1318F0"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tcPr>
          <w:p w14:paraId="06B082F6" w14:textId="3DFC2529" w:rsidR="000A2A52" w:rsidRPr="001F1DA8" w:rsidRDefault="000A2A52" w:rsidP="00327CBE">
            <w:pPr>
              <w:rPr>
                <w:rFonts w:asciiTheme="majorHAnsi" w:eastAsia="Times New Roman" w:hAnsiTheme="majorHAnsi" w:cstheme="majorHAnsi"/>
                <w:sz w:val="18"/>
                <w:szCs w:val="18"/>
                <w:highlight w:val="cyan"/>
                <w:lang w:eastAsia="fr-FR"/>
              </w:rPr>
            </w:pPr>
          </w:p>
        </w:tc>
      </w:tr>
      <w:tr w:rsidR="000A2A52" w:rsidRPr="00327CBE" w14:paraId="15784D6C" w14:textId="77777777" w:rsidTr="001F1DA8">
        <w:trPr>
          <w:trHeight w:val="86"/>
        </w:trPr>
        <w:tc>
          <w:tcPr>
            <w:tcW w:w="1144" w:type="dxa"/>
            <w:vMerge/>
            <w:tcBorders>
              <w:top w:val="nil"/>
              <w:left w:val="single" w:sz="8" w:space="0" w:color="auto"/>
              <w:bottom w:val="single" w:sz="8" w:space="0" w:color="000000"/>
              <w:right w:val="single" w:sz="8" w:space="0" w:color="auto"/>
            </w:tcBorders>
            <w:vAlign w:val="center"/>
            <w:hideMark/>
          </w:tcPr>
          <w:p w14:paraId="668BCD39"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1C4D0051"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5111D986"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34D2C910" w14:textId="77777777" w:rsidR="000A2A52" w:rsidRPr="001F1DA8" w:rsidRDefault="000A2A52" w:rsidP="00327CBE">
            <w:pPr>
              <w:rPr>
                <w:rFonts w:asciiTheme="majorHAnsi" w:eastAsia="Times New Roman" w:hAnsiTheme="majorHAnsi" w:cstheme="majorHAnsi"/>
                <w:sz w:val="18"/>
                <w:szCs w:val="18"/>
                <w:highlight w:val="cyan"/>
                <w:lang w:eastAsia="fr-FR"/>
              </w:rPr>
            </w:pPr>
            <w:r w:rsidRPr="001F1DA8">
              <w:rPr>
                <w:rFonts w:asciiTheme="majorHAnsi" w:eastAsia="Times New Roman" w:hAnsiTheme="majorHAnsi" w:cstheme="majorHAnsi"/>
                <w:b/>
                <w:bCs/>
                <w:sz w:val="18"/>
                <w:szCs w:val="18"/>
                <w:highlight w:val="cyan"/>
                <w:lang w:eastAsia="fr-FR"/>
              </w:rPr>
              <w:t>USD 14,000:</w:t>
            </w:r>
            <w:r w:rsidRPr="001F1DA8">
              <w:rPr>
                <w:rFonts w:asciiTheme="majorHAnsi" w:eastAsia="Times New Roman" w:hAnsiTheme="majorHAnsi" w:cstheme="majorHAnsi"/>
                <w:sz w:val="18"/>
                <w:szCs w:val="18"/>
                <w:highlight w:val="cyan"/>
                <w:lang w:eastAsia="fr-FR"/>
              </w:rPr>
              <w:t xml:space="preserve"> Final report in support of Output 3.3 (Monitoring and evaluation strategy)</w:t>
            </w:r>
          </w:p>
        </w:tc>
      </w:tr>
      <w:tr w:rsidR="000A2A52" w:rsidRPr="00327CBE" w14:paraId="375CBBAA" w14:textId="77777777" w:rsidTr="008244FA">
        <w:trPr>
          <w:trHeight w:val="20"/>
        </w:trPr>
        <w:tc>
          <w:tcPr>
            <w:tcW w:w="1144" w:type="dxa"/>
            <w:vMerge w:val="restart"/>
            <w:tcBorders>
              <w:top w:val="nil"/>
              <w:left w:val="single" w:sz="8" w:space="0" w:color="auto"/>
              <w:bottom w:val="single" w:sz="8" w:space="0" w:color="000000"/>
              <w:right w:val="single" w:sz="8" w:space="0" w:color="auto"/>
            </w:tcBorders>
            <w:shd w:val="clear" w:color="auto" w:fill="auto"/>
            <w:vAlign w:val="center"/>
            <w:hideMark/>
          </w:tcPr>
          <w:p w14:paraId="433EDD35" w14:textId="77777777" w:rsidR="000A2A52" w:rsidRPr="008244FA" w:rsidRDefault="000A2A52" w:rsidP="00327CBE">
            <w:pPr>
              <w:jc w:val="right"/>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35</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5DB92433" w14:textId="1EBB2624" w:rsidR="000A2A52" w:rsidRPr="008244FA" w:rsidRDefault="001F1DA8" w:rsidP="00327CBE">
            <w:pPr>
              <w:jc w:val="center"/>
              <w:rPr>
                <w:rFonts w:asciiTheme="majorHAnsi" w:eastAsia="Times New Roman" w:hAnsiTheme="majorHAnsi" w:cstheme="majorHAnsi"/>
                <w:color w:val="000000"/>
                <w:sz w:val="18"/>
                <w:szCs w:val="18"/>
                <w:lang w:val="fr-FR" w:eastAsia="fr-FR"/>
              </w:rPr>
            </w:pPr>
            <w:r>
              <w:rPr>
                <w:rFonts w:asciiTheme="majorHAnsi" w:eastAsia="Times New Roman" w:hAnsiTheme="majorHAnsi" w:cstheme="majorHAnsi"/>
                <w:color w:val="000000"/>
                <w:sz w:val="18"/>
                <w:szCs w:val="18"/>
                <w:lang w:val="fr-FR" w:eastAsia="fr-FR"/>
              </w:rPr>
              <w:t>61</w:t>
            </w:r>
            <w:r w:rsidR="000A2A52" w:rsidRPr="008244FA">
              <w:rPr>
                <w:rFonts w:asciiTheme="majorHAnsi" w:eastAsia="Times New Roman" w:hAnsiTheme="majorHAnsi" w:cstheme="majorHAnsi"/>
                <w:color w:val="000000"/>
                <w:sz w:val="18"/>
                <w:szCs w:val="18"/>
                <w:lang w:val="fr-FR" w:eastAsia="fr-FR"/>
              </w:rPr>
              <w:t>,000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14:paraId="22AEB296" w14:textId="77777777" w:rsidR="000A2A52" w:rsidRPr="008244FA" w:rsidRDefault="000A2A52" w:rsidP="00327CBE">
            <w:pPr>
              <w:jc w:val="cente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75700   Training</w:t>
            </w:r>
          </w:p>
        </w:tc>
        <w:tc>
          <w:tcPr>
            <w:tcW w:w="9939" w:type="dxa"/>
            <w:gridSpan w:val="6"/>
            <w:tcBorders>
              <w:top w:val="single" w:sz="8" w:space="0" w:color="auto"/>
              <w:left w:val="nil"/>
              <w:bottom w:val="nil"/>
              <w:right w:val="single" w:sz="8" w:space="0" w:color="000000"/>
            </w:tcBorders>
            <w:shd w:val="clear" w:color="auto" w:fill="auto"/>
            <w:vAlign w:val="center"/>
            <w:hideMark/>
          </w:tcPr>
          <w:p w14:paraId="2305FA36" w14:textId="3BAB88E1" w:rsidR="000A2A52" w:rsidRPr="001F1DA8" w:rsidRDefault="000A2A52" w:rsidP="00327CBE">
            <w:pPr>
              <w:rPr>
                <w:rFonts w:asciiTheme="majorHAnsi" w:eastAsia="Times New Roman" w:hAnsiTheme="majorHAnsi" w:cstheme="majorHAnsi"/>
                <w:sz w:val="18"/>
                <w:szCs w:val="18"/>
                <w:highlight w:val="cyan"/>
                <w:lang w:eastAsia="fr-FR"/>
              </w:rPr>
            </w:pPr>
            <w:r w:rsidRPr="001F1DA8">
              <w:rPr>
                <w:rFonts w:asciiTheme="majorHAnsi" w:eastAsia="Times New Roman" w:hAnsiTheme="majorHAnsi" w:cstheme="majorHAnsi"/>
                <w:b/>
                <w:bCs/>
                <w:sz w:val="18"/>
                <w:szCs w:val="18"/>
                <w:highlight w:val="cyan"/>
                <w:lang w:eastAsia="fr-FR"/>
              </w:rPr>
              <w:t>USD 2</w:t>
            </w:r>
            <w:r w:rsidR="001F1DA8" w:rsidRPr="001F1DA8">
              <w:rPr>
                <w:rFonts w:asciiTheme="majorHAnsi" w:eastAsia="Times New Roman" w:hAnsiTheme="majorHAnsi" w:cstheme="majorHAnsi"/>
                <w:b/>
                <w:bCs/>
                <w:sz w:val="18"/>
                <w:szCs w:val="18"/>
                <w:highlight w:val="cyan"/>
                <w:lang w:eastAsia="fr-FR"/>
              </w:rPr>
              <w:t>2,</w:t>
            </w:r>
            <w:r w:rsidRPr="001F1DA8">
              <w:rPr>
                <w:rFonts w:asciiTheme="majorHAnsi" w:eastAsia="Times New Roman" w:hAnsiTheme="majorHAnsi" w:cstheme="majorHAnsi"/>
                <w:b/>
                <w:bCs/>
                <w:sz w:val="18"/>
                <w:szCs w:val="18"/>
                <w:highlight w:val="cyan"/>
                <w:lang w:eastAsia="fr-FR"/>
              </w:rPr>
              <w:t xml:space="preserve">000: </w:t>
            </w:r>
            <w:r w:rsidRPr="001F1DA8">
              <w:rPr>
                <w:rFonts w:asciiTheme="majorHAnsi" w:eastAsia="Times New Roman" w:hAnsiTheme="majorHAnsi" w:cstheme="majorHAnsi"/>
                <w:sz w:val="18"/>
                <w:szCs w:val="18"/>
                <w:highlight w:val="cyan"/>
                <w:lang w:eastAsia="fr-FR"/>
              </w:rPr>
              <w:t xml:space="preserve">8 </w:t>
            </w:r>
            <w:proofErr w:type="spellStart"/>
            <w:r w:rsidRPr="001F1DA8">
              <w:rPr>
                <w:rFonts w:asciiTheme="majorHAnsi" w:eastAsia="Times New Roman" w:hAnsiTheme="majorHAnsi" w:cstheme="majorHAnsi"/>
                <w:sz w:val="18"/>
                <w:szCs w:val="18"/>
                <w:highlight w:val="cyan"/>
                <w:lang w:eastAsia="fr-FR"/>
              </w:rPr>
              <w:t>Worshops</w:t>
            </w:r>
            <w:proofErr w:type="spellEnd"/>
            <w:r w:rsidRPr="001F1DA8">
              <w:rPr>
                <w:rFonts w:asciiTheme="majorHAnsi" w:eastAsia="Times New Roman" w:hAnsiTheme="majorHAnsi" w:cstheme="majorHAnsi"/>
                <w:sz w:val="18"/>
                <w:szCs w:val="18"/>
                <w:highlight w:val="cyan"/>
                <w:lang w:eastAsia="fr-FR"/>
              </w:rPr>
              <w:t xml:space="preserve"> for study presentation and validation</w:t>
            </w:r>
          </w:p>
        </w:tc>
      </w:tr>
      <w:tr w:rsidR="000A2A52" w:rsidRPr="00327CBE" w14:paraId="51080FF1"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7B983E9F"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1AA7601C"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221EDFE0"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nil"/>
              <w:right w:val="single" w:sz="8" w:space="0" w:color="000000"/>
            </w:tcBorders>
            <w:shd w:val="clear" w:color="auto" w:fill="auto"/>
            <w:vAlign w:val="center"/>
            <w:hideMark/>
          </w:tcPr>
          <w:p w14:paraId="157F55B7" w14:textId="1EF61982" w:rsidR="000A2A52" w:rsidRPr="001F1DA8" w:rsidRDefault="000A2A52" w:rsidP="00327CBE">
            <w:pPr>
              <w:rPr>
                <w:rFonts w:asciiTheme="majorHAnsi" w:eastAsia="Times New Roman" w:hAnsiTheme="majorHAnsi" w:cstheme="majorHAnsi"/>
                <w:sz w:val="18"/>
                <w:szCs w:val="18"/>
                <w:highlight w:val="cyan"/>
                <w:lang w:val="fr-FR" w:eastAsia="fr-FR"/>
              </w:rPr>
            </w:pPr>
            <w:r w:rsidRPr="001F1DA8">
              <w:rPr>
                <w:rFonts w:asciiTheme="majorHAnsi" w:eastAsia="Times New Roman" w:hAnsiTheme="majorHAnsi" w:cstheme="majorHAnsi"/>
                <w:b/>
                <w:bCs/>
                <w:sz w:val="18"/>
                <w:szCs w:val="18"/>
                <w:highlight w:val="cyan"/>
                <w:lang w:val="fr-FR" w:eastAsia="fr-FR"/>
              </w:rPr>
              <w:t>USD</w:t>
            </w:r>
            <w:r w:rsidR="001F1DA8" w:rsidRPr="001F1DA8">
              <w:rPr>
                <w:rFonts w:asciiTheme="majorHAnsi" w:eastAsia="Times New Roman" w:hAnsiTheme="majorHAnsi" w:cstheme="majorHAnsi"/>
                <w:b/>
                <w:bCs/>
                <w:sz w:val="18"/>
                <w:szCs w:val="18"/>
                <w:highlight w:val="cyan"/>
                <w:lang w:val="fr-FR" w:eastAsia="fr-FR"/>
              </w:rPr>
              <w:t xml:space="preserve"> 9</w:t>
            </w:r>
            <w:r w:rsidRPr="001F1DA8">
              <w:rPr>
                <w:rFonts w:asciiTheme="majorHAnsi" w:eastAsia="Times New Roman" w:hAnsiTheme="majorHAnsi" w:cstheme="majorHAnsi"/>
                <w:b/>
                <w:bCs/>
                <w:sz w:val="18"/>
                <w:szCs w:val="18"/>
                <w:highlight w:val="cyan"/>
                <w:lang w:val="fr-FR" w:eastAsia="fr-FR"/>
              </w:rPr>
              <w:t>,000:</w:t>
            </w:r>
            <w:r w:rsidRPr="001F1DA8">
              <w:rPr>
                <w:rFonts w:asciiTheme="majorHAnsi" w:eastAsia="Times New Roman" w:hAnsiTheme="majorHAnsi" w:cstheme="majorHAnsi"/>
                <w:sz w:val="18"/>
                <w:szCs w:val="18"/>
                <w:highlight w:val="cyan"/>
                <w:lang w:val="fr-FR" w:eastAsia="fr-FR"/>
              </w:rPr>
              <w:t xml:space="preserve"> Inception workshop</w:t>
            </w:r>
          </w:p>
        </w:tc>
      </w:tr>
      <w:tr w:rsidR="000A2A52" w:rsidRPr="00327CBE" w14:paraId="2DE3091C"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3D586ED0"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049FE860"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05A250F1" w14:textId="77777777" w:rsidR="000A2A52" w:rsidRPr="008244FA" w:rsidRDefault="000A2A52" w:rsidP="00327CBE">
            <w:pPr>
              <w:rPr>
                <w:rFonts w:asciiTheme="majorHAnsi" w:eastAsia="Times New Roman" w:hAnsiTheme="majorHAnsi" w:cstheme="majorHAnsi"/>
                <w:color w:val="000000"/>
                <w:sz w:val="18"/>
                <w:szCs w:val="18"/>
                <w:lang w:val="fr-FR" w:eastAsia="fr-FR"/>
              </w:rPr>
            </w:pPr>
          </w:p>
        </w:tc>
        <w:tc>
          <w:tcPr>
            <w:tcW w:w="9939" w:type="dxa"/>
            <w:gridSpan w:val="6"/>
            <w:tcBorders>
              <w:top w:val="nil"/>
              <w:left w:val="nil"/>
              <w:bottom w:val="nil"/>
              <w:right w:val="single" w:sz="8" w:space="0" w:color="000000"/>
            </w:tcBorders>
            <w:shd w:val="clear" w:color="auto" w:fill="auto"/>
            <w:vAlign w:val="center"/>
            <w:hideMark/>
          </w:tcPr>
          <w:p w14:paraId="3F07EB84" w14:textId="6198969D" w:rsidR="000A2A52" w:rsidRPr="001F1DA8" w:rsidRDefault="000A2A52" w:rsidP="00327CBE">
            <w:pPr>
              <w:rPr>
                <w:rFonts w:asciiTheme="majorHAnsi" w:eastAsia="Times New Roman" w:hAnsiTheme="majorHAnsi" w:cstheme="majorHAnsi"/>
                <w:sz w:val="18"/>
                <w:szCs w:val="18"/>
                <w:highlight w:val="cyan"/>
                <w:lang w:eastAsia="fr-FR"/>
              </w:rPr>
            </w:pPr>
            <w:r w:rsidRPr="001F1DA8">
              <w:rPr>
                <w:rFonts w:asciiTheme="majorHAnsi" w:eastAsia="Times New Roman" w:hAnsiTheme="majorHAnsi" w:cstheme="majorHAnsi"/>
                <w:b/>
                <w:bCs/>
                <w:sz w:val="18"/>
                <w:szCs w:val="18"/>
                <w:highlight w:val="cyan"/>
                <w:lang w:eastAsia="fr-FR"/>
              </w:rPr>
              <w:t xml:space="preserve">USD </w:t>
            </w:r>
            <w:r w:rsidR="001F1DA8" w:rsidRPr="001F1DA8">
              <w:rPr>
                <w:rFonts w:asciiTheme="majorHAnsi" w:eastAsia="Times New Roman" w:hAnsiTheme="majorHAnsi" w:cstheme="majorHAnsi"/>
                <w:b/>
                <w:bCs/>
                <w:sz w:val="18"/>
                <w:szCs w:val="18"/>
                <w:highlight w:val="cyan"/>
                <w:lang w:eastAsia="fr-FR"/>
              </w:rPr>
              <w:t>20</w:t>
            </w:r>
            <w:r w:rsidRPr="001F1DA8">
              <w:rPr>
                <w:rFonts w:asciiTheme="majorHAnsi" w:eastAsia="Times New Roman" w:hAnsiTheme="majorHAnsi" w:cstheme="majorHAnsi"/>
                <w:b/>
                <w:bCs/>
                <w:sz w:val="18"/>
                <w:szCs w:val="18"/>
                <w:highlight w:val="cyan"/>
                <w:lang w:eastAsia="fr-FR"/>
              </w:rPr>
              <w:t xml:space="preserve">,000: </w:t>
            </w:r>
            <w:r w:rsidRPr="001F1DA8">
              <w:rPr>
                <w:rFonts w:asciiTheme="majorHAnsi" w:eastAsia="Times New Roman" w:hAnsiTheme="majorHAnsi" w:cstheme="majorHAnsi"/>
                <w:sz w:val="18"/>
                <w:szCs w:val="18"/>
                <w:highlight w:val="cyan"/>
                <w:lang w:eastAsia="fr-FR"/>
              </w:rPr>
              <w:t>Trainings and workshops related Development of value chain strengthening strategies and establishment of an exchange platform between producers and buyers</w:t>
            </w:r>
          </w:p>
        </w:tc>
      </w:tr>
      <w:tr w:rsidR="000A2A52" w:rsidRPr="00327CBE" w14:paraId="0669C78F" w14:textId="77777777" w:rsidTr="008244FA">
        <w:trPr>
          <w:trHeight w:val="20"/>
        </w:trPr>
        <w:tc>
          <w:tcPr>
            <w:tcW w:w="1144" w:type="dxa"/>
            <w:vMerge/>
            <w:tcBorders>
              <w:top w:val="nil"/>
              <w:left w:val="single" w:sz="8" w:space="0" w:color="auto"/>
              <w:bottom w:val="single" w:sz="8" w:space="0" w:color="000000"/>
              <w:right w:val="single" w:sz="8" w:space="0" w:color="auto"/>
            </w:tcBorders>
            <w:vAlign w:val="center"/>
            <w:hideMark/>
          </w:tcPr>
          <w:p w14:paraId="79E14F0F"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53A2F520"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2DA29E13" w14:textId="77777777" w:rsidR="000A2A52" w:rsidRPr="008244FA" w:rsidRDefault="000A2A52" w:rsidP="00327CBE">
            <w:pPr>
              <w:rPr>
                <w:rFonts w:asciiTheme="majorHAnsi" w:eastAsia="Times New Roman" w:hAnsiTheme="majorHAnsi" w:cstheme="majorHAnsi"/>
                <w:color w:val="000000"/>
                <w:sz w:val="18"/>
                <w:szCs w:val="18"/>
                <w:lang w:eastAsia="fr-FR"/>
              </w:rPr>
            </w:pPr>
          </w:p>
        </w:tc>
        <w:tc>
          <w:tcPr>
            <w:tcW w:w="9939" w:type="dxa"/>
            <w:gridSpan w:val="6"/>
            <w:tcBorders>
              <w:top w:val="nil"/>
              <w:left w:val="nil"/>
              <w:bottom w:val="single" w:sz="8" w:space="0" w:color="auto"/>
              <w:right w:val="single" w:sz="8" w:space="0" w:color="000000"/>
            </w:tcBorders>
            <w:shd w:val="clear" w:color="auto" w:fill="auto"/>
            <w:vAlign w:val="center"/>
            <w:hideMark/>
          </w:tcPr>
          <w:p w14:paraId="52970363" w14:textId="1B32B5FB" w:rsidR="000A2A52" w:rsidRPr="001F1DA8" w:rsidRDefault="000A2A52" w:rsidP="00327CBE">
            <w:pPr>
              <w:rPr>
                <w:rFonts w:asciiTheme="majorHAnsi" w:eastAsia="Times New Roman" w:hAnsiTheme="majorHAnsi" w:cstheme="majorHAnsi"/>
                <w:sz w:val="18"/>
                <w:szCs w:val="18"/>
                <w:highlight w:val="cyan"/>
                <w:lang w:eastAsia="fr-FR"/>
              </w:rPr>
            </w:pPr>
            <w:r w:rsidRPr="001F1DA8">
              <w:rPr>
                <w:rFonts w:asciiTheme="majorHAnsi" w:eastAsia="Times New Roman" w:hAnsiTheme="majorHAnsi" w:cstheme="majorHAnsi"/>
                <w:b/>
                <w:bCs/>
                <w:sz w:val="18"/>
                <w:szCs w:val="18"/>
                <w:highlight w:val="cyan"/>
                <w:lang w:eastAsia="fr-FR"/>
              </w:rPr>
              <w:t xml:space="preserve">USD </w:t>
            </w:r>
            <w:r w:rsidR="001F1DA8" w:rsidRPr="001F1DA8">
              <w:rPr>
                <w:rFonts w:asciiTheme="majorHAnsi" w:eastAsia="Times New Roman" w:hAnsiTheme="majorHAnsi" w:cstheme="majorHAnsi"/>
                <w:b/>
                <w:bCs/>
                <w:sz w:val="18"/>
                <w:szCs w:val="18"/>
                <w:highlight w:val="cyan"/>
                <w:lang w:eastAsia="fr-FR"/>
              </w:rPr>
              <w:t>10</w:t>
            </w:r>
            <w:r w:rsidRPr="001F1DA8">
              <w:rPr>
                <w:rFonts w:asciiTheme="majorHAnsi" w:eastAsia="Times New Roman" w:hAnsiTheme="majorHAnsi" w:cstheme="majorHAnsi"/>
                <w:b/>
                <w:bCs/>
                <w:sz w:val="18"/>
                <w:szCs w:val="18"/>
                <w:highlight w:val="cyan"/>
                <w:lang w:eastAsia="fr-FR"/>
              </w:rPr>
              <w:t>,000:</w:t>
            </w:r>
            <w:r w:rsidRPr="001F1DA8">
              <w:rPr>
                <w:rFonts w:asciiTheme="majorHAnsi" w:eastAsia="Times New Roman" w:hAnsiTheme="majorHAnsi" w:cstheme="majorHAnsi"/>
                <w:sz w:val="18"/>
                <w:szCs w:val="18"/>
                <w:highlight w:val="cyan"/>
                <w:lang w:eastAsia="fr-FR"/>
              </w:rPr>
              <w:t xml:space="preserve"> Workshops related ESMF development </w:t>
            </w:r>
          </w:p>
        </w:tc>
      </w:tr>
      <w:tr w:rsidR="000A2A52" w:rsidRPr="00327CBE" w14:paraId="3D4AE6C8" w14:textId="77777777" w:rsidTr="008244FA">
        <w:trPr>
          <w:trHeight w:val="510"/>
        </w:trPr>
        <w:tc>
          <w:tcPr>
            <w:tcW w:w="1144" w:type="dxa"/>
            <w:tcBorders>
              <w:top w:val="nil"/>
              <w:left w:val="single" w:sz="8" w:space="0" w:color="auto"/>
              <w:bottom w:val="single" w:sz="8" w:space="0" w:color="auto"/>
              <w:right w:val="single" w:sz="8" w:space="0" w:color="auto"/>
            </w:tcBorders>
            <w:shd w:val="clear" w:color="auto" w:fill="auto"/>
            <w:hideMark/>
          </w:tcPr>
          <w:p w14:paraId="23195D37" w14:textId="77777777"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36</w:t>
            </w:r>
          </w:p>
        </w:tc>
        <w:tc>
          <w:tcPr>
            <w:tcW w:w="1256" w:type="dxa"/>
            <w:tcBorders>
              <w:top w:val="single" w:sz="8" w:space="0" w:color="auto"/>
              <w:left w:val="nil"/>
              <w:bottom w:val="single" w:sz="8" w:space="0" w:color="auto"/>
              <w:right w:val="single" w:sz="8" w:space="0" w:color="000000"/>
            </w:tcBorders>
            <w:shd w:val="clear" w:color="auto" w:fill="auto"/>
            <w:hideMark/>
          </w:tcPr>
          <w:p w14:paraId="1F19DD86" w14:textId="41DF232F"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15,0</w:t>
            </w:r>
            <w:r w:rsidR="001F1DA8">
              <w:rPr>
                <w:rFonts w:asciiTheme="majorHAnsi" w:eastAsia="Times New Roman" w:hAnsiTheme="majorHAnsi" w:cstheme="majorHAnsi"/>
                <w:color w:val="000000"/>
                <w:sz w:val="18"/>
                <w:szCs w:val="18"/>
                <w:lang w:val="fr-FR" w:eastAsia="fr-FR"/>
              </w:rPr>
              <w:t>67</w:t>
            </w:r>
          </w:p>
        </w:tc>
        <w:tc>
          <w:tcPr>
            <w:tcW w:w="2126" w:type="dxa"/>
            <w:tcBorders>
              <w:top w:val="single" w:sz="8" w:space="0" w:color="auto"/>
              <w:left w:val="nil"/>
              <w:bottom w:val="single" w:sz="8" w:space="0" w:color="auto"/>
              <w:right w:val="single" w:sz="8" w:space="0" w:color="000000"/>
            </w:tcBorders>
            <w:shd w:val="clear" w:color="auto" w:fill="auto"/>
            <w:hideMark/>
          </w:tcPr>
          <w:p w14:paraId="3E542FA7" w14:textId="77777777"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74500 </w:t>
            </w:r>
            <w:proofErr w:type="spellStart"/>
            <w:r w:rsidRPr="008244FA">
              <w:rPr>
                <w:rFonts w:asciiTheme="majorHAnsi" w:eastAsia="Times New Roman" w:hAnsiTheme="majorHAnsi" w:cstheme="majorHAnsi"/>
                <w:color w:val="000000"/>
                <w:sz w:val="18"/>
                <w:szCs w:val="18"/>
                <w:lang w:val="fr-FR" w:eastAsia="fr-FR"/>
              </w:rPr>
              <w:t>Miscellaneous</w:t>
            </w:r>
            <w:proofErr w:type="spellEnd"/>
            <w:r w:rsidRPr="008244FA">
              <w:rPr>
                <w:rFonts w:asciiTheme="majorHAnsi" w:eastAsia="Times New Roman" w:hAnsiTheme="majorHAnsi" w:cstheme="majorHAnsi"/>
                <w:color w:val="000000"/>
                <w:sz w:val="18"/>
                <w:szCs w:val="18"/>
                <w:lang w:val="fr-FR" w:eastAsia="fr-FR"/>
              </w:rPr>
              <w:t xml:space="preserve"> </w:t>
            </w:r>
            <w:proofErr w:type="spellStart"/>
            <w:r w:rsidRPr="008244FA">
              <w:rPr>
                <w:rFonts w:asciiTheme="majorHAnsi" w:eastAsia="Times New Roman" w:hAnsiTheme="majorHAnsi" w:cstheme="majorHAnsi"/>
                <w:color w:val="000000"/>
                <w:sz w:val="18"/>
                <w:szCs w:val="18"/>
                <w:lang w:val="fr-FR" w:eastAsia="fr-FR"/>
              </w:rPr>
              <w:t>Expenses</w:t>
            </w:r>
            <w:proofErr w:type="spellEnd"/>
            <w:r w:rsidRPr="008244FA">
              <w:rPr>
                <w:rFonts w:asciiTheme="majorHAnsi" w:eastAsia="Times New Roman" w:hAnsiTheme="majorHAnsi" w:cstheme="majorHAnsi"/>
                <w:color w:val="000000"/>
                <w:sz w:val="18"/>
                <w:szCs w:val="18"/>
                <w:lang w:val="fr-FR" w:eastAsia="fr-FR"/>
              </w:rPr>
              <w:t xml:space="preserve"> </w:t>
            </w:r>
          </w:p>
        </w:tc>
        <w:tc>
          <w:tcPr>
            <w:tcW w:w="9939" w:type="dxa"/>
            <w:gridSpan w:val="6"/>
            <w:tcBorders>
              <w:top w:val="nil"/>
              <w:left w:val="nil"/>
              <w:bottom w:val="single" w:sz="8" w:space="0" w:color="auto"/>
              <w:right w:val="single" w:sz="8" w:space="0" w:color="000000"/>
            </w:tcBorders>
            <w:shd w:val="clear" w:color="auto" w:fill="auto"/>
            <w:hideMark/>
          </w:tcPr>
          <w:p w14:paraId="3EB4E891" w14:textId="366EBBBA" w:rsidR="000A2A52" w:rsidRPr="001F1DA8" w:rsidRDefault="000A2A52">
            <w:pPr>
              <w:rPr>
                <w:rFonts w:asciiTheme="majorHAnsi" w:eastAsia="Times New Roman" w:hAnsiTheme="majorHAnsi" w:cstheme="majorHAnsi"/>
                <w:sz w:val="18"/>
                <w:szCs w:val="18"/>
                <w:highlight w:val="cyan"/>
                <w:lang w:eastAsia="fr-FR"/>
              </w:rPr>
            </w:pPr>
            <w:r w:rsidRPr="001F1DA8">
              <w:rPr>
                <w:rFonts w:asciiTheme="majorHAnsi" w:eastAsia="Times New Roman" w:hAnsiTheme="majorHAnsi" w:cstheme="majorHAnsi"/>
                <w:b/>
                <w:bCs/>
                <w:sz w:val="18"/>
                <w:szCs w:val="18"/>
                <w:highlight w:val="cyan"/>
                <w:lang w:eastAsia="fr-FR"/>
              </w:rPr>
              <w:t>USD 15,0</w:t>
            </w:r>
            <w:r w:rsidR="001F1DA8" w:rsidRPr="001F1DA8">
              <w:rPr>
                <w:rFonts w:asciiTheme="majorHAnsi" w:eastAsia="Times New Roman" w:hAnsiTheme="majorHAnsi" w:cstheme="majorHAnsi"/>
                <w:b/>
                <w:bCs/>
                <w:sz w:val="18"/>
                <w:szCs w:val="18"/>
                <w:highlight w:val="cyan"/>
                <w:lang w:eastAsia="fr-FR"/>
              </w:rPr>
              <w:t>67</w:t>
            </w:r>
            <w:r w:rsidRPr="001F1DA8">
              <w:rPr>
                <w:rFonts w:asciiTheme="majorHAnsi" w:eastAsia="Times New Roman" w:hAnsiTheme="majorHAnsi" w:cstheme="majorHAnsi"/>
                <w:b/>
                <w:bCs/>
                <w:sz w:val="18"/>
                <w:szCs w:val="18"/>
                <w:highlight w:val="cyan"/>
                <w:lang w:eastAsia="fr-FR"/>
              </w:rPr>
              <w:t>: M</w:t>
            </w:r>
            <w:r w:rsidRPr="001F1DA8">
              <w:rPr>
                <w:rFonts w:asciiTheme="majorHAnsi" w:eastAsia="Times New Roman" w:hAnsiTheme="majorHAnsi" w:cstheme="majorHAnsi"/>
                <w:sz w:val="18"/>
                <w:szCs w:val="18"/>
                <w:highlight w:val="cyan"/>
                <w:lang w:eastAsia="fr-FR"/>
              </w:rPr>
              <w:t>iscellaneous costs including contingencies and other expenses (over 5 years)</w:t>
            </w:r>
          </w:p>
        </w:tc>
      </w:tr>
      <w:tr w:rsidR="000A2A52" w:rsidRPr="00327CBE" w14:paraId="6496538E" w14:textId="77777777" w:rsidTr="006144DC">
        <w:trPr>
          <w:trHeight w:val="315"/>
        </w:trPr>
        <w:tc>
          <w:tcPr>
            <w:tcW w:w="7859" w:type="dxa"/>
            <w:gridSpan w:val="4"/>
            <w:tcBorders>
              <w:top w:val="nil"/>
              <w:left w:val="single" w:sz="8" w:space="0" w:color="auto"/>
              <w:bottom w:val="single" w:sz="8" w:space="0" w:color="auto"/>
              <w:right w:val="nil"/>
            </w:tcBorders>
            <w:shd w:val="clear" w:color="000000" w:fill="D9D9D9"/>
            <w:vAlign w:val="center"/>
            <w:hideMark/>
          </w:tcPr>
          <w:p w14:paraId="398D961C" w14:textId="6597893D" w:rsidR="000A2A52" w:rsidRPr="008244FA" w:rsidRDefault="000A2A52">
            <w:pP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 xml:space="preserve">Project Management </w:t>
            </w:r>
            <w:proofErr w:type="spellStart"/>
            <w:r w:rsidRPr="008244FA">
              <w:rPr>
                <w:rFonts w:asciiTheme="majorHAnsi" w:eastAsia="Times New Roman" w:hAnsiTheme="majorHAnsi" w:cstheme="majorHAnsi"/>
                <w:b/>
                <w:bCs/>
                <w:color w:val="000000"/>
                <w:sz w:val="18"/>
                <w:szCs w:val="18"/>
                <w:lang w:val="fr-FR" w:eastAsia="fr-FR"/>
              </w:rPr>
              <w:t>Costs</w:t>
            </w:r>
            <w:proofErr w:type="spellEnd"/>
          </w:p>
        </w:tc>
        <w:tc>
          <w:tcPr>
            <w:tcW w:w="181" w:type="dxa"/>
            <w:tcBorders>
              <w:top w:val="nil"/>
              <w:left w:val="nil"/>
              <w:bottom w:val="single" w:sz="8" w:space="0" w:color="auto"/>
              <w:right w:val="nil"/>
            </w:tcBorders>
            <w:shd w:val="clear" w:color="000000" w:fill="D9D9D9"/>
            <w:vAlign w:val="center"/>
            <w:hideMark/>
          </w:tcPr>
          <w:p w14:paraId="07C473C3" w14:textId="77777777" w:rsidR="000A2A52" w:rsidRPr="008244FA" w:rsidRDefault="000A2A52" w:rsidP="00327CBE">
            <w:pP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 </w:t>
            </w:r>
          </w:p>
        </w:tc>
        <w:tc>
          <w:tcPr>
            <w:tcW w:w="1715" w:type="dxa"/>
            <w:tcBorders>
              <w:top w:val="nil"/>
              <w:left w:val="nil"/>
              <w:bottom w:val="single" w:sz="8" w:space="0" w:color="auto"/>
              <w:right w:val="nil"/>
            </w:tcBorders>
            <w:shd w:val="clear" w:color="000000" w:fill="D9D9D9"/>
            <w:vAlign w:val="center"/>
            <w:hideMark/>
          </w:tcPr>
          <w:p w14:paraId="1699AD2D" w14:textId="77777777" w:rsidR="000A2A52" w:rsidRPr="008244FA" w:rsidRDefault="000A2A52" w:rsidP="00327CBE">
            <w:pP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 </w:t>
            </w:r>
          </w:p>
        </w:tc>
        <w:tc>
          <w:tcPr>
            <w:tcW w:w="181" w:type="dxa"/>
            <w:tcBorders>
              <w:top w:val="nil"/>
              <w:left w:val="nil"/>
              <w:bottom w:val="single" w:sz="8" w:space="0" w:color="auto"/>
              <w:right w:val="nil"/>
            </w:tcBorders>
            <w:shd w:val="clear" w:color="000000" w:fill="D9D9D9"/>
            <w:vAlign w:val="center"/>
            <w:hideMark/>
          </w:tcPr>
          <w:p w14:paraId="209546B4" w14:textId="77777777" w:rsidR="000A2A52" w:rsidRPr="008244FA" w:rsidRDefault="000A2A52" w:rsidP="00327CBE">
            <w:pP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 </w:t>
            </w:r>
          </w:p>
        </w:tc>
        <w:tc>
          <w:tcPr>
            <w:tcW w:w="4529" w:type="dxa"/>
            <w:gridSpan w:val="2"/>
            <w:tcBorders>
              <w:top w:val="single" w:sz="8" w:space="0" w:color="auto"/>
              <w:left w:val="nil"/>
              <w:bottom w:val="single" w:sz="8" w:space="0" w:color="auto"/>
              <w:right w:val="single" w:sz="8" w:space="0" w:color="000000"/>
            </w:tcBorders>
            <w:shd w:val="clear" w:color="000000" w:fill="D9D9D9"/>
            <w:vAlign w:val="center"/>
            <w:hideMark/>
          </w:tcPr>
          <w:p w14:paraId="19C63971" w14:textId="77777777" w:rsidR="000A2A52" w:rsidRPr="008244FA" w:rsidRDefault="000A2A52" w:rsidP="00327CBE">
            <w:pPr>
              <w:rPr>
                <w:rFonts w:asciiTheme="majorHAnsi" w:eastAsia="Times New Roman" w:hAnsiTheme="majorHAnsi" w:cstheme="majorHAnsi"/>
                <w:b/>
                <w:bCs/>
                <w:color w:val="000000"/>
                <w:sz w:val="18"/>
                <w:szCs w:val="18"/>
                <w:lang w:val="fr-FR" w:eastAsia="fr-FR"/>
              </w:rPr>
            </w:pPr>
            <w:r w:rsidRPr="008244FA">
              <w:rPr>
                <w:rFonts w:asciiTheme="majorHAnsi" w:eastAsia="Times New Roman" w:hAnsiTheme="majorHAnsi" w:cstheme="majorHAnsi"/>
                <w:b/>
                <w:bCs/>
                <w:color w:val="000000"/>
                <w:sz w:val="18"/>
                <w:szCs w:val="18"/>
                <w:lang w:val="fr-FR" w:eastAsia="fr-FR"/>
              </w:rPr>
              <w:t> </w:t>
            </w:r>
          </w:p>
        </w:tc>
      </w:tr>
      <w:tr w:rsidR="000A2A52" w:rsidRPr="00327CBE" w14:paraId="2C6846F2" w14:textId="77777777" w:rsidTr="008244FA">
        <w:trPr>
          <w:trHeight w:val="510"/>
        </w:trPr>
        <w:tc>
          <w:tcPr>
            <w:tcW w:w="1144" w:type="dxa"/>
            <w:tcBorders>
              <w:top w:val="nil"/>
              <w:left w:val="single" w:sz="8" w:space="0" w:color="auto"/>
              <w:bottom w:val="single" w:sz="8" w:space="0" w:color="auto"/>
              <w:right w:val="single" w:sz="8" w:space="0" w:color="auto"/>
            </w:tcBorders>
            <w:shd w:val="clear" w:color="000000" w:fill="FFFFFF"/>
            <w:vAlign w:val="center"/>
            <w:hideMark/>
          </w:tcPr>
          <w:p w14:paraId="76104E91" w14:textId="77777777"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37</w:t>
            </w:r>
          </w:p>
        </w:tc>
        <w:tc>
          <w:tcPr>
            <w:tcW w:w="1256" w:type="dxa"/>
            <w:tcBorders>
              <w:top w:val="single" w:sz="8" w:space="0" w:color="auto"/>
              <w:left w:val="nil"/>
              <w:bottom w:val="single" w:sz="8" w:space="0" w:color="auto"/>
              <w:right w:val="single" w:sz="8" w:space="0" w:color="000000"/>
            </w:tcBorders>
            <w:shd w:val="clear" w:color="000000" w:fill="FFFFFF"/>
            <w:vAlign w:val="center"/>
            <w:hideMark/>
          </w:tcPr>
          <w:p w14:paraId="6AA304AA" w14:textId="77777777" w:rsidR="000A2A52" w:rsidRPr="008244FA" w:rsidRDefault="000A2A52" w:rsidP="008244FA">
            <w:pPr>
              <w:rPr>
                <w:rFonts w:asciiTheme="majorHAnsi" w:eastAsia="Times New Roman" w:hAnsiTheme="majorHAnsi" w:cstheme="majorHAnsi"/>
                <w:sz w:val="18"/>
                <w:szCs w:val="18"/>
                <w:lang w:val="fr-FR" w:eastAsia="fr-FR"/>
              </w:rPr>
            </w:pPr>
            <w:r w:rsidRPr="008244FA">
              <w:rPr>
                <w:rFonts w:asciiTheme="majorHAnsi" w:eastAsia="Times New Roman" w:hAnsiTheme="majorHAnsi" w:cstheme="majorHAnsi"/>
                <w:sz w:val="18"/>
                <w:szCs w:val="18"/>
                <w:lang w:val="fr-FR" w:eastAsia="fr-FR"/>
              </w:rPr>
              <w:t>49,549</w:t>
            </w:r>
          </w:p>
        </w:tc>
        <w:tc>
          <w:tcPr>
            <w:tcW w:w="2126" w:type="dxa"/>
            <w:tcBorders>
              <w:top w:val="single" w:sz="8" w:space="0" w:color="auto"/>
              <w:left w:val="nil"/>
              <w:bottom w:val="single" w:sz="8" w:space="0" w:color="auto"/>
              <w:right w:val="single" w:sz="8" w:space="0" w:color="000000"/>
            </w:tcBorders>
            <w:shd w:val="clear" w:color="000000" w:fill="FFFFFF"/>
            <w:vAlign w:val="center"/>
            <w:hideMark/>
          </w:tcPr>
          <w:p w14:paraId="0AF6CE7E" w14:textId="3137FA09" w:rsidR="000A2A52" w:rsidRPr="004A40DE" w:rsidRDefault="000A2A52" w:rsidP="008244FA">
            <w:pPr>
              <w:rPr>
                <w:rFonts w:asciiTheme="majorHAnsi" w:eastAsia="Times New Roman" w:hAnsiTheme="majorHAnsi" w:cstheme="majorHAnsi"/>
                <w:color w:val="000000"/>
                <w:sz w:val="18"/>
                <w:szCs w:val="18"/>
                <w:lang w:eastAsia="fr-FR"/>
              </w:rPr>
            </w:pPr>
            <w:r w:rsidRPr="009B7ED8">
              <w:rPr>
                <w:rFonts w:asciiTheme="majorHAnsi" w:eastAsia="Times New Roman" w:hAnsiTheme="majorHAnsi" w:cstheme="majorHAnsi"/>
                <w:color w:val="000000" w:themeColor="text1"/>
                <w:sz w:val="18"/>
                <w:szCs w:val="18"/>
                <w:highlight w:val="magenta"/>
                <w:lang w:eastAsia="fr-FR"/>
              </w:rPr>
              <w:t>7459</w:t>
            </w:r>
            <w:r w:rsidR="00B33AB5" w:rsidRPr="009B7ED8">
              <w:rPr>
                <w:rFonts w:asciiTheme="majorHAnsi" w:eastAsia="Times New Roman" w:hAnsiTheme="majorHAnsi" w:cstheme="majorHAnsi"/>
                <w:color w:val="000000" w:themeColor="text1"/>
                <w:sz w:val="18"/>
                <w:szCs w:val="18"/>
                <w:highlight w:val="magenta"/>
                <w:lang w:eastAsia="fr-FR"/>
              </w:rPr>
              <w:t>6</w:t>
            </w:r>
            <w:r w:rsidRPr="009B7ED8">
              <w:rPr>
                <w:rFonts w:asciiTheme="majorHAnsi" w:eastAsia="Times New Roman" w:hAnsiTheme="majorHAnsi" w:cstheme="majorHAnsi"/>
                <w:color w:val="000000" w:themeColor="text1"/>
                <w:sz w:val="18"/>
                <w:szCs w:val="18"/>
                <w:highlight w:val="magenta"/>
                <w:lang w:eastAsia="fr-FR"/>
              </w:rPr>
              <w:t xml:space="preserve"> </w:t>
            </w:r>
            <w:r w:rsidR="00B33AB5" w:rsidRPr="009B7ED8">
              <w:rPr>
                <w:rFonts w:asciiTheme="majorHAnsi" w:eastAsia="Times New Roman" w:hAnsiTheme="majorHAnsi" w:cstheme="majorHAnsi"/>
                <w:color w:val="000000" w:themeColor="text1"/>
                <w:sz w:val="18"/>
                <w:szCs w:val="18"/>
                <w:highlight w:val="magenta"/>
                <w:lang w:eastAsia="fr-FR"/>
              </w:rPr>
              <w:t>Services to projects GOE for CO</w:t>
            </w:r>
          </w:p>
        </w:tc>
        <w:tc>
          <w:tcPr>
            <w:tcW w:w="9939" w:type="dxa"/>
            <w:gridSpan w:val="6"/>
            <w:tcBorders>
              <w:top w:val="single" w:sz="8" w:space="0" w:color="auto"/>
              <w:left w:val="nil"/>
              <w:bottom w:val="single" w:sz="8" w:space="0" w:color="auto"/>
              <w:right w:val="single" w:sz="8" w:space="0" w:color="000000"/>
            </w:tcBorders>
            <w:shd w:val="clear" w:color="000000" w:fill="FFFFFF"/>
            <w:vAlign w:val="center"/>
            <w:hideMark/>
          </w:tcPr>
          <w:p w14:paraId="395C7E5B" w14:textId="77777777" w:rsidR="000A2A52" w:rsidRPr="004A140A" w:rsidRDefault="000A2A52">
            <w:pPr>
              <w:rPr>
                <w:rFonts w:asciiTheme="majorHAnsi" w:eastAsia="Times New Roman" w:hAnsiTheme="majorHAnsi" w:cstheme="majorHAnsi"/>
                <w:sz w:val="18"/>
                <w:szCs w:val="18"/>
                <w:highlight w:val="cyan"/>
                <w:lang w:eastAsia="fr-FR"/>
              </w:rPr>
            </w:pPr>
            <w:r w:rsidRPr="004A140A">
              <w:rPr>
                <w:rFonts w:asciiTheme="majorHAnsi" w:eastAsia="Times New Roman" w:hAnsiTheme="majorHAnsi" w:cstheme="majorHAnsi"/>
                <w:b/>
                <w:bCs/>
                <w:sz w:val="18"/>
                <w:szCs w:val="18"/>
                <w:highlight w:val="cyan"/>
                <w:lang w:eastAsia="fr-FR"/>
              </w:rPr>
              <w:t>USD 49,549:</w:t>
            </w:r>
            <w:r w:rsidRPr="004A140A">
              <w:rPr>
                <w:rFonts w:asciiTheme="majorHAnsi" w:eastAsia="Times New Roman" w:hAnsiTheme="majorHAnsi" w:cstheme="majorHAnsi"/>
                <w:sz w:val="18"/>
                <w:szCs w:val="18"/>
                <w:highlight w:val="cyan"/>
                <w:lang w:eastAsia="fr-FR"/>
              </w:rPr>
              <w:t xml:space="preserve"> Budget for Direct Project Costs are estimated for direct project services planned to be carried out by UNDP, such as: recruitment of project personnel, procurement of goods and services, processing travel, payments, logistic support to workshops.</w:t>
            </w:r>
          </w:p>
        </w:tc>
      </w:tr>
      <w:tr w:rsidR="000A2A52" w:rsidRPr="00327CBE" w14:paraId="2EE8E8E2" w14:textId="77777777" w:rsidTr="008244FA">
        <w:trPr>
          <w:trHeight w:val="283"/>
        </w:trPr>
        <w:tc>
          <w:tcPr>
            <w:tcW w:w="1144" w:type="dxa"/>
            <w:vMerge w:val="restart"/>
            <w:tcBorders>
              <w:top w:val="nil"/>
              <w:left w:val="single" w:sz="8" w:space="0" w:color="auto"/>
              <w:bottom w:val="single" w:sz="8" w:space="0" w:color="000000"/>
              <w:right w:val="single" w:sz="8" w:space="0" w:color="auto"/>
            </w:tcBorders>
            <w:shd w:val="clear" w:color="000000" w:fill="FFFFFF"/>
            <w:vAlign w:val="center"/>
            <w:hideMark/>
          </w:tcPr>
          <w:p w14:paraId="37767C3E" w14:textId="77777777"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38</w:t>
            </w:r>
          </w:p>
        </w:tc>
        <w:tc>
          <w:tcPr>
            <w:tcW w:w="1256" w:type="dxa"/>
            <w:vMerge w:val="restart"/>
            <w:tcBorders>
              <w:top w:val="single" w:sz="8" w:space="0" w:color="auto"/>
              <w:left w:val="single" w:sz="8" w:space="0" w:color="auto"/>
              <w:bottom w:val="single" w:sz="8" w:space="0" w:color="000000"/>
              <w:right w:val="single" w:sz="8" w:space="0" w:color="000000"/>
            </w:tcBorders>
            <w:shd w:val="clear" w:color="000000" w:fill="FFFFFF"/>
            <w:vAlign w:val="center"/>
            <w:hideMark/>
          </w:tcPr>
          <w:p w14:paraId="5789378E" w14:textId="365831F5" w:rsidR="000A2A52" w:rsidRPr="008244FA" w:rsidRDefault="001F1DA8" w:rsidP="008244FA">
            <w:pPr>
              <w:rPr>
                <w:rFonts w:asciiTheme="majorHAnsi" w:eastAsia="Times New Roman" w:hAnsiTheme="majorHAnsi" w:cstheme="majorHAnsi"/>
                <w:color w:val="000000"/>
                <w:sz w:val="18"/>
                <w:szCs w:val="18"/>
                <w:lang w:val="fr-FR" w:eastAsia="fr-FR"/>
              </w:rPr>
            </w:pPr>
            <w:r>
              <w:rPr>
                <w:rFonts w:asciiTheme="majorHAnsi" w:eastAsia="Times New Roman" w:hAnsiTheme="majorHAnsi" w:cstheme="majorHAnsi"/>
                <w:color w:val="000000"/>
                <w:sz w:val="18"/>
                <w:szCs w:val="18"/>
                <w:lang w:val="fr-FR" w:eastAsia="fr-FR"/>
              </w:rPr>
              <w:t>90</w:t>
            </w:r>
            <w:r w:rsidR="000A2A52" w:rsidRPr="008244FA">
              <w:rPr>
                <w:rFonts w:asciiTheme="majorHAnsi" w:eastAsia="Times New Roman" w:hAnsiTheme="majorHAnsi" w:cstheme="majorHAnsi"/>
                <w:color w:val="000000"/>
                <w:sz w:val="18"/>
                <w:szCs w:val="18"/>
                <w:lang w:val="fr-FR" w:eastAsia="fr-FR"/>
              </w:rPr>
              <w:t>,000</w:t>
            </w:r>
          </w:p>
        </w:tc>
        <w:tc>
          <w:tcPr>
            <w:tcW w:w="2126" w:type="dxa"/>
            <w:vMerge w:val="restart"/>
            <w:tcBorders>
              <w:top w:val="single" w:sz="8" w:space="0" w:color="auto"/>
              <w:left w:val="single" w:sz="8" w:space="0" w:color="auto"/>
              <w:bottom w:val="single" w:sz="8" w:space="0" w:color="000000"/>
              <w:right w:val="single" w:sz="8" w:space="0" w:color="000000"/>
            </w:tcBorders>
            <w:shd w:val="clear" w:color="000000" w:fill="FFFFFF"/>
            <w:vAlign w:val="center"/>
            <w:hideMark/>
          </w:tcPr>
          <w:p w14:paraId="4625250B" w14:textId="77777777"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 xml:space="preserve">71400 </w:t>
            </w: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w:t>
            </w:r>
            <w:proofErr w:type="spellStart"/>
            <w:r w:rsidRPr="008244FA">
              <w:rPr>
                <w:rFonts w:asciiTheme="majorHAnsi" w:eastAsia="Times New Roman" w:hAnsiTheme="majorHAnsi" w:cstheme="majorHAnsi"/>
                <w:color w:val="000000"/>
                <w:sz w:val="18"/>
                <w:szCs w:val="18"/>
                <w:lang w:val="fr-FR" w:eastAsia="fr-FR"/>
              </w:rPr>
              <w:t>Individual</w:t>
            </w:r>
            <w:proofErr w:type="spellEnd"/>
          </w:p>
        </w:tc>
        <w:tc>
          <w:tcPr>
            <w:tcW w:w="9939" w:type="dxa"/>
            <w:gridSpan w:val="6"/>
            <w:vMerge w:val="restart"/>
            <w:tcBorders>
              <w:top w:val="single" w:sz="8" w:space="0" w:color="auto"/>
              <w:left w:val="single" w:sz="8" w:space="0" w:color="auto"/>
              <w:bottom w:val="single" w:sz="8" w:space="0" w:color="000000"/>
              <w:right w:val="single" w:sz="8" w:space="0" w:color="000000"/>
            </w:tcBorders>
            <w:shd w:val="clear" w:color="000000" w:fill="FFFFFF"/>
            <w:vAlign w:val="center"/>
            <w:hideMark/>
          </w:tcPr>
          <w:p w14:paraId="1A0AE466" w14:textId="2A400D5A" w:rsidR="000A2A52" w:rsidRPr="004A140A" w:rsidRDefault="000A2A52" w:rsidP="008244FA">
            <w:pPr>
              <w:rPr>
                <w:rFonts w:asciiTheme="majorHAnsi" w:eastAsia="Times New Roman" w:hAnsiTheme="majorHAnsi" w:cstheme="majorHAnsi"/>
                <w:sz w:val="18"/>
                <w:szCs w:val="18"/>
                <w:highlight w:val="cyan"/>
                <w:lang w:eastAsia="fr-FR"/>
              </w:rPr>
            </w:pPr>
            <w:r w:rsidRPr="004A140A">
              <w:rPr>
                <w:rFonts w:asciiTheme="majorHAnsi" w:eastAsia="Times New Roman" w:hAnsiTheme="majorHAnsi" w:cstheme="majorHAnsi"/>
                <w:b/>
                <w:bCs/>
                <w:sz w:val="18"/>
                <w:szCs w:val="18"/>
                <w:highlight w:val="cyan"/>
                <w:lang w:eastAsia="fr-FR"/>
              </w:rPr>
              <w:t xml:space="preserve">USD </w:t>
            </w:r>
            <w:r w:rsidR="001F1DA8">
              <w:rPr>
                <w:rFonts w:asciiTheme="majorHAnsi" w:eastAsia="Times New Roman" w:hAnsiTheme="majorHAnsi" w:cstheme="majorHAnsi"/>
                <w:b/>
                <w:bCs/>
                <w:sz w:val="18"/>
                <w:szCs w:val="18"/>
                <w:highlight w:val="cyan"/>
                <w:lang w:eastAsia="fr-FR"/>
              </w:rPr>
              <w:t>90</w:t>
            </w:r>
            <w:r w:rsidRPr="004A140A">
              <w:rPr>
                <w:rFonts w:asciiTheme="majorHAnsi" w:eastAsia="Times New Roman" w:hAnsiTheme="majorHAnsi" w:cstheme="majorHAnsi"/>
                <w:b/>
                <w:bCs/>
                <w:sz w:val="18"/>
                <w:szCs w:val="18"/>
                <w:highlight w:val="cyan"/>
                <w:lang w:eastAsia="fr-FR"/>
              </w:rPr>
              <w:t xml:space="preserve">,000 : </w:t>
            </w:r>
            <w:r w:rsidRPr="004A140A">
              <w:rPr>
                <w:rFonts w:asciiTheme="majorHAnsi" w:eastAsia="Times New Roman" w:hAnsiTheme="majorHAnsi" w:cstheme="majorHAnsi"/>
                <w:sz w:val="18"/>
                <w:szCs w:val="18"/>
                <w:highlight w:val="cyan"/>
                <w:lang w:eastAsia="fr-FR"/>
              </w:rPr>
              <w:t>5</w:t>
            </w:r>
            <w:r w:rsidR="001F1DA8">
              <w:rPr>
                <w:rFonts w:asciiTheme="majorHAnsi" w:eastAsia="Times New Roman" w:hAnsiTheme="majorHAnsi" w:cstheme="majorHAnsi"/>
                <w:sz w:val="18"/>
                <w:szCs w:val="18"/>
                <w:highlight w:val="cyan"/>
                <w:lang w:eastAsia="fr-FR"/>
              </w:rPr>
              <w:t>0</w:t>
            </w:r>
            <w:r w:rsidRPr="004A140A">
              <w:rPr>
                <w:rFonts w:asciiTheme="majorHAnsi" w:eastAsia="Times New Roman" w:hAnsiTheme="majorHAnsi" w:cstheme="majorHAnsi"/>
                <w:sz w:val="18"/>
                <w:szCs w:val="18"/>
                <w:highlight w:val="cyan"/>
                <w:lang w:eastAsia="fr-FR"/>
              </w:rPr>
              <w:t xml:space="preserve">% of total Salary of technical Assistant to provide technical support to the </w:t>
            </w:r>
            <w:r w:rsidR="007F6480" w:rsidRPr="004A140A">
              <w:rPr>
                <w:rFonts w:asciiTheme="majorHAnsi" w:eastAsia="Times New Roman" w:hAnsiTheme="majorHAnsi" w:cstheme="majorHAnsi"/>
                <w:sz w:val="18"/>
                <w:szCs w:val="18"/>
                <w:highlight w:val="cyan"/>
                <w:lang w:eastAsia="fr-FR"/>
              </w:rPr>
              <w:t>Project</w:t>
            </w:r>
            <w:r w:rsidRPr="004A140A">
              <w:rPr>
                <w:rFonts w:asciiTheme="majorHAnsi" w:eastAsia="Times New Roman" w:hAnsiTheme="majorHAnsi" w:cstheme="majorHAnsi"/>
                <w:sz w:val="18"/>
                <w:szCs w:val="18"/>
                <w:highlight w:val="cyan"/>
                <w:lang w:eastAsia="fr-FR"/>
              </w:rPr>
              <w:t xml:space="preserve"> Officer (total 5 person/years @ USD</w:t>
            </w:r>
            <w:r w:rsidR="001F1DA8">
              <w:rPr>
                <w:rFonts w:asciiTheme="majorHAnsi" w:eastAsia="Times New Roman" w:hAnsiTheme="majorHAnsi" w:cstheme="majorHAnsi"/>
                <w:sz w:val="18"/>
                <w:szCs w:val="18"/>
                <w:highlight w:val="cyan"/>
                <w:lang w:eastAsia="fr-FR"/>
              </w:rPr>
              <w:t>36</w:t>
            </w:r>
            <w:r w:rsidRPr="004A140A">
              <w:rPr>
                <w:rFonts w:asciiTheme="majorHAnsi" w:eastAsia="Times New Roman" w:hAnsiTheme="majorHAnsi" w:cstheme="majorHAnsi"/>
                <w:sz w:val="18"/>
                <w:szCs w:val="18"/>
                <w:highlight w:val="cyan"/>
                <w:lang w:eastAsia="fr-FR"/>
              </w:rPr>
              <w:t>,</w:t>
            </w:r>
            <w:r w:rsidR="001F1DA8">
              <w:rPr>
                <w:rFonts w:asciiTheme="majorHAnsi" w:eastAsia="Times New Roman" w:hAnsiTheme="majorHAnsi" w:cstheme="majorHAnsi"/>
                <w:sz w:val="18"/>
                <w:szCs w:val="18"/>
                <w:highlight w:val="cyan"/>
                <w:lang w:eastAsia="fr-FR"/>
              </w:rPr>
              <w:t>000</w:t>
            </w:r>
            <w:r w:rsidRPr="004A140A">
              <w:rPr>
                <w:rFonts w:asciiTheme="majorHAnsi" w:eastAsia="Times New Roman" w:hAnsiTheme="majorHAnsi" w:cstheme="majorHAnsi"/>
                <w:sz w:val="18"/>
                <w:szCs w:val="18"/>
                <w:highlight w:val="cyan"/>
                <w:lang w:eastAsia="fr-FR"/>
              </w:rPr>
              <w:t xml:space="preserve"> per year); the remaining budget is covered  OUTCOME3 </w:t>
            </w:r>
          </w:p>
        </w:tc>
      </w:tr>
      <w:tr w:rsidR="000A2A52" w:rsidRPr="00327CBE" w14:paraId="724BD380" w14:textId="77777777" w:rsidTr="008244FA">
        <w:trPr>
          <w:trHeight w:val="276"/>
        </w:trPr>
        <w:tc>
          <w:tcPr>
            <w:tcW w:w="1144" w:type="dxa"/>
            <w:vMerge/>
            <w:tcBorders>
              <w:top w:val="nil"/>
              <w:left w:val="single" w:sz="8" w:space="0" w:color="auto"/>
              <w:bottom w:val="single" w:sz="8" w:space="0" w:color="000000"/>
              <w:right w:val="single" w:sz="8" w:space="0" w:color="auto"/>
            </w:tcBorders>
            <w:vAlign w:val="center"/>
            <w:hideMark/>
          </w:tcPr>
          <w:p w14:paraId="383AF90C" w14:textId="77777777" w:rsidR="000A2A52" w:rsidRPr="008244FA" w:rsidRDefault="000A2A52">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8" w:space="0" w:color="000000"/>
              <w:right w:val="single" w:sz="8" w:space="0" w:color="000000"/>
            </w:tcBorders>
            <w:vAlign w:val="center"/>
            <w:hideMark/>
          </w:tcPr>
          <w:p w14:paraId="49711E1F" w14:textId="77777777" w:rsidR="000A2A52" w:rsidRPr="008244FA" w:rsidRDefault="000A2A52">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8" w:space="0" w:color="000000"/>
              <w:right w:val="single" w:sz="8" w:space="0" w:color="000000"/>
            </w:tcBorders>
            <w:vAlign w:val="center"/>
            <w:hideMark/>
          </w:tcPr>
          <w:p w14:paraId="139D6029" w14:textId="77777777" w:rsidR="000A2A52" w:rsidRPr="008244FA" w:rsidRDefault="000A2A52">
            <w:pPr>
              <w:rPr>
                <w:rFonts w:asciiTheme="majorHAnsi" w:eastAsia="Times New Roman" w:hAnsiTheme="majorHAnsi" w:cstheme="majorHAnsi"/>
                <w:color w:val="000000"/>
                <w:sz w:val="18"/>
                <w:szCs w:val="18"/>
                <w:lang w:eastAsia="fr-FR"/>
              </w:rPr>
            </w:pPr>
          </w:p>
        </w:tc>
        <w:tc>
          <w:tcPr>
            <w:tcW w:w="9939" w:type="dxa"/>
            <w:gridSpan w:val="6"/>
            <w:vMerge/>
            <w:tcBorders>
              <w:top w:val="single" w:sz="8" w:space="0" w:color="auto"/>
              <w:left w:val="single" w:sz="8" w:space="0" w:color="auto"/>
              <w:bottom w:val="single" w:sz="8" w:space="0" w:color="000000"/>
              <w:right w:val="single" w:sz="8" w:space="0" w:color="000000"/>
            </w:tcBorders>
            <w:vAlign w:val="center"/>
            <w:hideMark/>
          </w:tcPr>
          <w:p w14:paraId="177EB0A8" w14:textId="77777777" w:rsidR="000A2A52" w:rsidRPr="004A140A" w:rsidRDefault="000A2A52">
            <w:pPr>
              <w:rPr>
                <w:rFonts w:asciiTheme="majorHAnsi" w:eastAsia="Times New Roman" w:hAnsiTheme="majorHAnsi" w:cstheme="majorHAnsi"/>
                <w:sz w:val="18"/>
                <w:szCs w:val="18"/>
                <w:highlight w:val="cyan"/>
                <w:lang w:eastAsia="fr-FR"/>
              </w:rPr>
            </w:pPr>
          </w:p>
        </w:tc>
      </w:tr>
      <w:tr w:rsidR="000A2A52" w:rsidRPr="00327CBE" w14:paraId="6B9A8A04" w14:textId="77777777" w:rsidTr="008244FA">
        <w:trPr>
          <w:trHeight w:val="397"/>
        </w:trPr>
        <w:tc>
          <w:tcPr>
            <w:tcW w:w="1144" w:type="dxa"/>
            <w:tcBorders>
              <w:top w:val="nil"/>
              <w:left w:val="single" w:sz="8" w:space="0" w:color="auto"/>
              <w:bottom w:val="single" w:sz="8" w:space="0" w:color="auto"/>
              <w:right w:val="single" w:sz="8" w:space="0" w:color="auto"/>
            </w:tcBorders>
            <w:shd w:val="clear" w:color="000000" w:fill="FFFFFF"/>
            <w:hideMark/>
          </w:tcPr>
          <w:p w14:paraId="61FDD7B9" w14:textId="77777777"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39</w:t>
            </w:r>
          </w:p>
        </w:tc>
        <w:tc>
          <w:tcPr>
            <w:tcW w:w="1256" w:type="dxa"/>
            <w:tcBorders>
              <w:top w:val="single" w:sz="8" w:space="0" w:color="auto"/>
              <w:left w:val="nil"/>
              <w:bottom w:val="single" w:sz="8" w:space="0" w:color="auto"/>
              <w:right w:val="single" w:sz="8" w:space="0" w:color="000000"/>
            </w:tcBorders>
            <w:shd w:val="clear" w:color="000000" w:fill="FFFFFF"/>
            <w:hideMark/>
          </w:tcPr>
          <w:p w14:paraId="6249C8B8" w14:textId="77777777"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25,000</w:t>
            </w:r>
          </w:p>
        </w:tc>
        <w:tc>
          <w:tcPr>
            <w:tcW w:w="2126" w:type="dxa"/>
            <w:tcBorders>
              <w:top w:val="single" w:sz="8" w:space="0" w:color="auto"/>
              <w:left w:val="nil"/>
              <w:bottom w:val="single" w:sz="8" w:space="0" w:color="auto"/>
              <w:right w:val="single" w:sz="8" w:space="0" w:color="000000"/>
            </w:tcBorders>
            <w:shd w:val="clear" w:color="000000" w:fill="FFFFFF"/>
            <w:hideMark/>
          </w:tcPr>
          <w:p w14:paraId="43A625FE" w14:textId="77777777"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74100 Audit</w:t>
            </w:r>
          </w:p>
        </w:tc>
        <w:tc>
          <w:tcPr>
            <w:tcW w:w="9939" w:type="dxa"/>
            <w:gridSpan w:val="6"/>
            <w:tcBorders>
              <w:top w:val="single" w:sz="8" w:space="0" w:color="auto"/>
              <w:left w:val="nil"/>
              <w:bottom w:val="single" w:sz="8" w:space="0" w:color="auto"/>
              <w:right w:val="single" w:sz="8" w:space="0" w:color="000000"/>
            </w:tcBorders>
            <w:shd w:val="clear" w:color="000000" w:fill="FFFFFF"/>
            <w:hideMark/>
          </w:tcPr>
          <w:p w14:paraId="580C515F" w14:textId="77777777" w:rsidR="000A2A52" w:rsidRPr="004A140A" w:rsidRDefault="000A2A52">
            <w:pPr>
              <w:rPr>
                <w:rFonts w:asciiTheme="majorHAnsi" w:eastAsia="Times New Roman" w:hAnsiTheme="majorHAnsi" w:cstheme="majorHAnsi"/>
                <w:sz w:val="18"/>
                <w:szCs w:val="18"/>
                <w:highlight w:val="cyan"/>
                <w:lang w:eastAsia="fr-FR"/>
              </w:rPr>
            </w:pPr>
            <w:r w:rsidRPr="004A140A">
              <w:rPr>
                <w:rFonts w:asciiTheme="majorHAnsi" w:eastAsia="Times New Roman" w:hAnsiTheme="majorHAnsi" w:cstheme="majorHAnsi"/>
                <w:sz w:val="18"/>
                <w:szCs w:val="18"/>
                <w:highlight w:val="cyan"/>
                <w:lang w:eastAsia="fr-FR"/>
              </w:rPr>
              <w:t xml:space="preserve"> </w:t>
            </w:r>
            <w:r w:rsidRPr="004A140A">
              <w:rPr>
                <w:rFonts w:asciiTheme="majorHAnsi" w:eastAsia="Times New Roman" w:hAnsiTheme="majorHAnsi" w:cstheme="majorHAnsi"/>
                <w:b/>
                <w:bCs/>
                <w:sz w:val="18"/>
                <w:szCs w:val="18"/>
                <w:highlight w:val="cyan"/>
                <w:lang w:eastAsia="fr-FR"/>
              </w:rPr>
              <w:t xml:space="preserve">USD25,000: </w:t>
            </w:r>
            <w:r w:rsidRPr="004A140A">
              <w:rPr>
                <w:rFonts w:asciiTheme="majorHAnsi" w:eastAsia="Times New Roman" w:hAnsiTheme="majorHAnsi" w:cstheme="majorHAnsi"/>
                <w:sz w:val="18"/>
                <w:szCs w:val="18"/>
                <w:highlight w:val="cyan"/>
                <w:lang w:eastAsia="fr-FR"/>
              </w:rPr>
              <w:t>Budget for the Audit services</w:t>
            </w:r>
          </w:p>
        </w:tc>
      </w:tr>
      <w:tr w:rsidR="000A2A52" w:rsidRPr="00327CBE" w14:paraId="43E8F9F1" w14:textId="77777777" w:rsidTr="008244FA">
        <w:trPr>
          <w:trHeight w:val="276"/>
        </w:trPr>
        <w:tc>
          <w:tcPr>
            <w:tcW w:w="1144" w:type="dxa"/>
            <w:vMerge w:val="restart"/>
            <w:tcBorders>
              <w:top w:val="nil"/>
              <w:left w:val="single" w:sz="8" w:space="0" w:color="auto"/>
              <w:bottom w:val="single" w:sz="8" w:space="0" w:color="000000"/>
              <w:right w:val="single" w:sz="8" w:space="0" w:color="auto"/>
            </w:tcBorders>
            <w:shd w:val="clear" w:color="auto" w:fill="auto"/>
            <w:noWrap/>
            <w:hideMark/>
          </w:tcPr>
          <w:p w14:paraId="22ADB9DC" w14:textId="77777777"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40</w:t>
            </w:r>
          </w:p>
        </w:tc>
        <w:tc>
          <w:tcPr>
            <w:tcW w:w="1256" w:type="dxa"/>
            <w:vMerge w:val="restart"/>
            <w:tcBorders>
              <w:top w:val="single" w:sz="8" w:space="0" w:color="auto"/>
              <w:left w:val="single" w:sz="8" w:space="0" w:color="auto"/>
              <w:bottom w:val="single" w:sz="8" w:space="0" w:color="000000"/>
              <w:right w:val="single" w:sz="8" w:space="0" w:color="000000"/>
            </w:tcBorders>
            <w:shd w:val="clear" w:color="auto" w:fill="auto"/>
            <w:noWrap/>
            <w:hideMark/>
          </w:tcPr>
          <w:p w14:paraId="7DBFF0E1" w14:textId="3F7A9DDF" w:rsidR="000A2A52" w:rsidRPr="008244FA" w:rsidRDefault="00755012" w:rsidP="008244FA">
            <w:pPr>
              <w:rPr>
                <w:rFonts w:asciiTheme="majorHAnsi" w:eastAsia="Times New Roman" w:hAnsiTheme="majorHAnsi" w:cstheme="majorHAnsi"/>
                <w:color w:val="000000"/>
                <w:sz w:val="18"/>
                <w:szCs w:val="18"/>
                <w:lang w:val="fr-FR" w:eastAsia="fr-FR"/>
              </w:rPr>
            </w:pPr>
            <w:r>
              <w:rPr>
                <w:rFonts w:asciiTheme="majorHAnsi" w:eastAsia="Times New Roman" w:hAnsiTheme="majorHAnsi" w:cstheme="majorHAnsi"/>
                <w:color w:val="000000"/>
                <w:sz w:val="18"/>
                <w:szCs w:val="18"/>
                <w:lang w:val="fr-FR" w:eastAsia="fr-FR"/>
              </w:rPr>
              <w:t>20,0</w:t>
            </w:r>
            <w:r w:rsidR="000A2A52" w:rsidRPr="008244FA">
              <w:rPr>
                <w:rFonts w:asciiTheme="majorHAnsi" w:eastAsia="Times New Roman" w:hAnsiTheme="majorHAnsi" w:cstheme="majorHAnsi"/>
                <w:color w:val="000000"/>
                <w:sz w:val="18"/>
                <w:szCs w:val="18"/>
                <w:lang w:val="fr-FR" w:eastAsia="fr-FR"/>
              </w:rPr>
              <w:t>00</w:t>
            </w:r>
          </w:p>
        </w:tc>
        <w:tc>
          <w:tcPr>
            <w:tcW w:w="2126" w:type="dxa"/>
            <w:vMerge w:val="restart"/>
            <w:tcBorders>
              <w:top w:val="single" w:sz="8" w:space="0" w:color="auto"/>
              <w:left w:val="single" w:sz="8" w:space="0" w:color="auto"/>
              <w:bottom w:val="single" w:sz="8" w:space="0" w:color="000000"/>
              <w:right w:val="single" w:sz="8" w:space="0" w:color="000000"/>
            </w:tcBorders>
            <w:shd w:val="clear" w:color="auto" w:fill="auto"/>
            <w:hideMark/>
          </w:tcPr>
          <w:p w14:paraId="4788DE46" w14:textId="77777777" w:rsidR="000A2A52" w:rsidRPr="008244FA" w:rsidRDefault="000A2A52" w:rsidP="008244FA">
            <w:pPr>
              <w:rPr>
                <w:rFonts w:asciiTheme="majorHAnsi" w:eastAsia="Times New Roman" w:hAnsiTheme="majorHAnsi" w:cstheme="majorHAnsi"/>
                <w:color w:val="000000"/>
                <w:sz w:val="18"/>
                <w:szCs w:val="18"/>
                <w:lang w:val="fr-FR" w:eastAsia="fr-FR"/>
              </w:rPr>
            </w:pPr>
            <w:r w:rsidRPr="008244FA">
              <w:rPr>
                <w:rFonts w:asciiTheme="majorHAnsi" w:eastAsia="Times New Roman" w:hAnsiTheme="majorHAnsi" w:cstheme="majorHAnsi"/>
                <w:color w:val="000000"/>
                <w:sz w:val="18"/>
                <w:szCs w:val="18"/>
                <w:lang w:val="fr-FR" w:eastAsia="fr-FR"/>
              </w:rPr>
              <w:t>75700 Workshop, Training and Conf</w:t>
            </w:r>
          </w:p>
        </w:tc>
        <w:tc>
          <w:tcPr>
            <w:tcW w:w="9939" w:type="dxa"/>
            <w:gridSpan w:val="6"/>
            <w:vMerge w:val="restart"/>
            <w:tcBorders>
              <w:top w:val="single" w:sz="8" w:space="0" w:color="auto"/>
              <w:left w:val="single" w:sz="8" w:space="0" w:color="auto"/>
              <w:bottom w:val="single" w:sz="8" w:space="0" w:color="000000"/>
              <w:right w:val="single" w:sz="8" w:space="0" w:color="000000"/>
            </w:tcBorders>
            <w:shd w:val="clear" w:color="auto" w:fill="auto"/>
            <w:hideMark/>
          </w:tcPr>
          <w:p w14:paraId="68C40B0E" w14:textId="1A5CC4E1" w:rsidR="000A2A52" w:rsidRPr="004A140A" w:rsidRDefault="000A2A52">
            <w:pPr>
              <w:rPr>
                <w:rFonts w:asciiTheme="majorHAnsi" w:eastAsia="Times New Roman" w:hAnsiTheme="majorHAnsi" w:cstheme="majorHAnsi"/>
                <w:color w:val="000000"/>
                <w:sz w:val="18"/>
                <w:szCs w:val="18"/>
                <w:highlight w:val="cyan"/>
                <w:lang w:eastAsia="fr-FR"/>
              </w:rPr>
            </w:pPr>
            <w:r w:rsidRPr="00F30D18">
              <w:rPr>
                <w:rFonts w:asciiTheme="majorHAnsi" w:eastAsia="Times New Roman" w:hAnsiTheme="majorHAnsi" w:cstheme="majorHAnsi"/>
                <w:b/>
                <w:bCs/>
                <w:color w:val="000000"/>
                <w:sz w:val="18"/>
                <w:szCs w:val="18"/>
                <w:highlight w:val="magenta"/>
                <w:lang w:eastAsia="fr-FR"/>
              </w:rPr>
              <w:t xml:space="preserve">USD </w:t>
            </w:r>
            <w:r w:rsidR="00755012" w:rsidRPr="00F30D18">
              <w:rPr>
                <w:rFonts w:asciiTheme="majorHAnsi" w:eastAsia="Times New Roman" w:hAnsiTheme="majorHAnsi" w:cstheme="majorHAnsi"/>
                <w:b/>
                <w:bCs/>
                <w:color w:val="000000"/>
                <w:sz w:val="18"/>
                <w:szCs w:val="18"/>
                <w:highlight w:val="magenta"/>
                <w:lang w:eastAsia="fr-FR"/>
              </w:rPr>
              <w:t>20,0</w:t>
            </w:r>
            <w:r w:rsidRPr="00F30D18">
              <w:rPr>
                <w:rFonts w:asciiTheme="majorHAnsi" w:eastAsia="Times New Roman" w:hAnsiTheme="majorHAnsi" w:cstheme="majorHAnsi"/>
                <w:b/>
                <w:bCs/>
                <w:color w:val="000000"/>
                <w:sz w:val="18"/>
                <w:szCs w:val="18"/>
                <w:highlight w:val="magenta"/>
                <w:lang w:eastAsia="fr-FR"/>
              </w:rPr>
              <w:t xml:space="preserve">00 </w:t>
            </w:r>
            <w:r w:rsidRPr="00F30D18">
              <w:rPr>
                <w:rFonts w:asciiTheme="majorHAnsi" w:eastAsia="Times New Roman" w:hAnsiTheme="majorHAnsi" w:cstheme="majorHAnsi"/>
                <w:color w:val="000000"/>
                <w:sz w:val="18"/>
                <w:szCs w:val="18"/>
                <w:highlight w:val="magenta"/>
                <w:lang w:eastAsia="fr-FR"/>
              </w:rPr>
              <w:t xml:space="preserve">: </w:t>
            </w:r>
            <w:r w:rsidR="00755012" w:rsidRPr="00F30D18">
              <w:rPr>
                <w:rFonts w:asciiTheme="majorHAnsi" w:eastAsia="Times New Roman" w:hAnsiTheme="majorHAnsi" w:cstheme="majorHAnsi"/>
                <w:color w:val="000000"/>
                <w:sz w:val="18"/>
                <w:szCs w:val="18"/>
                <w:highlight w:val="magenta"/>
                <w:lang w:eastAsia="fr-FR"/>
              </w:rPr>
              <w:t>5</w:t>
            </w:r>
            <w:r w:rsidRPr="00F30D18">
              <w:rPr>
                <w:rFonts w:asciiTheme="majorHAnsi" w:eastAsia="Times New Roman" w:hAnsiTheme="majorHAnsi" w:cstheme="majorHAnsi"/>
                <w:color w:val="000000"/>
                <w:sz w:val="18"/>
                <w:szCs w:val="18"/>
                <w:highlight w:val="magenta"/>
                <w:lang w:eastAsia="fr-FR"/>
              </w:rPr>
              <w:t xml:space="preserve"> Workshops on SDG implementation and Biodiversity</w:t>
            </w:r>
          </w:p>
        </w:tc>
      </w:tr>
      <w:tr w:rsidR="00335729" w:rsidRPr="00327CBE" w14:paraId="72F2A89B" w14:textId="77777777" w:rsidTr="00335729">
        <w:trPr>
          <w:trHeight w:val="276"/>
        </w:trPr>
        <w:tc>
          <w:tcPr>
            <w:tcW w:w="1144" w:type="dxa"/>
            <w:vMerge/>
            <w:tcBorders>
              <w:top w:val="nil"/>
              <w:left w:val="single" w:sz="8" w:space="0" w:color="auto"/>
              <w:bottom w:val="single" w:sz="4" w:space="0" w:color="auto"/>
              <w:right w:val="single" w:sz="8" w:space="0" w:color="auto"/>
            </w:tcBorders>
            <w:shd w:val="clear" w:color="auto" w:fill="auto"/>
            <w:noWrap/>
          </w:tcPr>
          <w:p w14:paraId="1F298200" w14:textId="77777777" w:rsidR="00335729" w:rsidRPr="004A40DE" w:rsidRDefault="00335729" w:rsidP="008244FA">
            <w:pPr>
              <w:rPr>
                <w:rFonts w:asciiTheme="majorHAnsi" w:eastAsia="Times New Roman" w:hAnsiTheme="majorHAnsi" w:cstheme="majorHAnsi"/>
                <w:color w:val="000000"/>
                <w:sz w:val="18"/>
                <w:szCs w:val="18"/>
                <w:lang w:eastAsia="fr-FR"/>
              </w:rPr>
            </w:pPr>
          </w:p>
        </w:tc>
        <w:tc>
          <w:tcPr>
            <w:tcW w:w="1256" w:type="dxa"/>
            <w:vMerge/>
            <w:tcBorders>
              <w:top w:val="single" w:sz="8" w:space="0" w:color="auto"/>
              <w:left w:val="single" w:sz="8" w:space="0" w:color="auto"/>
              <w:bottom w:val="single" w:sz="4" w:space="0" w:color="auto"/>
              <w:right w:val="single" w:sz="8" w:space="0" w:color="000000"/>
            </w:tcBorders>
            <w:shd w:val="clear" w:color="auto" w:fill="auto"/>
            <w:noWrap/>
          </w:tcPr>
          <w:p w14:paraId="166CF6EB" w14:textId="77777777" w:rsidR="00335729" w:rsidRPr="004A40DE" w:rsidRDefault="00335729" w:rsidP="008244FA">
            <w:pPr>
              <w:rPr>
                <w:rFonts w:asciiTheme="majorHAnsi" w:eastAsia="Times New Roman" w:hAnsiTheme="majorHAnsi" w:cstheme="majorHAnsi"/>
                <w:color w:val="000000"/>
                <w:sz w:val="18"/>
                <w:szCs w:val="18"/>
                <w:lang w:eastAsia="fr-FR"/>
              </w:rPr>
            </w:pPr>
          </w:p>
        </w:tc>
        <w:tc>
          <w:tcPr>
            <w:tcW w:w="2126" w:type="dxa"/>
            <w:vMerge/>
            <w:tcBorders>
              <w:top w:val="single" w:sz="8" w:space="0" w:color="auto"/>
              <w:left w:val="single" w:sz="8" w:space="0" w:color="auto"/>
              <w:bottom w:val="single" w:sz="4" w:space="0" w:color="auto"/>
              <w:right w:val="single" w:sz="8" w:space="0" w:color="000000"/>
            </w:tcBorders>
            <w:shd w:val="clear" w:color="auto" w:fill="auto"/>
          </w:tcPr>
          <w:p w14:paraId="6D4962B2" w14:textId="77777777" w:rsidR="00335729" w:rsidRPr="004A40DE" w:rsidRDefault="00335729" w:rsidP="008244FA">
            <w:pPr>
              <w:rPr>
                <w:rFonts w:asciiTheme="majorHAnsi" w:eastAsia="Times New Roman" w:hAnsiTheme="majorHAnsi" w:cstheme="majorHAnsi"/>
                <w:color w:val="000000"/>
                <w:sz w:val="18"/>
                <w:szCs w:val="18"/>
                <w:lang w:eastAsia="fr-FR"/>
              </w:rPr>
            </w:pPr>
          </w:p>
        </w:tc>
        <w:tc>
          <w:tcPr>
            <w:tcW w:w="9939" w:type="dxa"/>
            <w:gridSpan w:val="6"/>
            <w:vMerge/>
            <w:tcBorders>
              <w:top w:val="single" w:sz="8" w:space="0" w:color="auto"/>
              <w:left w:val="single" w:sz="8" w:space="0" w:color="auto"/>
              <w:bottom w:val="single" w:sz="4" w:space="0" w:color="auto"/>
              <w:right w:val="single" w:sz="8" w:space="0" w:color="000000"/>
            </w:tcBorders>
            <w:shd w:val="clear" w:color="auto" w:fill="auto"/>
          </w:tcPr>
          <w:p w14:paraId="335C31E3" w14:textId="77777777" w:rsidR="00335729" w:rsidRPr="004A140A" w:rsidRDefault="00335729">
            <w:pPr>
              <w:rPr>
                <w:rFonts w:asciiTheme="majorHAnsi" w:eastAsia="Times New Roman" w:hAnsiTheme="majorHAnsi" w:cstheme="majorHAnsi"/>
                <w:b/>
                <w:bCs/>
                <w:color w:val="000000"/>
                <w:sz w:val="18"/>
                <w:szCs w:val="18"/>
                <w:highlight w:val="cyan"/>
                <w:lang w:eastAsia="fr-FR"/>
              </w:rPr>
            </w:pPr>
          </w:p>
        </w:tc>
      </w:tr>
      <w:tr w:rsidR="00335729" w:rsidRPr="00327CBE" w14:paraId="2C81F068" w14:textId="77777777" w:rsidTr="005055AD">
        <w:trPr>
          <w:trHeight w:val="276"/>
        </w:trPr>
        <w:tc>
          <w:tcPr>
            <w:tcW w:w="1144" w:type="dxa"/>
            <w:tcBorders>
              <w:top w:val="single" w:sz="4" w:space="0" w:color="auto"/>
              <w:left w:val="single" w:sz="8" w:space="0" w:color="auto"/>
              <w:bottom w:val="single" w:sz="8" w:space="0" w:color="000000"/>
              <w:right w:val="single" w:sz="8" w:space="0" w:color="auto"/>
            </w:tcBorders>
            <w:vAlign w:val="center"/>
            <w:hideMark/>
          </w:tcPr>
          <w:p w14:paraId="5BC974EE" w14:textId="1220BF35" w:rsidR="00335729" w:rsidRPr="008244FA" w:rsidRDefault="00335729" w:rsidP="00335729">
            <w:pPr>
              <w:rPr>
                <w:rFonts w:asciiTheme="majorHAnsi" w:eastAsia="Times New Roman" w:hAnsiTheme="majorHAnsi" w:cstheme="majorHAnsi"/>
                <w:color w:val="000000"/>
                <w:sz w:val="18"/>
                <w:szCs w:val="18"/>
                <w:lang w:eastAsia="fr-FR"/>
              </w:rPr>
            </w:pPr>
            <w:r>
              <w:rPr>
                <w:rFonts w:asciiTheme="majorHAnsi" w:eastAsia="Times New Roman" w:hAnsiTheme="majorHAnsi" w:cstheme="majorHAnsi"/>
                <w:color w:val="000000"/>
                <w:sz w:val="18"/>
                <w:szCs w:val="18"/>
                <w:lang w:eastAsia="fr-FR"/>
              </w:rPr>
              <w:t>41</w:t>
            </w:r>
          </w:p>
        </w:tc>
        <w:tc>
          <w:tcPr>
            <w:tcW w:w="1256" w:type="dxa"/>
            <w:tcBorders>
              <w:top w:val="single" w:sz="4" w:space="0" w:color="auto"/>
              <w:left w:val="single" w:sz="8" w:space="0" w:color="auto"/>
              <w:bottom w:val="single" w:sz="8" w:space="0" w:color="000000"/>
              <w:right w:val="single" w:sz="8" w:space="0" w:color="000000"/>
            </w:tcBorders>
            <w:vAlign w:val="center"/>
            <w:hideMark/>
          </w:tcPr>
          <w:p w14:paraId="5A97BB41" w14:textId="542B6729" w:rsidR="00335729" w:rsidRPr="008244FA" w:rsidRDefault="00335729" w:rsidP="00335729">
            <w:pP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val="fr-FR" w:eastAsia="fr-FR"/>
              </w:rPr>
              <w:t>18</w:t>
            </w:r>
            <w:r w:rsidR="00755012">
              <w:rPr>
                <w:rFonts w:asciiTheme="majorHAnsi" w:eastAsia="Times New Roman" w:hAnsiTheme="majorHAnsi" w:cstheme="majorHAnsi"/>
                <w:color w:val="000000"/>
                <w:sz w:val="18"/>
                <w:szCs w:val="18"/>
                <w:lang w:val="fr-FR" w:eastAsia="fr-FR"/>
              </w:rPr>
              <w:t>0,0</w:t>
            </w:r>
            <w:r w:rsidRPr="008244FA">
              <w:rPr>
                <w:rFonts w:asciiTheme="majorHAnsi" w:eastAsia="Times New Roman" w:hAnsiTheme="majorHAnsi" w:cstheme="majorHAnsi"/>
                <w:color w:val="000000"/>
                <w:sz w:val="18"/>
                <w:szCs w:val="18"/>
                <w:lang w:val="fr-FR" w:eastAsia="fr-FR"/>
              </w:rPr>
              <w:t>00</w:t>
            </w:r>
          </w:p>
        </w:tc>
        <w:tc>
          <w:tcPr>
            <w:tcW w:w="2126" w:type="dxa"/>
            <w:tcBorders>
              <w:top w:val="single" w:sz="4" w:space="0" w:color="auto"/>
              <w:left w:val="single" w:sz="8" w:space="0" w:color="auto"/>
              <w:bottom w:val="single" w:sz="8" w:space="0" w:color="000000"/>
              <w:right w:val="single" w:sz="8" w:space="0" w:color="000000"/>
            </w:tcBorders>
            <w:vAlign w:val="center"/>
            <w:hideMark/>
          </w:tcPr>
          <w:p w14:paraId="09F7A2EE" w14:textId="63F3608F" w:rsidR="00335729" w:rsidRPr="008244FA" w:rsidRDefault="00335729" w:rsidP="00335729">
            <w:pPr>
              <w:rPr>
                <w:rFonts w:asciiTheme="majorHAnsi" w:eastAsia="Times New Roman" w:hAnsiTheme="majorHAnsi" w:cstheme="majorHAnsi"/>
                <w:color w:val="000000"/>
                <w:sz w:val="18"/>
                <w:szCs w:val="18"/>
                <w:lang w:eastAsia="fr-FR"/>
              </w:rPr>
            </w:pPr>
            <w:r w:rsidRPr="008244FA">
              <w:rPr>
                <w:rFonts w:asciiTheme="majorHAnsi" w:eastAsia="Times New Roman" w:hAnsiTheme="majorHAnsi" w:cstheme="majorHAnsi"/>
                <w:color w:val="000000"/>
                <w:sz w:val="18"/>
                <w:szCs w:val="18"/>
                <w:lang w:val="fr-FR" w:eastAsia="fr-FR"/>
              </w:rPr>
              <w:t xml:space="preserve">71400 </w:t>
            </w:r>
            <w:proofErr w:type="spellStart"/>
            <w:r w:rsidRPr="008244FA">
              <w:rPr>
                <w:rFonts w:asciiTheme="majorHAnsi" w:eastAsia="Times New Roman" w:hAnsiTheme="majorHAnsi" w:cstheme="majorHAnsi"/>
                <w:color w:val="000000"/>
                <w:sz w:val="18"/>
                <w:szCs w:val="18"/>
                <w:lang w:val="fr-FR" w:eastAsia="fr-FR"/>
              </w:rPr>
              <w:t>Contractual</w:t>
            </w:r>
            <w:proofErr w:type="spellEnd"/>
            <w:r w:rsidRPr="008244FA">
              <w:rPr>
                <w:rFonts w:asciiTheme="majorHAnsi" w:eastAsia="Times New Roman" w:hAnsiTheme="majorHAnsi" w:cstheme="majorHAnsi"/>
                <w:color w:val="000000"/>
                <w:sz w:val="18"/>
                <w:szCs w:val="18"/>
                <w:lang w:val="fr-FR" w:eastAsia="fr-FR"/>
              </w:rPr>
              <w:t xml:space="preserve"> Services - </w:t>
            </w:r>
            <w:proofErr w:type="spellStart"/>
            <w:r w:rsidRPr="008244FA">
              <w:rPr>
                <w:rFonts w:asciiTheme="majorHAnsi" w:eastAsia="Times New Roman" w:hAnsiTheme="majorHAnsi" w:cstheme="majorHAnsi"/>
                <w:color w:val="000000"/>
                <w:sz w:val="18"/>
                <w:szCs w:val="18"/>
                <w:lang w:val="fr-FR" w:eastAsia="fr-FR"/>
              </w:rPr>
              <w:t>Individual</w:t>
            </w:r>
            <w:proofErr w:type="spellEnd"/>
          </w:p>
        </w:tc>
        <w:tc>
          <w:tcPr>
            <w:tcW w:w="9939" w:type="dxa"/>
            <w:gridSpan w:val="6"/>
            <w:tcBorders>
              <w:top w:val="single" w:sz="4" w:space="0" w:color="auto"/>
              <w:left w:val="single" w:sz="8" w:space="0" w:color="auto"/>
              <w:bottom w:val="single" w:sz="8" w:space="0" w:color="000000"/>
              <w:right w:val="single" w:sz="8" w:space="0" w:color="000000"/>
            </w:tcBorders>
            <w:hideMark/>
          </w:tcPr>
          <w:p w14:paraId="7C3230AA" w14:textId="2409C535" w:rsidR="00335729" w:rsidRPr="004A140A" w:rsidRDefault="00335729" w:rsidP="00335729">
            <w:pPr>
              <w:rPr>
                <w:rFonts w:asciiTheme="majorHAnsi" w:eastAsia="Times New Roman" w:hAnsiTheme="majorHAnsi" w:cstheme="majorHAnsi"/>
                <w:color w:val="000000"/>
                <w:sz w:val="18"/>
                <w:szCs w:val="18"/>
                <w:highlight w:val="cyan"/>
                <w:lang w:eastAsia="fr-FR"/>
              </w:rPr>
            </w:pPr>
            <w:r w:rsidRPr="00F30D18">
              <w:rPr>
                <w:rFonts w:asciiTheme="majorHAnsi" w:eastAsia="Times New Roman" w:hAnsiTheme="majorHAnsi" w:cstheme="majorHAnsi"/>
                <w:b/>
                <w:bCs/>
                <w:color w:val="000000"/>
                <w:sz w:val="18"/>
                <w:szCs w:val="18"/>
                <w:highlight w:val="magenta"/>
                <w:lang w:eastAsia="fr-FR"/>
              </w:rPr>
              <w:t>USD 1</w:t>
            </w:r>
            <w:r w:rsidR="00755012" w:rsidRPr="00F30D18">
              <w:rPr>
                <w:rFonts w:asciiTheme="majorHAnsi" w:eastAsia="Times New Roman" w:hAnsiTheme="majorHAnsi" w:cstheme="majorHAnsi"/>
                <w:b/>
                <w:bCs/>
                <w:color w:val="000000"/>
                <w:sz w:val="18"/>
                <w:szCs w:val="18"/>
                <w:highlight w:val="magenta"/>
                <w:lang w:eastAsia="fr-FR"/>
              </w:rPr>
              <w:t>80,0</w:t>
            </w:r>
            <w:r w:rsidRPr="00F30D18">
              <w:rPr>
                <w:rFonts w:asciiTheme="majorHAnsi" w:eastAsia="Times New Roman" w:hAnsiTheme="majorHAnsi" w:cstheme="majorHAnsi"/>
                <w:b/>
                <w:bCs/>
                <w:color w:val="000000"/>
                <w:sz w:val="18"/>
                <w:szCs w:val="18"/>
                <w:highlight w:val="magenta"/>
                <w:lang w:eastAsia="fr-FR"/>
              </w:rPr>
              <w:t xml:space="preserve">00:  </w:t>
            </w:r>
            <w:r w:rsidRPr="00F30D18">
              <w:rPr>
                <w:rFonts w:asciiTheme="majorHAnsi" w:eastAsia="Times New Roman" w:hAnsiTheme="majorHAnsi" w:cstheme="majorHAnsi"/>
                <w:color w:val="000000"/>
                <w:sz w:val="18"/>
                <w:szCs w:val="18"/>
                <w:highlight w:val="magenta"/>
                <w:lang w:eastAsia="fr-FR"/>
              </w:rPr>
              <w:t xml:space="preserve">total Salary of the </w:t>
            </w:r>
            <w:r w:rsidRPr="00F30D18">
              <w:rPr>
                <w:rFonts w:asciiTheme="majorHAnsi" w:eastAsia="Times New Roman" w:hAnsiTheme="majorHAnsi" w:cstheme="majorHAnsi"/>
                <w:sz w:val="18"/>
                <w:szCs w:val="18"/>
                <w:highlight w:val="magenta"/>
                <w:lang w:eastAsia="fr-FR"/>
              </w:rPr>
              <w:t xml:space="preserve">Project </w:t>
            </w:r>
            <w:r w:rsidRPr="00F30D18">
              <w:rPr>
                <w:rFonts w:asciiTheme="majorHAnsi" w:eastAsia="Times New Roman" w:hAnsiTheme="majorHAnsi" w:cstheme="majorHAnsi"/>
                <w:color w:val="000000"/>
                <w:sz w:val="18"/>
                <w:szCs w:val="18"/>
                <w:highlight w:val="magenta"/>
                <w:lang w:eastAsia="fr-FR"/>
              </w:rPr>
              <w:t>Officer</w:t>
            </w:r>
            <w:r w:rsidR="00755012" w:rsidRPr="00F30D18">
              <w:rPr>
                <w:rFonts w:asciiTheme="majorHAnsi" w:eastAsia="Times New Roman" w:hAnsiTheme="majorHAnsi" w:cstheme="majorHAnsi"/>
                <w:color w:val="000000"/>
                <w:sz w:val="18"/>
                <w:szCs w:val="18"/>
                <w:highlight w:val="magenta"/>
                <w:lang w:eastAsia="fr-FR"/>
              </w:rPr>
              <w:t xml:space="preserve"> </w:t>
            </w:r>
            <w:r w:rsidRPr="00F30D18">
              <w:rPr>
                <w:rFonts w:asciiTheme="majorHAnsi" w:eastAsia="Times New Roman" w:hAnsiTheme="majorHAnsi" w:cstheme="majorHAnsi"/>
                <w:color w:val="000000"/>
                <w:sz w:val="18"/>
                <w:szCs w:val="18"/>
                <w:highlight w:val="magenta"/>
                <w:lang w:eastAsia="fr-FR"/>
              </w:rPr>
              <w:t>(total 5 person/years @ USD3</w:t>
            </w:r>
            <w:r w:rsidR="00755012" w:rsidRPr="00F30D18">
              <w:rPr>
                <w:rFonts w:asciiTheme="majorHAnsi" w:eastAsia="Times New Roman" w:hAnsiTheme="majorHAnsi" w:cstheme="majorHAnsi"/>
                <w:color w:val="000000"/>
                <w:sz w:val="18"/>
                <w:szCs w:val="18"/>
                <w:highlight w:val="magenta"/>
                <w:lang w:eastAsia="fr-FR"/>
              </w:rPr>
              <w:t>6,000</w:t>
            </w:r>
            <w:r w:rsidRPr="00F30D18">
              <w:rPr>
                <w:rFonts w:asciiTheme="majorHAnsi" w:eastAsia="Times New Roman" w:hAnsiTheme="majorHAnsi" w:cstheme="majorHAnsi"/>
                <w:color w:val="000000"/>
                <w:sz w:val="18"/>
                <w:szCs w:val="18"/>
                <w:highlight w:val="magenta"/>
                <w:lang w:eastAsia="fr-FR"/>
              </w:rPr>
              <w:t xml:space="preserve"> per year)</w:t>
            </w:r>
          </w:p>
        </w:tc>
      </w:tr>
    </w:tbl>
    <w:p w14:paraId="0CEA98E1" w14:textId="77777777" w:rsidR="002A4941" w:rsidRPr="005516CD" w:rsidRDefault="002A4941">
      <w:pPr>
        <w:rPr>
          <w:rFonts w:asciiTheme="majorHAnsi" w:hAnsiTheme="majorHAnsi" w:cstheme="majorHAnsi"/>
          <w:b/>
          <w:color w:val="FF0000"/>
          <w:sz w:val="20"/>
        </w:rPr>
      </w:pPr>
    </w:p>
    <w:p w14:paraId="1EF7B99F" w14:textId="10D1A028" w:rsidR="00D75DCF" w:rsidRPr="005516CD" w:rsidRDefault="00D75DCF">
      <w:pPr>
        <w:pBdr>
          <w:top w:val="nil"/>
          <w:left w:val="nil"/>
          <w:bottom w:val="nil"/>
          <w:right w:val="nil"/>
          <w:between w:val="nil"/>
          <w:bar w:val="nil"/>
        </w:pBdr>
        <w:rPr>
          <w:rFonts w:asciiTheme="majorHAnsi" w:hAnsiTheme="majorHAnsi" w:cstheme="majorHAnsi"/>
          <w:color w:val="FF0000"/>
          <w:sz w:val="20"/>
          <w:szCs w:val="20"/>
        </w:rPr>
      </w:pPr>
      <w:r w:rsidRPr="005516CD">
        <w:rPr>
          <w:rFonts w:asciiTheme="majorHAnsi" w:hAnsiTheme="majorHAnsi" w:cstheme="majorHAnsi"/>
          <w:color w:val="FF0000"/>
          <w:sz w:val="20"/>
          <w:szCs w:val="20"/>
        </w:rPr>
        <w:br w:type="page"/>
      </w:r>
    </w:p>
    <w:p w14:paraId="2098BFFC" w14:textId="77777777" w:rsidR="00457B94" w:rsidRPr="005516CD" w:rsidRDefault="00457B94" w:rsidP="00FB5829">
      <w:pPr>
        <w:pStyle w:val="Body"/>
        <w:rPr>
          <w:b/>
        </w:rPr>
      </w:pPr>
      <w:r w:rsidRPr="00867EF5">
        <w:rPr>
          <w:b/>
          <w:color w:val="auto"/>
        </w:rPr>
        <w:t>Summary of funds</w:t>
      </w:r>
    </w:p>
    <w:tbl>
      <w:tblPr>
        <w:tblW w:w="13933" w:type="dxa"/>
        <w:tblInd w:w="-5" w:type="dxa"/>
        <w:tblLook w:val="04A0" w:firstRow="1" w:lastRow="0" w:firstColumn="1" w:lastColumn="0" w:noHBand="0" w:noVBand="1"/>
      </w:tblPr>
      <w:tblGrid>
        <w:gridCol w:w="4395"/>
        <w:gridCol w:w="1573"/>
        <w:gridCol w:w="1664"/>
        <w:gridCol w:w="1664"/>
        <w:gridCol w:w="1664"/>
        <w:gridCol w:w="1664"/>
        <w:gridCol w:w="1309"/>
      </w:tblGrid>
      <w:tr w:rsidR="00457B94" w:rsidRPr="005516CD" w14:paraId="6692D0E1" w14:textId="77777777" w:rsidTr="00A23757">
        <w:trPr>
          <w:trHeight w:val="288"/>
        </w:trPr>
        <w:tc>
          <w:tcPr>
            <w:tcW w:w="43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1F09FB5E" w14:textId="77777777" w:rsidR="00457B94" w:rsidRPr="008244FA" w:rsidRDefault="00457B94" w:rsidP="00FB5829">
            <w:pPr>
              <w:jc w:val="center"/>
              <w:rPr>
                <w:rFonts w:ascii="Calibri" w:eastAsia="Times New Roman" w:hAnsi="Calibri" w:cs="Calibri"/>
                <w:b/>
                <w:color w:val="000000"/>
                <w:sz w:val="22"/>
                <w:szCs w:val="22"/>
                <w:highlight w:val="cyan"/>
              </w:rPr>
            </w:pPr>
            <w:bookmarkStart w:id="94" w:name="_Hlk8054463"/>
            <w:r w:rsidRPr="008244FA">
              <w:rPr>
                <w:rFonts w:ascii="Calibri" w:eastAsia="Times New Roman" w:hAnsi="Calibri" w:cs="Calibri"/>
                <w:b/>
                <w:color w:val="000000"/>
                <w:sz w:val="22"/>
                <w:szCs w:val="22"/>
                <w:highlight w:val="cyan"/>
              </w:rPr>
              <w:t>Source</w:t>
            </w:r>
          </w:p>
        </w:tc>
        <w:tc>
          <w:tcPr>
            <w:tcW w:w="157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CFD104D" w14:textId="77777777" w:rsidR="00457B94" w:rsidRPr="008244FA" w:rsidRDefault="00457B94" w:rsidP="00457B94">
            <w:pPr>
              <w:jc w:val="center"/>
              <w:rPr>
                <w:rFonts w:ascii="Calibri" w:eastAsia="Times New Roman" w:hAnsi="Calibri" w:cs="Calibri"/>
                <w:b/>
                <w:bCs/>
                <w:sz w:val="22"/>
                <w:szCs w:val="22"/>
                <w:highlight w:val="cyan"/>
              </w:rPr>
            </w:pPr>
            <w:r w:rsidRPr="008244FA">
              <w:rPr>
                <w:rFonts w:ascii="Calibri" w:eastAsia="Times New Roman" w:hAnsi="Calibri" w:cs="Calibri"/>
                <w:b/>
                <w:bCs/>
                <w:sz w:val="22"/>
                <w:szCs w:val="22"/>
                <w:highlight w:val="cyan"/>
              </w:rPr>
              <w:t>Year 1</w:t>
            </w:r>
          </w:p>
        </w:tc>
        <w:tc>
          <w:tcPr>
            <w:tcW w:w="166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3673AED" w14:textId="77777777" w:rsidR="00457B94" w:rsidRPr="008244FA" w:rsidRDefault="00457B94" w:rsidP="00457B94">
            <w:pPr>
              <w:jc w:val="center"/>
              <w:rPr>
                <w:rFonts w:ascii="Calibri" w:eastAsia="Times New Roman" w:hAnsi="Calibri" w:cs="Calibri"/>
                <w:b/>
                <w:bCs/>
                <w:sz w:val="22"/>
                <w:szCs w:val="22"/>
                <w:highlight w:val="cyan"/>
              </w:rPr>
            </w:pPr>
            <w:r w:rsidRPr="008244FA">
              <w:rPr>
                <w:rFonts w:ascii="Calibri" w:eastAsia="Times New Roman" w:hAnsi="Calibri" w:cs="Calibri"/>
                <w:b/>
                <w:bCs/>
                <w:sz w:val="22"/>
                <w:szCs w:val="22"/>
                <w:highlight w:val="cyan"/>
              </w:rPr>
              <w:t>Year 2</w:t>
            </w:r>
          </w:p>
        </w:tc>
        <w:tc>
          <w:tcPr>
            <w:tcW w:w="166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A4C97F2" w14:textId="77777777" w:rsidR="00457B94" w:rsidRPr="008244FA" w:rsidRDefault="00457B94" w:rsidP="00457B94">
            <w:pPr>
              <w:jc w:val="center"/>
              <w:rPr>
                <w:rFonts w:ascii="Calibri" w:eastAsia="Times New Roman" w:hAnsi="Calibri" w:cs="Calibri"/>
                <w:b/>
                <w:bCs/>
                <w:sz w:val="22"/>
                <w:szCs w:val="22"/>
                <w:highlight w:val="cyan"/>
              </w:rPr>
            </w:pPr>
            <w:r w:rsidRPr="008244FA">
              <w:rPr>
                <w:rFonts w:ascii="Calibri" w:eastAsia="Times New Roman" w:hAnsi="Calibri" w:cs="Calibri"/>
                <w:b/>
                <w:bCs/>
                <w:sz w:val="22"/>
                <w:szCs w:val="22"/>
                <w:highlight w:val="cyan"/>
              </w:rPr>
              <w:t>Year 3</w:t>
            </w:r>
          </w:p>
        </w:tc>
        <w:tc>
          <w:tcPr>
            <w:tcW w:w="166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76E16E0" w14:textId="77777777" w:rsidR="00457B94" w:rsidRPr="008244FA" w:rsidRDefault="00457B94" w:rsidP="00457B94">
            <w:pPr>
              <w:jc w:val="center"/>
              <w:rPr>
                <w:rFonts w:ascii="Calibri" w:eastAsia="Times New Roman" w:hAnsi="Calibri" w:cs="Calibri"/>
                <w:b/>
                <w:bCs/>
                <w:sz w:val="22"/>
                <w:szCs w:val="22"/>
                <w:highlight w:val="cyan"/>
              </w:rPr>
            </w:pPr>
            <w:r w:rsidRPr="008244FA">
              <w:rPr>
                <w:rFonts w:ascii="Calibri" w:eastAsia="Times New Roman" w:hAnsi="Calibri" w:cs="Calibri"/>
                <w:b/>
                <w:bCs/>
                <w:sz w:val="22"/>
                <w:szCs w:val="22"/>
                <w:highlight w:val="cyan"/>
              </w:rPr>
              <w:t>Year 4</w:t>
            </w:r>
          </w:p>
        </w:tc>
        <w:tc>
          <w:tcPr>
            <w:tcW w:w="166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57061CB" w14:textId="77777777" w:rsidR="00457B94" w:rsidRPr="008244FA" w:rsidRDefault="00457B94" w:rsidP="00457B94">
            <w:pPr>
              <w:jc w:val="center"/>
              <w:rPr>
                <w:rFonts w:ascii="Calibri" w:eastAsia="Times New Roman" w:hAnsi="Calibri" w:cs="Calibri"/>
                <w:b/>
                <w:bCs/>
                <w:sz w:val="22"/>
                <w:szCs w:val="22"/>
                <w:highlight w:val="cyan"/>
              </w:rPr>
            </w:pPr>
            <w:r w:rsidRPr="008244FA">
              <w:rPr>
                <w:rFonts w:ascii="Calibri" w:eastAsia="Times New Roman" w:hAnsi="Calibri" w:cs="Calibri"/>
                <w:b/>
                <w:bCs/>
                <w:sz w:val="22"/>
                <w:szCs w:val="22"/>
                <w:highlight w:val="cyan"/>
              </w:rPr>
              <w:t>Year 5</w:t>
            </w:r>
          </w:p>
        </w:tc>
        <w:tc>
          <w:tcPr>
            <w:tcW w:w="130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2364A175" w14:textId="77777777" w:rsidR="00457B94" w:rsidRPr="008244FA" w:rsidRDefault="00457B94" w:rsidP="00457B94">
            <w:pPr>
              <w:jc w:val="center"/>
              <w:rPr>
                <w:rFonts w:ascii="Calibri" w:eastAsia="Times New Roman" w:hAnsi="Calibri" w:cs="Calibri"/>
                <w:b/>
                <w:bCs/>
                <w:sz w:val="22"/>
                <w:szCs w:val="22"/>
                <w:highlight w:val="cyan"/>
              </w:rPr>
            </w:pPr>
            <w:r w:rsidRPr="008244FA">
              <w:rPr>
                <w:rFonts w:ascii="Calibri" w:eastAsia="Times New Roman" w:hAnsi="Calibri" w:cs="Calibri"/>
                <w:b/>
                <w:bCs/>
                <w:sz w:val="22"/>
                <w:szCs w:val="22"/>
                <w:highlight w:val="cyan"/>
                <w:lang w:val="en-US"/>
              </w:rPr>
              <w:t xml:space="preserve">Amount </w:t>
            </w:r>
            <w:r w:rsidRPr="008244FA">
              <w:rPr>
                <w:rFonts w:ascii="Calibri" w:eastAsia="Times New Roman" w:hAnsi="Calibri" w:cs="Calibri"/>
                <w:b/>
                <w:sz w:val="22"/>
                <w:szCs w:val="22"/>
                <w:highlight w:val="cyan"/>
                <w:lang w:val="en-US"/>
              </w:rPr>
              <w:t>($)</w:t>
            </w:r>
          </w:p>
        </w:tc>
      </w:tr>
      <w:tr w:rsidR="00755012" w:rsidRPr="005516CD" w14:paraId="4C6A3BC9" w14:textId="77777777" w:rsidTr="003E194B">
        <w:trPr>
          <w:trHeight w:val="58"/>
        </w:trPr>
        <w:tc>
          <w:tcPr>
            <w:tcW w:w="4395" w:type="dxa"/>
            <w:tcBorders>
              <w:top w:val="nil"/>
              <w:left w:val="single" w:sz="4" w:space="0" w:color="auto"/>
              <w:bottom w:val="single" w:sz="4" w:space="0" w:color="auto"/>
              <w:right w:val="single" w:sz="4" w:space="0" w:color="auto"/>
            </w:tcBorders>
            <w:shd w:val="clear" w:color="auto" w:fill="auto"/>
            <w:noWrap/>
            <w:vAlign w:val="bottom"/>
            <w:hideMark/>
          </w:tcPr>
          <w:p w14:paraId="29643D9A" w14:textId="77777777" w:rsidR="00755012" w:rsidRPr="008244FA" w:rsidRDefault="00755012" w:rsidP="00755012">
            <w:pPr>
              <w:rPr>
                <w:rFonts w:ascii="Calibri" w:eastAsia="Times New Roman" w:hAnsi="Calibri" w:cs="Calibri"/>
                <w:color w:val="000000"/>
                <w:sz w:val="22"/>
                <w:szCs w:val="22"/>
                <w:highlight w:val="cyan"/>
              </w:rPr>
            </w:pPr>
            <w:r w:rsidRPr="008244FA">
              <w:rPr>
                <w:rFonts w:ascii="Calibri" w:eastAsia="Times New Roman" w:hAnsi="Calibri" w:cs="Calibri"/>
                <w:color w:val="000000"/>
                <w:sz w:val="22"/>
                <w:szCs w:val="22"/>
                <w:highlight w:val="cyan"/>
              </w:rPr>
              <w:t>GEF</w:t>
            </w:r>
          </w:p>
        </w:tc>
        <w:tc>
          <w:tcPr>
            <w:tcW w:w="1573" w:type="dxa"/>
            <w:tcBorders>
              <w:top w:val="nil"/>
              <w:left w:val="nil"/>
              <w:bottom w:val="single" w:sz="4" w:space="0" w:color="auto"/>
              <w:right w:val="single" w:sz="4" w:space="0" w:color="auto"/>
            </w:tcBorders>
            <w:shd w:val="clear" w:color="auto" w:fill="auto"/>
            <w:hideMark/>
          </w:tcPr>
          <w:p w14:paraId="059C0C13" w14:textId="6CEA627D" w:rsidR="00755012" w:rsidRPr="00755012" w:rsidRDefault="00755012" w:rsidP="00755012">
            <w:pPr>
              <w:jc w:val="right"/>
              <w:rPr>
                <w:rFonts w:asciiTheme="majorHAnsi" w:eastAsia="Times New Roman" w:hAnsiTheme="majorHAnsi" w:cstheme="majorHAnsi"/>
                <w:sz w:val="22"/>
                <w:szCs w:val="22"/>
                <w:highlight w:val="cyan"/>
                <w:lang w:val="en-US"/>
              </w:rPr>
            </w:pPr>
            <w:r w:rsidRPr="00755012">
              <w:rPr>
                <w:rFonts w:asciiTheme="majorHAnsi" w:hAnsiTheme="majorHAnsi" w:cstheme="majorHAnsi"/>
                <w:sz w:val="22"/>
                <w:highlight w:val="cyan"/>
              </w:rPr>
              <w:t>744,250</w:t>
            </w:r>
          </w:p>
        </w:tc>
        <w:tc>
          <w:tcPr>
            <w:tcW w:w="1664" w:type="dxa"/>
            <w:tcBorders>
              <w:top w:val="nil"/>
              <w:left w:val="nil"/>
              <w:bottom w:val="single" w:sz="4" w:space="0" w:color="auto"/>
              <w:right w:val="single" w:sz="4" w:space="0" w:color="auto"/>
            </w:tcBorders>
            <w:shd w:val="clear" w:color="auto" w:fill="auto"/>
            <w:hideMark/>
          </w:tcPr>
          <w:p w14:paraId="4E87E12F" w14:textId="56F3C39C" w:rsidR="00755012" w:rsidRPr="00755012" w:rsidRDefault="00755012" w:rsidP="00755012">
            <w:pPr>
              <w:jc w:val="right"/>
              <w:rPr>
                <w:rFonts w:asciiTheme="majorHAnsi" w:eastAsia="Times New Roman" w:hAnsiTheme="majorHAnsi" w:cstheme="majorHAnsi"/>
                <w:sz w:val="22"/>
                <w:szCs w:val="22"/>
                <w:highlight w:val="cyan"/>
                <w:lang w:val="en-US"/>
              </w:rPr>
            </w:pPr>
            <w:r w:rsidRPr="00755012">
              <w:rPr>
                <w:rFonts w:asciiTheme="majorHAnsi" w:hAnsiTheme="majorHAnsi" w:cstheme="majorHAnsi"/>
                <w:sz w:val="22"/>
                <w:highlight w:val="cyan"/>
              </w:rPr>
              <w:t>645,317</w:t>
            </w:r>
          </w:p>
        </w:tc>
        <w:tc>
          <w:tcPr>
            <w:tcW w:w="1664" w:type="dxa"/>
            <w:tcBorders>
              <w:top w:val="nil"/>
              <w:left w:val="nil"/>
              <w:bottom w:val="single" w:sz="4" w:space="0" w:color="auto"/>
              <w:right w:val="single" w:sz="4" w:space="0" w:color="auto"/>
            </w:tcBorders>
            <w:shd w:val="clear" w:color="auto" w:fill="auto"/>
            <w:hideMark/>
          </w:tcPr>
          <w:p w14:paraId="4DD6AF53" w14:textId="132F0A05" w:rsidR="00755012" w:rsidRPr="00755012" w:rsidRDefault="00755012" w:rsidP="00755012">
            <w:pPr>
              <w:jc w:val="right"/>
              <w:rPr>
                <w:rFonts w:asciiTheme="majorHAnsi" w:eastAsia="Times New Roman" w:hAnsiTheme="majorHAnsi" w:cstheme="majorHAnsi"/>
                <w:sz w:val="22"/>
                <w:szCs w:val="22"/>
                <w:highlight w:val="cyan"/>
                <w:lang w:val="en-US"/>
              </w:rPr>
            </w:pPr>
            <w:r w:rsidRPr="00755012">
              <w:rPr>
                <w:rFonts w:asciiTheme="majorHAnsi" w:hAnsiTheme="majorHAnsi" w:cstheme="majorHAnsi"/>
                <w:sz w:val="22"/>
                <w:highlight w:val="cyan"/>
              </w:rPr>
              <w:t>729,250</w:t>
            </w:r>
          </w:p>
        </w:tc>
        <w:tc>
          <w:tcPr>
            <w:tcW w:w="1664" w:type="dxa"/>
            <w:tcBorders>
              <w:top w:val="nil"/>
              <w:left w:val="nil"/>
              <w:bottom w:val="single" w:sz="4" w:space="0" w:color="auto"/>
              <w:right w:val="single" w:sz="4" w:space="0" w:color="auto"/>
            </w:tcBorders>
            <w:shd w:val="clear" w:color="auto" w:fill="auto"/>
            <w:hideMark/>
          </w:tcPr>
          <w:p w14:paraId="4010E888" w14:textId="314ECE09" w:rsidR="00755012" w:rsidRPr="00755012" w:rsidRDefault="00755012" w:rsidP="00755012">
            <w:pPr>
              <w:jc w:val="right"/>
              <w:rPr>
                <w:rFonts w:asciiTheme="majorHAnsi" w:eastAsia="Times New Roman" w:hAnsiTheme="majorHAnsi" w:cstheme="majorHAnsi"/>
                <w:sz w:val="22"/>
                <w:szCs w:val="22"/>
                <w:highlight w:val="cyan"/>
                <w:lang w:val="en-US"/>
              </w:rPr>
            </w:pPr>
            <w:r w:rsidRPr="00755012">
              <w:rPr>
                <w:rFonts w:asciiTheme="majorHAnsi" w:hAnsiTheme="majorHAnsi" w:cstheme="majorHAnsi"/>
                <w:sz w:val="22"/>
                <w:highlight w:val="cyan"/>
              </w:rPr>
              <w:t>663,100</w:t>
            </w:r>
          </w:p>
        </w:tc>
        <w:tc>
          <w:tcPr>
            <w:tcW w:w="1664" w:type="dxa"/>
            <w:tcBorders>
              <w:top w:val="nil"/>
              <w:left w:val="nil"/>
              <w:bottom w:val="single" w:sz="4" w:space="0" w:color="auto"/>
              <w:right w:val="single" w:sz="4" w:space="0" w:color="auto"/>
            </w:tcBorders>
            <w:shd w:val="clear" w:color="auto" w:fill="auto"/>
            <w:hideMark/>
          </w:tcPr>
          <w:p w14:paraId="63B57A07" w14:textId="20DB5331" w:rsidR="00755012" w:rsidRPr="00755012" w:rsidRDefault="00755012" w:rsidP="00755012">
            <w:pPr>
              <w:jc w:val="right"/>
              <w:rPr>
                <w:rFonts w:asciiTheme="majorHAnsi" w:eastAsia="Times New Roman" w:hAnsiTheme="majorHAnsi" w:cstheme="majorHAnsi"/>
                <w:sz w:val="22"/>
                <w:szCs w:val="22"/>
                <w:highlight w:val="cyan"/>
                <w:lang w:val="en-US"/>
              </w:rPr>
            </w:pPr>
            <w:r w:rsidRPr="00755012">
              <w:rPr>
                <w:rFonts w:asciiTheme="majorHAnsi" w:hAnsiTheme="majorHAnsi" w:cstheme="majorHAnsi"/>
                <w:sz w:val="22"/>
                <w:highlight w:val="magenta"/>
              </w:rPr>
              <w:t>718,083</w:t>
            </w:r>
          </w:p>
        </w:tc>
        <w:tc>
          <w:tcPr>
            <w:tcW w:w="1309" w:type="dxa"/>
            <w:tcBorders>
              <w:top w:val="nil"/>
              <w:left w:val="nil"/>
              <w:bottom w:val="single" w:sz="4" w:space="0" w:color="auto"/>
              <w:right w:val="single" w:sz="4" w:space="0" w:color="auto"/>
            </w:tcBorders>
            <w:shd w:val="clear" w:color="auto" w:fill="auto"/>
            <w:hideMark/>
          </w:tcPr>
          <w:p w14:paraId="44174977" w14:textId="77777777" w:rsidR="00755012" w:rsidRPr="008244FA" w:rsidRDefault="00755012" w:rsidP="00755012">
            <w:pPr>
              <w:jc w:val="right"/>
              <w:rPr>
                <w:rFonts w:ascii="Calibri" w:eastAsia="Times New Roman" w:hAnsi="Calibri" w:cs="Calibri"/>
                <w:sz w:val="22"/>
                <w:szCs w:val="22"/>
                <w:highlight w:val="cyan"/>
                <w:lang w:val="en-US"/>
              </w:rPr>
            </w:pPr>
            <w:r w:rsidRPr="008244FA">
              <w:rPr>
                <w:rFonts w:ascii="Calibri" w:eastAsia="Times New Roman" w:hAnsi="Calibri" w:cs="Calibri"/>
                <w:sz w:val="22"/>
                <w:szCs w:val="22"/>
                <w:highlight w:val="cyan"/>
                <w:lang w:val="en-US"/>
              </w:rPr>
              <w:t>3,500,000</w:t>
            </w:r>
          </w:p>
        </w:tc>
      </w:tr>
      <w:tr w:rsidR="00A23757" w:rsidRPr="005516CD" w14:paraId="2E6728EC" w14:textId="77777777" w:rsidTr="00A23757">
        <w:trPr>
          <w:trHeight w:val="58"/>
        </w:trPr>
        <w:tc>
          <w:tcPr>
            <w:tcW w:w="4395" w:type="dxa"/>
            <w:tcBorders>
              <w:top w:val="nil"/>
              <w:left w:val="single" w:sz="4" w:space="0" w:color="auto"/>
              <w:bottom w:val="single" w:sz="4" w:space="0" w:color="auto"/>
              <w:right w:val="single" w:sz="4" w:space="0" w:color="auto"/>
            </w:tcBorders>
            <w:shd w:val="clear" w:color="auto" w:fill="auto"/>
            <w:noWrap/>
            <w:vAlign w:val="bottom"/>
          </w:tcPr>
          <w:p w14:paraId="22847AE4" w14:textId="77777777" w:rsidR="00A23757" w:rsidRPr="008244FA" w:rsidRDefault="00A23757" w:rsidP="00A23757">
            <w:pPr>
              <w:rPr>
                <w:rFonts w:ascii="Calibri" w:eastAsia="Times New Roman" w:hAnsi="Calibri" w:cs="Calibri"/>
                <w:color w:val="000000"/>
                <w:sz w:val="22"/>
                <w:szCs w:val="22"/>
                <w:highlight w:val="cyan"/>
              </w:rPr>
            </w:pPr>
            <w:r w:rsidRPr="008244FA">
              <w:rPr>
                <w:rFonts w:ascii="Calibri" w:eastAsia="Times New Roman" w:hAnsi="Calibri" w:cs="Calibri"/>
                <w:color w:val="000000"/>
                <w:sz w:val="22"/>
                <w:szCs w:val="22"/>
                <w:highlight w:val="cyan"/>
              </w:rPr>
              <w:t>TRAC</w:t>
            </w:r>
          </w:p>
        </w:tc>
        <w:tc>
          <w:tcPr>
            <w:tcW w:w="1573" w:type="dxa"/>
            <w:tcBorders>
              <w:top w:val="nil"/>
              <w:left w:val="nil"/>
              <w:bottom w:val="single" w:sz="4" w:space="0" w:color="auto"/>
              <w:right w:val="single" w:sz="4" w:space="0" w:color="auto"/>
            </w:tcBorders>
            <w:shd w:val="clear" w:color="auto" w:fill="auto"/>
          </w:tcPr>
          <w:p w14:paraId="4F6B53BF" w14:textId="79F246A3" w:rsidR="00A23757" w:rsidRPr="008244FA" w:rsidRDefault="00755012" w:rsidP="00A23757">
            <w:pPr>
              <w:jc w:val="right"/>
              <w:rPr>
                <w:rFonts w:ascii="Calibri" w:eastAsia="Times New Roman" w:hAnsi="Calibri" w:cs="Calibri"/>
                <w:sz w:val="22"/>
                <w:szCs w:val="22"/>
                <w:highlight w:val="cyan"/>
                <w:lang w:val="en-US"/>
              </w:rPr>
            </w:pPr>
            <w:r>
              <w:rPr>
                <w:rFonts w:ascii="Calibri" w:eastAsia="Times New Roman" w:hAnsi="Calibri" w:cs="Calibri"/>
                <w:sz w:val="22"/>
                <w:szCs w:val="22"/>
                <w:highlight w:val="cyan"/>
                <w:lang w:val="en-US"/>
              </w:rPr>
              <w:t>36,000</w:t>
            </w:r>
          </w:p>
        </w:tc>
        <w:tc>
          <w:tcPr>
            <w:tcW w:w="1664" w:type="dxa"/>
            <w:tcBorders>
              <w:top w:val="nil"/>
              <w:left w:val="nil"/>
              <w:bottom w:val="single" w:sz="4" w:space="0" w:color="auto"/>
              <w:right w:val="single" w:sz="4" w:space="0" w:color="auto"/>
            </w:tcBorders>
            <w:shd w:val="clear" w:color="auto" w:fill="auto"/>
          </w:tcPr>
          <w:p w14:paraId="637894D6" w14:textId="51472D4F" w:rsidR="00A23757" w:rsidRPr="008244FA" w:rsidRDefault="00755012" w:rsidP="00A23757">
            <w:pPr>
              <w:jc w:val="right"/>
              <w:rPr>
                <w:rFonts w:ascii="Calibri" w:eastAsia="Times New Roman" w:hAnsi="Calibri" w:cs="Calibri"/>
                <w:sz w:val="22"/>
                <w:szCs w:val="22"/>
                <w:highlight w:val="cyan"/>
                <w:lang w:val="en-US"/>
              </w:rPr>
            </w:pPr>
            <w:r>
              <w:rPr>
                <w:rFonts w:ascii="Calibri" w:eastAsia="Times New Roman" w:hAnsi="Calibri" w:cs="Calibri"/>
                <w:sz w:val="22"/>
                <w:szCs w:val="22"/>
                <w:highlight w:val="cyan"/>
                <w:lang w:val="en-US"/>
              </w:rPr>
              <w:t>41,000</w:t>
            </w:r>
          </w:p>
        </w:tc>
        <w:tc>
          <w:tcPr>
            <w:tcW w:w="1664" w:type="dxa"/>
            <w:tcBorders>
              <w:top w:val="nil"/>
              <w:left w:val="nil"/>
              <w:bottom w:val="single" w:sz="4" w:space="0" w:color="auto"/>
              <w:right w:val="single" w:sz="4" w:space="0" w:color="auto"/>
            </w:tcBorders>
            <w:shd w:val="clear" w:color="auto" w:fill="auto"/>
          </w:tcPr>
          <w:p w14:paraId="23F2B667" w14:textId="1B712C30" w:rsidR="00A23757" w:rsidRPr="008244FA" w:rsidRDefault="00755012" w:rsidP="00A23757">
            <w:pPr>
              <w:jc w:val="right"/>
              <w:rPr>
                <w:rFonts w:ascii="Calibri" w:eastAsia="Times New Roman" w:hAnsi="Calibri" w:cs="Calibri"/>
                <w:sz w:val="22"/>
                <w:szCs w:val="22"/>
                <w:highlight w:val="cyan"/>
                <w:lang w:val="en-US"/>
              </w:rPr>
            </w:pPr>
            <w:r>
              <w:rPr>
                <w:rFonts w:ascii="Calibri" w:eastAsia="Times New Roman" w:hAnsi="Calibri" w:cs="Calibri"/>
                <w:sz w:val="22"/>
                <w:szCs w:val="22"/>
                <w:highlight w:val="cyan"/>
                <w:lang w:val="en-US"/>
              </w:rPr>
              <w:t>41,000</w:t>
            </w:r>
          </w:p>
        </w:tc>
        <w:tc>
          <w:tcPr>
            <w:tcW w:w="1664" w:type="dxa"/>
            <w:tcBorders>
              <w:top w:val="nil"/>
              <w:left w:val="nil"/>
              <w:bottom w:val="single" w:sz="4" w:space="0" w:color="auto"/>
              <w:right w:val="single" w:sz="4" w:space="0" w:color="auto"/>
            </w:tcBorders>
            <w:shd w:val="clear" w:color="auto" w:fill="auto"/>
          </w:tcPr>
          <w:p w14:paraId="314C4D09" w14:textId="545F6E3F" w:rsidR="00A23757" w:rsidRPr="008244FA" w:rsidRDefault="00755012" w:rsidP="00A23757">
            <w:pPr>
              <w:jc w:val="right"/>
              <w:rPr>
                <w:rFonts w:ascii="Calibri" w:eastAsia="Times New Roman" w:hAnsi="Calibri" w:cs="Calibri"/>
                <w:sz w:val="22"/>
                <w:szCs w:val="22"/>
                <w:highlight w:val="cyan"/>
                <w:lang w:val="en-US"/>
              </w:rPr>
            </w:pPr>
            <w:r>
              <w:rPr>
                <w:rFonts w:ascii="Calibri" w:eastAsia="Times New Roman" w:hAnsi="Calibri" w:cs="Calibri"/>
                <w:sz w:val="22"/>
                <w:szCs w:val="22"/>
                <w:highlight w:val="cyan"/>
                <w:lang w:val="en-US"/>
              </w:rPr>
              <w:t>41,000</w:t>
            </w:r>
          </w:p>
        </w:tc>
        <w:tc>
          <w:tcPr>
            <w:tcW w:w="1664" w:type="dxa"/>
            <w:tcBorders>
              <w:top w:val="nil"/>
              <w:left w:val="nil"/>
              <w:bottom w:val="single" w:sz="4" w:space="0" w:color="auto"/>
              <w:right w:val="single" w:sz="4" w:space="0" w:color="auto"/>
            </w:tcBorders>
            <w:shd w:val="clear" w:color="auto" w:fill="auto"/>
          </w:tcPr>
          <w:p w14:paraId="57340DE9" w14:textId="0677F036" w:rsidR="00A23757" w:rsidRPr="008244FA" w:rsidRDefault="00755012" w:rsidP="00A23757">
            <w:pPr>
              <w:jc w:val="right"/>
              <w:rPr>
                <w:rFonts w:ascii="Calibri" w:eastAsia="Times New Roman" w:hAnsi="Calibri" w:cs="Calibri"/>
                <w:sz w:val="22"/>
                <w:szCs w:val="22"/>
                <w:highlight w:val="cyan"/>
                <w:lang w:val="en-US"/>
              </w:rPr>
            </w:pPr>
            <w:r>
              <w:rPr>
                <w:rFonts w:ascii="Calibri" w:eastAsia="Times New Roman" w:hAnsi="Calibri" w:cs="Calibri"/>
                <w:sz w:val="22"/>
                <w:szCs w:val="22"/>
                <w:highlight w:val="cyan"/>
                <w:lang w:val="en-US"/>
              </w:rPr>
              <w:t>41,000</w:t>
            </w:r>
          </w:p>
        </w:tc>
        <w:tc>
          <w:tcPr>
            <w:tcW w:w="1309" w:type="dxa"/>
            <w:tcBorders>
              <w:top w:val="nil"/>
              <w:left w:val="nil"/>
              <w:bottom w:val="single" w:sz="4" w:space="0" w:color="auto"/>
              <w:right w:val="single" w:sz="4" w:space="0" w:color="auto"/>
            </w:tcBorders>
            <w:shd w:val="clear" w:color="auto" w:fill="auto"/>
          </w:tcPr>
          <w:p w14:paraId="030693F7" w14:textId="77777777" w:rsidR="00A23757" w:rsidRPr="008244FA" w:rsidRDefault="00A23757" w:rsidP="00A23757">
            <w:pPr>
              <w:jc w:val="right"/>
              <w:rPr>
                <w:rFonts w:ascii="Calibri" w:eastAsia="Times New Roman" w:hAnsi="Calibri" w:cs="Calibri"/>
                <w:sz w:val="22"/>
                <w:szCs w:val="22"/>
                <w:highlight w:val="cyan"/>
                <w:lang w:val="en-US"/>
              </w:rPr>
            </w:pPr>
            <w:r w:rsidRPr="008244FA">
              <w:rPr>
                <w:rFonts w:ascii="Calibri" w:eastAsia="Times New Roman" w:hAnsi="Calibri" w:cs="Calibri"/>
                <w:sz w:val="22"/>
                <w:szCs w:val="22"/>
                <w:highlight w:val="cyan"/>
                <w:lang w:val="en-US"/>
              </w:rPr>
              <w:t>200,000</w:t>
            </w:r>
          </w:p>
        </w:tc>
      </w:tr>
      <w:tr w:rsidR="00A23757" w:rsidRPr="005516CD" w14:paraId="3F982823" w14:textId="77777777" w:rsidTr="003E194B">
        <w:trPr>
          <w:trHeight w:val="58"/>
        </w:trPr>
        <w:tc>
          <w:tcPr>
            <w:tcW w:w="4395" w:type="dxa"/>
            <w:tcBorders>
              <w:top w:val="nil"/>
              <w:left w:val="single" w:sz="4" w:space="0" w:color="auto"/>
              <w:bottom w:val="single" w:sz="4" w:space="0" w:color="auto"/>
              <w:right w:val="single" w:sz="4" w:space="0" w:color="auto"/>
            </w:tcBorders>
            <w:shd w:val="clear" w:color="auto" w:fill="auto"/>
            <w:vAlign w:val="center"/>
            <w:hideMark/>
          </w:tcPr>
          <w:p w14:paraId="4699B66F" w14:textId="77777777" w:rsidR="00A23757" w:rsidRPr="00FE7303" w:rsidRDefault="00A23757" w:rsidP="00A23757">
            <w:pPr>
              <w:rPr>
                <w:rFonts w:ascii="Calibri" w:eastAsia="Times New Roman" w:hAnsi="Calibri" w:cs="Calibri"/>
                <w:sz w:val="22"/>
                <w:szCs w:val="22"/>
              </w:rPr>
            </w:pPr>
            <w:r w:rsidRPr="00FE7303">
              <w:rPr>
                <w:rFonts w:ascii="Calibri" w:eastAsia="Times New Roman" w:hAnsi="Calibri" w:cs="Calibri"/>
                <w:sz w:val="22"/>
                <w:szCs w:val="22"/>
              </w:rPr>
              <w:t>Interamerican Development Bank</w:t>
            </w:r>
          </w:p>
        </w:tc>
        <w:tc>
          <w:tcPr>
            <w:tcW w:w="1573" w:type="dxa"/>
            <w:tcBorders>
              <w:top w:val="nil"/>
              <w:left w:val="nil"/>
              <w:bottom w:val="single" w:sz="4" w:space="0" w:color="auto"/>
              <w:right w:val="single" w:sz="4" w:space="0" w:color="auto"/>
            </w:tcBorders>
            <w:shd w:val="clear" w:color="auto" w:fill="auto"/>
            <w:hideMark/>
          </w:tcPr>
          <w:p w14:paraId="11F8A2DC" w14:textId="77777777" w:rsidR="00A23757" w:rsidRPr="00FE7303" w:rsidRDefault="00A23757" w:rsidP="00A23757">
            <w:pPr>
              <w:jc w:val="right"/>
              <w:rPr>
                <w:rFonts w:ascii="Calibri" w:eastAsia="Times New Roman" w:hAnsi="Calibri" w:cs="Calibri"/>
                <w:sz w:val="22"/>
                <w:szCs w:val="22"/>
                <w:lang w:val="en-US"/>
              </w:rPr>
            </w:pPr>
            <w:r w:rsidRPr="00FE7303">
              <w:rPr>
                <w:rFonts w:ascii="Calibri" w:eastAsia="Times New Roman" w:hAnsi="Calibri" w:cs="Calibri"/>
                <w:sz w:val="22"/>
                <w:szCs w:val="22"/>
                <w:lang w:val="en-US"/>
              </w:rPr>
              <w:t>8,695,947</w:t>
            </w:r>
          </w:p>
        </w:tc>
        <w:tc>
          <w:tcPr>
            <w:tcW w:w="1664" w:type="dxa"/>
            <w:tcBorders>
              <w:top w:val="nil"/>
              <w:left w:val="nil"/>
              <w:bottom w:val="single" w:sz="4" w:space="0" w:color="auto"/>
              <w:right w:val="single" w:sz="4" w:space="0" w:color="auto"/>
            </w:tcBorders>
            <w:shd w:val="clear" w:color="auto" w:fill="auto"/>
            <w:hideMark/>
          </w:tcPr>
          <w:p w14:paraId="0A8C7FEE" w14:textId="77777777" w:rsidR="00A23757" w:rsidRPr="00FE7303" w:rsidRDefault="00A23757" w:rsidP="00A23757">
            <w:pPr>
              <w:jc w:val="right"/>
              <w:rPr>
                <w:rFonts w:ascii="Calibri" w:eastAsia="Times New Roman" w:hAnsi="Calibri" w:cs="Calibri"/>
                <w:sz w:val="22"/>
                <w:szCs w:val="22"/>
                <w:lang w:val="en-US"/>
              </w:rPr>
            </w:pPr>
            <w:r w:rsidRPr="00FE7303">
              <w:rPr>
                <w:rFonts w:ascii="Calibri" w:eastAsia="Times New Roman" w:hAnsi="Calibri" w:cs="Calibri"/>
                <w:sz w:val="22"/>
                <w:szCs w:val="22"/>
                <w:lang w:val="en-US"/>
              </w:rPr>
              <w:t>8,695,947</w:t>
            </w:r>
          </w:p>
        </w:tc>
        <w:tc>
          <w:tcPr>
            <w:tcW w:w="1664" w:type="dxa"/>
            <w:tcBorders>
              <w:top w:val="nil"/>
              <w:left w:val="nil"/>
              <w:bottom w:val="single" w:sz="4" w:space="0" w:color="auto"/>
              <w:right w:val="single" w:sz="4" w:space="0" w:color="auto"/>
            </w:tcBorders>
            <w:shd w:val="clear" w:color="auto" w:fill="auto"/>
            <w:hideMark/>
          </w:tcPr>
          <w:p w14:paraId="4B14952B" w14:textId="77777777" w:rsidR="00A23757" w:rsidRPr="00FE7303" w:rsidRDefault="00A23757" w:rsidP="00A23757">
            <w:pPr>
              <w:jc w:val="right"/>
              <w:rPr>
                <w:rFonts w:ascii="Calibri" w:eastAsia="Times New Roman" w:hAnsi="Calibri" w:cs="Calibri"/>
                <w:sz w:val="22"/>
                <w:szCs w:val="22"/>
                <w:lang w:val="en-US"/>
              </w:rPr>
            </w:pPr>
            <w:r w:rsidRPr="00FE7303">
              <w:rPr>
                <w:rFonts w:ascii="Calibri" w:eastAsia="Times New Roman" w:hAnsi="Calibri" w:cs="Calibri"/>
                <w:sz w:val="22"/>
                <w:szCs w:val="22"/>
                <w:lang w:val="en-US"/>
              </w:rPr>
              <w:t>8,695,947</w:t>
            </w:r>
          </w:p>
        </w:tc>
        <w:tc>
          <w:tcPr>
            <w:tcW w:w="1664" w:type="dxa"/>
            <w:tcBorders>
              <w:top w:val="nil"/>
              <w:left w:val="nil"/>
              <w:bottom w:val="single" w:sz="4" w:space="0" w:color="auto"/>
              <w:right w:val="single" w:sz="4" w:space="0" w:color="auto"/>
            </w:tcBorders>
            <w:shd w:val="clear" w:color="auto" w:fill="auto"/>
            <w:hideMark/>
          </w:tcPr>
          <w:p w14:paraId="6FAB65F0" w14:textId="1471FCD9" w:rsidR="00A23757" w:rsidRPr="009B7ED8" w:rsidRDefault="00A23757" w:rsidP="00A23757">
            <w:pPr>
              <w:jc w:val="right"/>
              <w:rPr>
                <w:rFonts w:ascii="Calibri" w:eastAsia="Times New Roman" w:hAnsi="Calibri" w:cs="Calibri"/>
                <w:color w:val="000000" w:themeColor="text1"/>
                <w:sz w:val="22"/>
                <w:szCs w:val="22"/>
                <w:highlight w:val="magenta"/>
                <w:lang w:val="en-US"/>
              </w:rPr>
            </w:pPr>
            <w:r w:rsidRPr="009B7ED8">
              <w:rPr>
                <w:rFonts w:ascii="Calibri" w:eastAsia="Times New Roman" w:hAnsi="Calibri" w:cs="Calibri"/>
                <w:color w:val="000000" w:themeColor="text1"/>
                <w:sz w:val="22"/>
                <w:szCs w:val="22"/>
                <w:highlight w:val="magenta"/>
                <w:lang w:val="en-US"/>
              </w:rPr>
              <w:t>8,695,94</w:t>
            </w:r>
            <w:r w:rsidR="005055AD" w:rsidRPr="009B7ED8">
              <w:rPr>
                <w:rFonts w:ascii="Calibri" w:eastAsia="Times New Roman" w:hAnsi="Calibri" w:cs="Calibri"/>
                <w:color w:val="000000" w:themeColor="text1"/>
                <w:sz w:val="22"/>
                <w:szCs w:val="22"/>
                <w:highlight w:val="magenta"/>
                <w:lang w:val="en-US"/>
              </w:rPr>
              <w:t>8</w:t>
            </w:r>
          </w:p>
        </w:tc>
        <w:tc>
          <w:tcPr>
            <w:tcW w:w="1664" w:type="dxa"/>
            <w:tcBorders>
              <w:top w:val="nil"/>
              <w:left w:val="nil"/>
              <w:bottom w:val="single" w:sz="4" w:space="0" w:color="auto"/>
              <w:right w:val="single" w:sz="4" w:space="0" w:color="auto"/>
            </w:tcBorders>
            <w:shd w:val="clear" w:color="auto" w:fill="auto"/>
            <w:hideMark/>
          </w:tcPr>
          <w:p w14:paraId="1D72A7CB" w14:textId="6C439B22" w:rsidR="00A23757" w:rsidRPr="009B7ED8" w:rsidRDefault="00A23757" w:rsidP="00A23757">
            <w:pPr>
              <w:jc w:val="right"/>
              <w:rPr>
                <w:rFonts w:ascii="Calibri" w:eastAsia="Times New Roman" w:hAnsi="Calibri" w:cs="Calibri"/>
                <w:color w:val="000000" w:themeColor="text1"/>
                <w:sz w:val="22"/>
                <w:szCs w:val="22"/>
                <w:highlight w:val="magenta"/>
                <w:lang w:val="en-US"/>
              </w:rPr>
            </w:pPr>
            <w:r w:rsidRPr="009B7ED8">
              <w:rPr>
                <w:rFonts w:ascii="Calibri" w:eastAsia="Times New Roman" w:hAnsi="Calibri" w:cs="Calibri"/>
                <w:color w:val="000000" w:themeColor="text1"/>
                <w:sz w:val="22"/>
                <w:szCs w:val="22"/>
                <w:highlight w:val="magenta"/>
                <w:lang w:val="en-US"/>
              </w:rPr>
              <w:t>8,695,94</w:t>
            </w:r>
            <w:r w:rsidR="005055AD" w:rsidRPr="009B7ED8">
              <w:rPr>
                <w:rFonts w:ascii="Calibri" w:eastAsia="Times New Roman" w:hAnsi="Calibri" w:cs="Calibri"/>
                <w:color w:val="000000" w:themeColor="text1"/>
                <w:sz w:val="22"/>
                <w:szCs w:val="22"/>
                <w:highlight w:val="magenta"/>
                <w:lang w:val="en-US"/>
              </w:rPr>
              <w:t>8</w:t>
            </w:r>
          </w:p>
        </w:tc>
        <w:tc>
          <w:tcPr>
            <w:tcW w:w="1309" w:type="dxa"/>
            <w:tcBorders>
              <w:top w:val="nil"/>
              <w:left w:val="nil"/>
              <w:bottom w:val="single" w:sz="4" w:space="0" w:color="auto"/>
              <w:right w:val="single" w:sz="4" w:space="0" w:color="auto"/>
            </w:tcBorders>
            <w:shd w:val="clear" w:color="auto" w:fill="auto"/>
            <w:hideMark/>
          </w:tcPr>
          <w:p w14:paraId="529BD71C" w14:textId="17C7F3A9" w:rsidR="00A23757" w:rsidRPr="009B7ED8" w:rsidRDefault="00A23757" w:rsidP="00A23757">
            <w:pPr>
              <w:jc w:val="right"/>
              <w:rPr>
                <w:rFonts w:ascii="Calibri" w:eastAsia="Times New Roman" w:hAnsi="Calibri" w:cs="Calibri"/>
                <w:color w:val="000000" w:themeColor="text1"/>
                <w:sz w:val="22"/>
                <w:szCs w:val="22"/>
                <w:highlight w:val="magenta"/>
                <w:lang w:val="en-US"/>
              </w:rPr>
            </w:pPr>
            <w:r w:rsidRPr="009B7ED8">
              <w:rPr>
                <w:rFonts w:ascii="Calibri" w:eastAsia="Times New Roman" w:hAnsi="Calibri" w:cs="Calibri"/>
                <w:color w:val="000000" w:themeColor="text1"/>
                <w:sz w:val="22"/>
                <w:szCs w:val="22"/>
                <w:highlight w:val="magenta"/>
                <w:lang w:val="en-US"/>
              </w:rPr>
              <w:t>43,479,73</w:t>
            </w:r>
            <w:r w:rsidR="005055AD" w:rsidRPr="009B7ED8">
              <w:rPr>
                <w:rFonts w:ascii="Calibri" w:eastAsia="Times New Roman" w:hAnsi="Calibri" w:cs="Calibri"/>
                <w:color w:val="000000" w:themeColor="text1"/>
                <w:sz w:val="22"/>
                <w:szCs w:val="22"/>
                <w:highlight w:val="magenta"/>
                <w:lang w:val="en-US"/>
              </w:rPr>
              <w:t>7</w:t>
            </w:r>
          </w:p>
        </w:tc>
      </w:tr>
      <w:tr w:rsidR="00A23757" w:rsidRPr="005516CD" w14:paraId="2EC0AC6D" w14:textId="77777777" w:rsidTr="003E194B">
        <w:trPr>
          <w:trHeight w:val="58"/>
        </w:trPr>
        <w:tc>
          <w:tcPr>
            <w:tcW w:w="4395" w:type="dxa"/>
            <w:tcBorders>
              <w:top w:val="nil"/>
              <w:left w:val="single" w:sz="4" w:space="0" w:color="auto"/>
              <w:bottom w:val="single" w:sz="4" w:space="0" w:color="auto"/>
              <w:right w:val="single" w:sz="4" w:space="0" w:color="auto"/>
            </w:tcBorders>
            <w:shd w:val="clear" w:color="auto" w:fill="auto"/>
            <w:vAlign w:val="center"/>
            <w:hideMark/>
          </w:tcPr>
          <w:p w14:paraId="4B488DD2" w14:textId="77777777" w:rsidR="00A23757" w:rsidRPr="00FE7303" w:rsidRDefault="00A23757" w:rsidP="00A23757">
            <w:pPr>
              <w:rPr>
                <w:rFonts w:ascii="Calibri" w:eastAsia="Times New Roman" w:hAnsi="Calibri" w:cs="Calibri"/>
                <w:sz w:val="22"/>
                <w:szCs w:val="22"/>
              </w:rPr>
            </w:pPr>
            <w:r w:rsidRPr="00FE7303">
              <w:rPr>
                <w:rFonts w:ascii="Calibri" w:eastAsia="Times New Roman" w:hAnsi="Calibri" w:cs="Calibri"/>
                <w:sz w:val="22"/>
                <w:szCs w:val="22"/>
                <w:lang w:val="en-US"/>
              </w:rPr>
              <w:t>United Nations Development Programme</w:t>
            </w:r>
          </w:p>
        </w:tc>
        <w:tc>
          <w:tcPr>
            <w:tcW w:w="1573" w:type="dxa"/>
            <w:tcBorders>
              <w:top w:val="nil"/>
              <w:left w:val="nil"/>
              <w:bottom w:val="single" w:sz="4" w:space="0" w:color="auto"/>
              <w:right w:val="single" w:sz="4" w:space="0" w:color="auto"/>
            </w:tcBorders>
            <w:shd w:val="clear" w:color="auto" w:fill="auto"/>
            <w:hideMark/>
          </w:tcPr>
          <w:p w14:paraId="39759997" w14:textId="77777777" w:rsidR="00A23757" w:rsidRPr="00FE7303" w:rsidRDefault="00A23757" w:rsidP="00A23757">
            <w:pPr>
              <w:jc w:val="right"/>
              <w:rPr>
                <w:rFonts w:ascii="Calibri" w:eastAsia="Times New Roman" w:hAnsi="Calibri" w:cs="Calibri"/>
                <w:sz w:val="22"/>
                <w:szCs w:val="22"/>
                <w:lang w:val="en-US"/>
              </w:rPr>
            </w:pPr>
            <w:r w:rsidRPr="00FE7303">
              <w:rPr>
                <w:rFonts w:ascii="Calibri" w:eastAsia="Times New Roman" w:hAnsi="Calibri" w:cs="Calibri"/>
                <w:sz w:val="22"/>
                <w:szCs w:val="22"/>
                <w:lang w:val="en-US"/>
              </w:rPr>
              <w:t>441,250</w:t>
            </w:r>
          </w:p>
        </w:tc>
        <w:tc>
          <w:tcPr>
            <w:tcW w:w="1664" w:type="dxa"/>
            <w:tcBorders>
              <w:top w:val="nil"/>
              <w:left w:val="nil"/>
              <w:bottom w:val="single" w:sz="4" w:space="0" w:color="auto"/>
              <w:right w:val="single" w:sz="4" w:space="0" w:color="auto"/>
            </w:tcBorders>
            <w:shd w:val="clear" w:color="auto" w:fill="auto"/>
            <w:hideMark/>
          </w:tcPr>
          <w:p w14:paraId="6F9209B3" w14:textId="77777777" w:rsidR="00A23757" w:rsidRPr="00FE7303" w:rsidRDefault="00A23757" w:rsidP="00A23757">
            <w:pPr>
              <w:jc w:val="right"/>
              <w:rPr>
                <w:rFonts w:ascii="Calibri" w:eastAsia="Times New Roman" w:hAnsi="Calibri" w:cs="Calibri"/>
                <w:sz w:val="22"/>
                <w:szCs w:val="22"/>
                <w:lang w:val="en-US"/>
              </w:rPr>
            </w:pPr>
            <w:r w:rsidRPr="00FE7303">
              <w:rPr>
                <w:rFonts w:ascii="Calibri" w:eastAsia="Times New Roman" w:hAnsi="Calibri" w:cs="Calibri"/>
                <w:sz w:val="22"/>
                <w:szCs w:val="22"/>
                <w:lang w:val="en-US"/>
              </w:rPr>
              <w:t>441,250</w:t>
            </w:r>
          </w:p>
        </w:tc>
        <w:tc>
          <w:tcPr>
            <w:tcW w:w="1664" w:type="dxa"/>
            <w:tcBorders>
              <w:top w:val="nil"/>
              <w:left w:val="nil"/>
              <w:bottom w:val="single" w:sz="4" w:space="0" w:color="auto"/>
              <w:right w:val="single" w:sz="4" w:space="0" w:color="auto"/>
            </w:tcBorders>
            <w:shd w:val="clear" w:color="auto" w:fill="auto"/>
            <w:hideMark/>
          </w:tcPr>
          <w:p w14:paraId="508AFBAE" w14:textId="77777777" w:rsidR="00A23757" w:rsidRPr="00FE7303" w:rsidRDefault="00A23757" w:rsidP="00A23757">
            <w:pPr>
              <w:jc w:val="right"/>
              <w:rPr>
                <w:rFonts w:ascii="Calibri" w:eastAsia="Times New Roman" w:hAnsi="Calibri" w:cs="Calibri"/>
                <w:sz w:val="22"/>
                <w:szCs w:val="22"/>
                <w:lang w:val="en-US"/>
              </w:rPr>
            </w:pPr>
            <w:r w:rsidRPr="00FE7303">
              <w:rPr>
                <w:rFonts w:ascii="Calibri" w:eastAsia="Times New Roman" w:hAnsi="Calibri" w:cs="Calibri"/>
                <w:sz w:val="22"/>
                <w:szCs w:val="22"/>
                <w:lang w:val="en-US"/>
              </w:rPr>
              <w:t>441,250</w:t>
            </w:r>
          </w:p>
        </w:tc>
        <w:tc>
          <w:tcPr>
            <w:tcW w:w="1664" w:type="dxa"/>
            <w:tcBorders>
              <w:top w:val="nil"/>
              <w:left w:val="nil"/>
              <w:bottom w:val="single" w:sz="4" w:space="0" w:color="auto"/>
              <w:right w:val="single" w:sz="4" w:space="0" w:color="auto"/>
            </w:tcBorders>
            <w:shd w:val="clear" w:color="auto" w:fill="auto"/>
            <w:hideMark/>
          </w:tcPr>
          <w:p w14:paraId="7EE63286" w14:textId="2C3C2D34" w:rsidR="00A23757" w:rsidRPr="009B7ED8" w:rsidRDefault="00A23757" w:rsidP="00A23757">
            <w:pPr>
              <w:jc w:val="right"/>
              <w:rPr>
                <w:rFonts w:ascii="Calibri" w:eastAsia="Times New Roman" w:hAnsi="Calibri" w:cs="Calibri"/>
                <w:color w:val="000000" w:themeColor="text1"/>
                <w:sz w:val="22"/>
                <w:szCs w:val="22"/>
                <w:highlight w:val="magenta"/>
                <w:lang w:val="en-US"/>
              </w:rPr>
            </w:pPr>
            <w:r w:rsidRPr="009B7ED8">
              <w:rPr>
                <w:rFonts w:ascii="Calibri" w:eastAsia="Times New Roman" w:hAnsi="Calibri" w:cs="Calibri"/>
                <w:color w:val="000000" w:themeColor="text1"/>
                <w:sz w:val="22"/>
                <w:szCs w:val="22"/>
                <w:highlight w:val="magenta"/>
                <w:lang w:val="en-US"/>
              </w:rPr>
              <w:t>441,25</w:t>
            </w:r>
            <w:r w:rsidR="005055AD" w:rsidRPr="009B7ED8">
              <w:rPr>
                <w:rFonts w:ascii="Calibri" w:eastAsia="Times New Roman" w:hAnsi="Calibri" w:cs="Calibri"/>
                <w:color w:val="000000" w:themeColor="text1"/>
                <w:sz w:val="22"/>
                <w:szCs w:val="22"/>
                <w:highlight w:val="magenta"/>
                <w:lang w:val="en-US"/>
              </w:rPr>
              <w:t>1</w:t>
            </w:r>
          </w:p>
        </w:tc>
        <w:tc>
          <w:tcPr>
            <w:tcW w:w="1664" w:type="dxa"/>
            <w:tcBorders>
              <w:top w:val="nil"/>
              <w:left w:val="nil"/>
              <w:bottom w:val="single" w:sz="4" w:space="0" w:color="auto"/>
              <w:right w:val="single" w:sz="4" w:space="0" w:color="auto"/>
            </w:tcBorders>
            <w:shd w:val="clear" w:color="auto" w:fill="auto"/>
            <w:hideMark/>
          </w:tcPr>
          <w:p w14:paraId="602D4998" w14:textId="38657B10" w:rsidR="00A23757" w:rsidRPr="009B7ED8" w:rsidRDefault="00A23757" w:rsidP="00A23757">
            <w:pPr>
              <w:jc w:val="right"/>
              <w:rPr>
                <w:rFonts w:ascii="Calibri" w:eastAsia="Times New Roman" w:hAnsi="Calibri" w:cs="Calibri"/>
                <w:color w:val="000000" w:themeColor="text1"/>
                <w:sz w:val="22"/>
                <w:szCs w:val="22"/>
                <w:highlight w:val="magenta"/>
                <w:lang w:val="en-US"/>
              </w:rPr>
            </w:pPr>
            <w:r w:rsidRPr="009B7ED8">
              <w:rPr>
                <w:rFonts w:ascii="Calibri" w:eastAsia="Times New Roman" w:hAnsi="Calibri" w:cs="Calibri"/>
                <w:color w:val="000000" w:themeColor="text1"/>
                <w:sz w:val="22"/>
                <w:szCs w:val="22"/>
                <w:highlight w:val="magenta"/>
                <w:lang w:val="en-US"/>
              </w:rPr>
              <w:t>441,25</w:t>
            </w:r>
            <w:r w:rsidR="005055AD" w:rsidRPr="009B7ED8">
              <w:rPr>
                <w:rFonts w:ascii="Calibri" w:eastAsia="Times New Roman" w:hAnsi="Calibri" w:cs="Calibri"/>
                <w:color w:val="000000" w:themeColor="text1"/>
                <w:sz w:val="22"/>
                <w:szCs w:val="22"/>
                <w:highlight w:val="magenta"/>
                <w:lang w:val="en-US"/>
              </w:rPr>
              <w:t>1</w:t>
            </w:r>
          </w:p>
        </w:tc>
        <w:tc>
          <w:tcPr>
            <w:tcW w:w="1309" w:type="dxa"/>
            <w:tcBorders>
              <w:top w:val="nil"/>
              <w:left w:val="nil"/>
              <w:bottom w:val="single" w:sz="4" w:space="0" w:color="auto"/>
              <w:right w:val="single" w:sz="4" w:space="0" w:color="auto"/>
            </w:tcBorders>
            <w:shd w:val="clear" w:color="auto" w:fill="auto"/>
            <w:hideMark/>
          </w:tcPr>
          <w:p w14:paraId="446D436E" w14:textId="350AACE4" w:rsidR="00A23757" w:rsidRPr="009B7ED8" w:rsidRDefault="00A23757" w:rsidP="00A23757">
            <w:pPr>
              <w:jc w:val="right"/>
              <w:rPr>
                <w:rFonts w:ascii="Calibri" w:eastAsia="Times New Roman" w:hAnsi="Calibri" w:cs="Calibri"/>
                <w:color w:val="000000" w:themeColor="text1"/>
                <w:sz w:val="22"/>
                <w:szCs w:val="22"/>
                <w:highlight w:val="magenta"/>
                <w:lang w:val="en-US"/>
              </w:rPr>
            </w:pPr>
            <w:r w:rsidRPr="009B7ED8">
              <w:rPr>
                <w:rFonts w:ascii="Calibri" w:eastAsia="Times New Roman" w:hAnsi="Calibri" w:cs="Calibri"/>
                <w:color w:val="000000" w:themeColor="text1"/>
                <w:sz w:val="22"/>
                <w:szCs w:val="22"/>
                <w:highlight w:val="magenta"/>
                <w:lang w:val="en-US"/>
              </w:rPr>
              <w:t>2,206,25</w:t>
            </w:r>
            <w:r w:rsidR="005055AD" w:rsidRPr="009B7ED8">
              <w:rPr>
                <w:rFonts w:ascii="Calibri" w:eastAsia="Times New Roman" w:hAnsi="Calibri" w:cs="Calibri"/>
                <w:color w:val="000000" w:themeColor="text1"/>
                <w:sz w:val="22"/>
                <w:szCs w:val="22"/>
                <w:highlight w:val="magenta"/>
                <w:lang w:val="en-US"/>
              </w:rPr>
              <w:t>2</w:t>
            </w:r>
          </w:p>
        </w:tc>
      </w:tr>
      <w:tr w:rsidR="00A23757" w:rsidRPr="005516CD" w14:paraId="5378EC5C" w14:textId="77777777" w:rsidTr="003E194B">
        <w:trPr>
          <w:trHeight w:val="58"/>
        </w:trPr>
        <w:tc>
          <w:tcPr>
            <w:tcW w:w="4395" w:type="dxa"/>
            <w:tcBorders>
              <w:top w:val="nil"/>
              <w:left w:val="single" w:sz="4" w:space="0" w:color="auto"/>
              <w:bottom w:val="single" w:sz="4" w:space="0" w:color="auto"/>
              <w:right w:val="single" w:sz="4" w:space="0" w:color="auto"/>
            </w:tcBorders>
            <w:shd w:val="clear" w:color="auto" w:fill="auto"/>
            <w:vAlign w:val="center"/>
            <w:hideMark/>
          </w:tcPr>
          <w:p w14:paraId="30A3A6CB" w14:textId="77777777" w:rsidR="00A23757" w:rsidRPr="00FE7303" w:rsidRDefault="00A23757" w:rsidP="00A23757">
            <w:pPr>
              <w:rPr>
                <w:rFonts w:ascii="Calibri" w:eastAsia="Times New Roman" w:hAnsi="Calibri" w:cs="Calibri"/>
                <w:sz w:val="22"/>
                <w:szCs w:val="22"/>
              </w:rPr>
            </w:pPr>
            <w:r w:rsidRPr="00FE7303">
              <w:rPr>
                <w:rFonts w:ascii="Calibri" w:eastAsia="Times New Roman" w:hAnsi="Calibri" w:cs="Calibri"/>
                <w:sz w:val="22"/>
                <w:szCs w:val="22"/>
                <w:lang w:val="en-US"/>
              </w:rPr>
              <w:t>Food and Agriculture Organization</w:t>
            </w:r>
          </w:p>
        </w:tc>
        <w:tc>
          <w:tcPr>
            <w:tcW w:w="1573" w:type="dxa"/>
            <w:tcBorders>
              <w:top w:val="nil"/>
              <w:left w:val="nil"/>
              <w:bottom w:val="single" w:sz="4" w:space="0" w:color="auto"/>
              <w:right w:val="single" w:sz="4" w:space="0" w:color="auto"/>
            </w:tcBorders>
            <w:shd w:val="clear" w:color="auto" w:fill="auto"/>
            <w:hideMark/>
          </w:tcPr>
          <w:p w14:paraId="11428161" w14:textId="77777777" w:rsidR="00A23757" w:rsidRPr="00FE7303" w:rsidRDefault="00A23757" w:rsidP="00A23757">
            <w:pPr>
              <w:jc w:val="right"/>
              <w:rPr>
                <w:rFonts w:ascii="Calibri" w:eastAsia="Times New Roman" w:hAnsi="Calibri" w:cs="Calibri"/>
                <w:sz w:val="22"/>
                <w:szCs w:val="22"/>
                <w:lang w:val="en-US"/>
              </w:rPr>
            </w:pPr>
            <w:r w:rsidRPr="00FE7303">
              <w:rPr>
                <w:rFonts w:ascii="Calibri" w:eastAsia="Times New Roman" w:hAnsi="Calibri" w:cs="Calibri"/>
                <w:sz w:val="22"/>
                <w:szCs w:val="22"/>
                <w:lang w:val="en-US"/>
              </w:rPr>
              <w:t>364,314</w:t>
            </w:r>
          </w:p>
        </w:tc>
        <w:tc>
          <w:tcPr>
            <w:tcW w:w="1664" w:type="dxa"/>
            <w:tcBorders>
              <w:top w:val="nil"/>
              <w:left w:val="nil"/>
              <w:bottom w:val="single" w:sz="4" w:space="0" w:color="auto"/>
              <w:right w:val="single" w:sz="4" w:space="0" w:color="auto"/>
            </w:tcBorders>
            <w:shd w:val="clear" w:color="auto" w:fill="auto"/>
            <w:noWrap/>
            <w:hideMark/>
          </w:tcPr>
          <w:p w14:paraId="3F6A3297" w14:textId="77777777" w:rsidR="00A23757" w:rsidRPr="00FE7303" w:rsidRDefault="00A23757" w:rsidP="00A23757">
            <w:pPr>
              <w:jc w:val="right"/>
              <w:rPr>
                <w:rFonts w:ascii="Calibri" w:eastAsia="Times New Roman" w:hAnsi="Calibri" w:cs="Calibri"/>
                <w:sz w:val="22"/>
                <w:szCs w:val="22"/>
                <w:lang w:val="en-US"/>
              </w:rPr>
            </w:pPr>
            <w:r w:rsidRPr="00FE7303">
              <w:rPr>
                <w:rFonts w:ascii="Calibri" w:eastAsia="Times New Roman" w:hAnsi="Calibri" w:cs="Calibri"/>
                <w:sz w:val="22"/>
                <w:szCs w:val="22"/>
                <w:lang w:val="en-US"/>
              </w:rPr>
              <w:t>364,314</w:t>
            </w:r>
          </w:p>
        </w:tc>
        <w:tc>
          <w:tcPr>
            <w:tcW w:w="1664" w:type="dxa"/>
            <w:tcBorders>
              <w:top w:val="nil"/>
              <w:left w:val="nil"/>
              <w:bottom w:val="single" w:sz="4" w:space="0" w:color="auto"/>
              <w:right w:val="single" w:sz="4" w:space="0" w:color="auto"/>
            </w:tcBorders>
            <w:shd w:val="clear" w:color="auto" w:fill="auto"/>
            <w:noWrap/>
            <w:hideMark/>
          </w:tcPr>
          <w:p w14:paraId="6823A837" w14:textId="77777777" w:rsidR="00A23757" w:rsidRPr="00FE7303" w:rsidRDefault="00A23757" w:rsidP="00A23757">
            <w:pPr>
              <w:jc w:val="right"/>
              <w:rPr>
                <w:rFonts w:ascii="Calibri" w:eastAsia="Times New Roman" w:hAnsi="Calibri" w:cs="Calibri"/>
                <w:sz w:val="22"/>
                <w:szCs w:val="22"/>
                <w:lang w:val="en-US"/>
              </w:rPr>
            </w:pPr>
            <w:r w:rsidRPr="00FE7303">
              <w:rPr>
                <w:rFonts w:ascii="Calibri" w:eastAsia="Times New Roman" w:hAnsi="Calibri" w:cs="Calibri"/>
                <w:sz w:val="22"/>
                <w:szCs w:val="22"/>
                <w:lang w:val="en-US"/>
              </w:rPr>
              <w:t>364,314</w:t>
            </w:r>
          </w:p>
        </w:tc>
        <w:tc>
          <w:tcPr>
            <w:tcW w:w="1664" w:type="dxa"/>
            <w:tcBorders>
              <w:top w:val="nil"/>
              <w:left w:val="nil"/>
              <w:bottom w:val="single" w:sz="4" w:space="0" w:color="auto"/>
              <w:right w:val="single" w:sz="4" w:space="0" w:color="auto"/>
            </w:tcBorders>
            <w:shd w:val="clear" w:color="auto" w:fill="auto"/>
            <w:noWrap/>
            <w:hideMark/>
          </w:tcPr>
          <w:p w14:paraId="3AF92C42" w14:textId="28E5AC9B" w:rsidR="00A23757" w:rsidRPr="009B7ED8" w:rsidRDefault="00A23757" w:rsidP="00A23757">
            <w:pPr>
              <w:jc w:val="right"/>
              <w:rPr>
                <w:rFonts w:ascii="Calibri" w:eastAsia="Times New Roman" w:hAnsi="Calibri" w:cs="Calibri"/>
                <w:color w:val="000000" w:themeColor="text1"/>
                <w:sz w:val="22"/>
                <w:szCs w:val="22"/>
                <w:highlight w:val="magenta"/>
                <w:lang w:val="en-US"/>
              </w:rPr>
            </w:pPr>
            <w:r w:rsidRPr="009B7ED8">
              <w:rPr>
                <w:rFonts w:ascii="Calibri" w:eastAsia="Times New Roman" w:hAnsi="Calibri" w:cs="Calibri"/>
                <w:color w:val="000000" w:themeColor="text1"/>
                <w:sz w:val="22"/>
                <w:szCs w:val="22"/>
                <w:highlight w:val="magenta"/>
                <w:lang w:val="en-US"/>
              </w:rPr>
              <w:t>364,31</w:t>
            </w:r>
            <w:r w:rsidR="005055AD" w:rsidRPr="009B7ED8">
              <w:rPr>
                <w:rFonts w:ascii="Calibri" w:eastAsia="Times New Roman" w:hAnsi="Calibri" w:cs="Calibri"/>
                <w:color w:val="000000" w:themeColor="text1"/>
                <w:sz w:val="22"/>
                <w:szCs w:val="22"/>
                <w:highlight w:val="magenta"/>
                <w:lang w:val="en-US"/>
              </w:rPr>
              <w:t>5</w:t>
            </w:r>
          </w:p>
        </w:tc>
        <w:tc>
          <w:tcPr>
            <w:tcW w:w="1664" w:type="dxa"/>
            <w:tcBorders>
              <w:top w:val="nil"/>
              <w:left w:val="nil"/>
              <w:bottom w:val="single" w:sz="4" w:space="0" w:color="auto"/>
              <w:right w:val="single" w:sz="4" w:space="0" w:color="auto"/>
            </w:tcBorders>
            <w:shd w:val="clear" w:color="auto" w:fill="auto"/>
            <w:noWrap/>
            <w:hideMark/>
          </w:tcPr>
          <w:p w14:paraId="0423B77F" w14:textId="4D6E0D6A" w:rsidR="00A23757" w:rsidRPr="009B7ED8" w:rsidRDefault="00A23757" w:rsidP="00A23757">
            <w:pPr>
              <w:jc w:val="right"/>
              <w:rPr>
                <w:rFonts w:ascii="Calibri" w:eastAsia="Times New Roman" w:hAnsi="Calibri" w:cs="Calibri"/>
                <w:color w:val="000000" w:themeColor="text1"/>
                <w:sz w:val="22"/>
                <w:szCs w:val="22"/>
                <w:highlight w:val="magenta"/>
                <w:lang w:val="en-US"/>
              </w:rPr>
            </w:pPr>
            <w:r w:rsidRPr="009B7ED8">
              <w:rPr>
                <w:rFonts w:ascii="Calibri" w:eastAsia="Times New Roman" w:hAnsi="Calibri" w:cs="Calibri"/>
                <w:color w:val="000000" w:themeColor="text1"/>
                <w:sz w:val="22"/>
                <w:szCs w:val="22"/>
                <w:highlight w:val="magenta"/>
                <w:lang w:val="en-US"/>
              </w:rPr>
              <w:t>364,31</w:t>
            </w:r>
            <w:r w:rsidR="005055AD" w:rsidRPr="009B7ED8">
              <w:rPr>
                <w:rFonts w:ascii="Calibri" w:eastAsia="Times New Roman" w:hAnsi="Calibri" w:cs="Calibri"/>
                <w:color w:val="000000" w:themeColor="text1"/>
                <w:sz w:val="22"/>
                <w:szCs w:val="22"/>
                <w:highlight w:val="magenta"/>
                <w:lang w:val="en-US"/>
              </w:rPr>
              <w:t>5</w:t>
            </w:r>
          </w:p>
        </w:tc>
        <w:tc>
          <w:tcPr>
            <w:tcW w:w="1309" w:type="dxa"/>
            <w:tcBorders>
              <w:top w:val="nil"/>
              <w:left w:val="nil"/>
              <w:bottom w:val="single" w:sz="4" w:space="0" w:color="auto"/>
              <w:right w:val="single" w:sz="4" w:space="0" w:color="auto"/>
            </w:tcBorders>
            <w:shd w:val="clear" w:color="auto" w:fill="auto"/>
            <w:hideMark/>
          </w:tcPr>
          <w:p w14:paraId="69433C9B" w14:textId="4E64067C" w:rsidR="00A23757" w:rsidRPr="009B7ED8" w:rsidRDefault="00A23757" w:rsidP="00A23757">
            <w:pPr>
              <w:jc w:val="right"/>
              <w:rPr>
                <w:rFonts w:ascii="Calibri" w:eastAsia="Times New Roman" w:hAnsi="Calibri" w:cs="Calibri"/>
                <w:color w:val="000000" w:themeColor="text1"/>
                <w:sz w:val="22"/>
                <w:szCs w:val="22"/>
                <w:highlight w:val="magenta"/>
                <w:lang w:val="en-US"/>
              </w:rPr>
            </w:pPr>
            <w:r w:rsidRPr="009B7ED8">
              <w:rPr>
                <w:rFonts w:ascii="Calibri" w:eastAsia="Times New Roman" w:hAnsi="Calibri" w:cs="Calibri"/>
                <w:color w:val="000000" w:themeColor="text1"/>
                <w:sz w:val="22"/>
                <w:szCs w:val="22"/>
                <w:highlight w:val="magenta"/>
                <w:lang w:val="en-US"/>
              </w:rPr>
              <w:t>1,821,57</w:t>
            </w:r>
            <w:r w:rsidR="005055AD" w:rsidRPr="009B7ED8">
              <w:rPr>
                <w:rFonts w:ascii="Calibri" w:eastAsia="Times New Roman" w:hAnsi="Calibri" w:cs="Calibri"/>
                <w:color w:val="000000" w:themeColor="text1"/>
                <w:sz w:val="22"/>
                <w:szCs w:val="22"/>
                <w:highlight w:val="magenta"/>
                <w:lang w:val="en-US"/>
              </w:rPr>
              <w:t>2</w:t>
            </w:r>
          </w:p>
        </w:tc>
      </w:tr>
      <w:tr w:rsidR="00755012" w:rsidRPr="005516CD" w14:paraId="748C345E" w14:textId="77777777" w:rsidTr="00A23757">
        <w:trPr>
          <w:trHeight w:val="288"/>
        </w:trPr>
        <w:tc>
          <w:tcPr>
            <w:tcW w:w="4395" w:type="dxa"/>
            <w:tcBorders>
              <w:top w:val="nil"/>
              <w:left w:val="single" w:sz="4" w:space="0" w:color="auto"/>
              <w:bottom w:val="single" w:sz="4" w:space="0" w:color="auto"/>
              <w:right w:val="single" w:sz="4" w:space="0" w:color="auto"/>
            </w:tcBorders>
            <w:shd w:val="clear" w:color="auto" w:fill="auto"/>
            <w:vAlign w:val="center"/>
            <w:hideMark/>
          </w:tcPr>
          <w:p w14:paraId="61106E65" w14:textId="77777777" w:rsidR="00755012" w:rsidRPr="00FE7303" w:rsidRDefault="00755012" w:rsidP="00755012">
            <w:pPr>
              <w:rPr>
                <w:rFonts w:ascii="Calibri" w:eastAsia="Times New Roman" w:hAnsi="Calibri" w:cs="Calibri"/>
                <w:b/>
                <w:bCs/>
                <w:sz w:val="22"/>
                <w:szCs w:val="22"/>
                <w:highlight w:val="cyan"/>
              </w:rPr>
            </w:pPr>
            <w:r w:rsidRPr="00FE7303">
              <w:rPr>
                <w:rFonts w:ascii="Calibri" w:eastAsia="Times New Roman" w:hAnsi="Calibri" w:cs="Calibri"/>
                <w:b/>
                <w:bCs/>
                <w:sz w:val="22"/>
                <w:szCs w:val="22"/>
                <w:highlight w:val="cyan"/>
                <w:lang w:val="en-US"/>
              </w:rPr>
              <w:t>Total</w:t>
            </w:r>
          </w:p>
        </w:tc>
        <w:tc>
          <w:tcPr>
            <w:tcW w:w="1573" w:type="dxa"/>
            <w:tcBorders>
              <w:top w:val="nil"/>
              <w:left w:val="nil"/>
              <w:bottom w:val="single" w:sz="4" w:space="0" w:color="auto"/>
              <w:right w:val="single" w:sz="4" w:space="0" w:color="auto"/>
            </w:tcBorders>
            <w:shd w:val="clear" w:color="auto" w:fill="auto"/>
            <w:hideMark/>
          </w:tcPr>
          <w:p w14:paraId="4E6804E3" w14:textId="6A87DECD" w:rsidR="00755012" w:rsidRPr="00755012" w:rsidRDefault="00755012" w:rsidP="00755012">
            <w:pPr>
              <w:jc w:val="right"/>
              <w:rPr>
                <w:rFonts w:asciiTheme="majorHAnsi" w:eastAsia="Times New Roman" w:hAnsiTheme="majorHAnsi" w:cstheme="majorHAnsi"/>
                <w:b/>
                <w:sz w:val="22"/>
                <w:szCs w:val="20"/>
                <w:highlight w:val="cyan"/>
                <w:lang w:val="en-US"/>
              </w:rPr>
            </w:pPr>
            <w:r w:rsidRPr="00755012">
              <w:rPr>
                <w:rFonts w:asciiTheme="majorHAnsi" w:hAnsiTheme="majorHAnsi" w:cstheme="majorHAnsi"/>
                <w:sz w:val="22"/>
              </w:rPr>
              <w:t>10,281,761</w:t>
            </w:r>
          </w:p>
        </w:tc>
        <w:tc>
          <w:tcPr>
            <w:tcW w:w="1664" w:type="dxa"/>
            <w:tcBorders>
              <w:top w:val="nil"/>
              <w:left w:val="nil"/>
              <w:bottom w:val="single" w:sz="4" w:space="0" w:color="auto"/>
              <w:right w:val="single" w:sz="4" w:space="0" w:color="auto"/>
            </w:tcBorders>
            <w:shd w:val="clear" w:color="auto" w:fill="auto"/>
            <w:hideMark/>
          </w:tcPr>
          <w:p w14:paraId="07905D66" w14:textId="0A45830B" w:rsidR="00755012" w:rsidRPr="00755012" w:rsidRDefault="00755012" w:rsidP="00755012">
            <w:pPr>
              <w:jc w:val="right"/>
              <w:rPr>
                <w:rFonts w:asciiTheme="majorHAnsi" w:eastAsia="Times New Roman" w:hAnsiTheme="majorHAnsi" w:cstheme="majorHAnsi"/>
                <w:b/>
                <w:sz w:val="22"/>
                <w:szCs w:val="20"/>
                <w:highlight w:val="cyan"/>
                <w:lang w:val="en-US"/>
              </w:rPr>
            </w:pPr>
            <w:r w:rsidRPr="00755012">
              <w:rPr>
                <w:rFonts w:asciiTheme="majorHAnsi" w:hAnsiTheme="majorHAnsi" w:cstheme="majorHAnsi"/>
                <w:sz w:val="22"/>
              </w:rPr>
              <w:t>10,187,828</w:t>
            </w:r>
          </w:p>
        </w:tc>
        <w:tc>
          <w:tcPr>
            <w:tcW w:w="1664" w:type="dxa"/>
            <w:tcBorders>
              <w:top w:val="nil"/>
              <w:left w:val="nil"/>
              <w:bottom w:val="single" w:sz="4" w:space="0" w:color="auto"/>
              <w:right w:val="single" w:sz="4" w:space="0" w:color="auto"/>
            </w:tcBorders>
            <w:shd w:val="clear" w:color="auto" w:fill="auto"/>
            <w:hideMark/>
          </w:tcPr>
          <w:p w14:paraId="485BB8DE" w14:textId="31D00CDE" w:rsidR="00755012" w:rsidRPr="00755012" w:rsidRDefault="00755012" w:rsidP="00755012">
            <w:pPr>
              <w:jc w:val="right"/>
              <w:rPr>
                <w:rFonts w:asciiTheme="majorHAnsi" w:eastAsia="Times New Roman" w:hAnsiTheme="majorHAnsi" w:cstheme="majorHAnsi"/>
                <w:b/>
                <w:sz w:val="22"/>
                <w:szCs w:val="20"/>
                <w:highlight w:val="cyan"/>
                <w:lang w:val="en-US"/>
              </w:rPr>
            </w:pPr>
            <w:r w:rsidRPr="00755012">
              <w:rPr>
                <w:rFonts w:asciiTheme="majorHAnsi" w:hAnsiTheme="majorHAnsi" w:cstheme="majorHAnsi"/>
                <w:sz w:val="22"/>
              </w:rPr>
              <w:t>10,271,761</w:t>
            </w:r>
          </w:p>
        </w:tc>
        <w:tc>
          <w:tcPr>
            <w:tcW w:w="1664" w:type="dxa"/>
            <w:tcBorders>
              <w:top w:val="nil"/>
              <w:left w:val="nil"/>
              <w:bottom w:val="single" w:sz="4" w:space="0" w:color="auto"/>
              <w:right w:val="single" w:sz="4" w:space="0" w:color="auto"/>
            </w:tcBorders>
            <w:shd w:val="clear" w:color="auto" w:fill="auto"/>
            <w:hideMark/>
          </w:tcPr>
          <w:p w14:paraId="01CFF9F0" w14:textId="23EBB5E9" w:rsidR="00755012" w:rsidRPr="00755012" w:rsidRDefault="00755012" w:rsidP="00755012">
            <w:pPr>
              <w:jc w:val="right"/>
              <w:rPr>
                <w:rFonts w:asciiTheme="majorHAnsi" w:eastAsia="Times New Roman" w:hAnsiTheme="majorHAnsi" w:cstheme="majorHAnsi"/>
                <w:b/>
                <w:color w:val="000000" w:themeColor="text1"/>
                <w:sz w:val="22"/>
                <w:szCs w:val="20"/>
                <w:highlight w:val="magenta"/>
                <w:lang w:val="en-US"/>
              </w:rPr>
            </w:pPr>
            <w:r w:rsidRPr="00755012">
              <w:rPr>
                <w:rFonts w:asciiTheme="majorHAnsi" w:hAnsiTheme="majorHAnsi" w:cstheme="majorHAnsi"/>
                <w:sz w:val="22"/>
                <w:highlight w:val="magenta"/>
              </w:rPr>
              <w:t>10,205,61</w:t>
            </w:r>
            <w:r w:rsidR="00A82E79">
              <w:rPr>
                <w:rFonts w:asciiTheme="majorHAnsi" w:hAnsiTheme="majorHAnsi" w:cstheme="majorHAnsi"/>
                <w:sz w:val="22"/>
                <w:highlight w:val="magenta"/>
              </w:rPr>
              <w:t>4</w:t>
            </w:r>
          </w:p>
        </w:tc>
        <w:tc>
          <w:tcPr>
            <w:tcW w:w="1664" w:type="dxa"/>
            <w:tcBorders>
              <w:top w:val="nil"/>
              <w:left w:val="nil"/>
              <w:bottom w:val="single" w:sz="4" w:space="0" w:color="auto"/>
              <w:right w:val="single" w:sz="4" w:space="0" w:color="auto"/>
            </w:tcBorders>
            <w:shd w:val="clear" w:color="auto" w:fill="auto"/>
            <w:hideMark/>
          </w:tcPr>
          <w:p w14:paraId="22B42523" w14:textId="4AE6E8E9" w:rsidR="00755012" w:rsidRPr="00755012" w:rsidRDefault="00755012" w:rsidP="00755012">
            <w:pPr>
              <w:jc w:val="right"/>
              <w:rPr>
                <w:rFonts w:asciiTheme="majorHAnsi" w:eastAsia="Times New Roman" w:hAnsiTheme="majorHAnsi" w:cstheme="majorHAnsi"/>
                <w:b/>
                <w:color w:val="000000" w:themeColor="text1"/>
                <w:sz w:val="22"/>
                <w:szCs w:val="20"/>
                <w:highlight w:val="magenta"/>
                <w:lang w:val="en-US"/>
              </w:rPr>
            </w:pPr>
            <w:r w:rsidRPr="00755012">
              <w:rPr>
                <w:rFonts w:asciiTheme="majorHAnsi" w:hAnsiTheme="majorHAnsi" w:cstheme="majorHAnsi"/>
                <w:sz w:val="22"/>
                <w:highlight w:val="magenta"/>
              </w:rPr>
              <w:t>10,260,59</w:t>
            </w:r>
            <w:r w:rsidR="00EC7161">
              <w:rPr>
                <w:rFonts w:asciiTheme="majorHAnsi" w:hAnsiTheme="majorHAnsi" w:cstheme="majorHAnsi"/>
                <w:sz w:val="22"/>
                <w:highlight w:val="magenta"/>
              </w:rPr>
              <w:t>7</w:t>
            </w:r>
          </w:p>
        </w:tc>
        <w:tc>
          <w:tcPr>
            <w:tcW w:w="1309" w:type="dxa"/>
            <w:tcBorders>
              <w:top w:val="nil"/>
              <w:left w:val="nil"/>
              <w:bottom w:val="single" w:sz="4" w:space="0" w:color="auto"/>
              <w:right w:val="single" w:sz="4" w:space="0" w:color="auto"/>
            </w:tcBorders>
            <w:shd w:val="clear" w:color="auto" w:fill="auto"/>
            <w:hideMark/>
          </w:tcPr>
          <w:p w14:paraId="740164FD" w14:textId="5637EFDD" w:rsidR="00755012" w:rsidRPr="00755012" w:rsidRDefault="00755012" w:rsidP="00755012">
            <w:pPr>
              <w:jc w:val="right"/>
              <w:rPr>
                <w:rFonts w:asciiTheme="majorHAnsi" w:eastAsia="Times New Roman" w:hAnsiTheme="majorHAnsi" w:cstheme="majorHAnsi"/>
                <w:b/>
                <w:color w:val="000000" w:themeColor="text1"/>
                <w:sz w:val="22"/>
                <w:szCs w:val="22"/>
                <w:highlight w:val="magenta"/>
                <w:lang w:val="en-US"/>
              </w:rPr>
            </w:pPr>
            <w:r w:rsidRPr="00755012">
              <w:rPr>
                <w:rFonts w:asciiTheme="majorHAnsi" w:hAnsiTheme="majorHAnsi" w:cstheme="majorHAnsi"/>
                <w:sz w:val="22"/>
                <w:highlight w:val="magenta"/>
              </w:rPr>
              <w:t>51,207,5</w:t>
            </w:r>
            <w:r w:rsidR="00EC7161">
              <w:rPr>
                <w:rFonts w:asciiTheme="majorHAnsi" w:hAnsiTheme="majorHAnsi" w:cstheme="majorHAnsi"/>
                <w:sz w:val="22"/>
                <w:highlight w:val="magenta"/>
              </w:rPr>
              <w:t>61</w:t>
            </w:r>
          </w:p>
        </w:tc>
      </w:tr>
      <w:bookmarkEnd w:id="94"/>
    </w:tbl>
    <w:p w14:paraId="41C20118" w14:textId="77777777" w:rsidR="00302513" w:rsidRPr="005516CD" w:rsidRDefault="00302513" w:rsidP="007B146B">
      <w:pPr>
        <w:rPr>
          <w:rFonts w:asciiTheme="majorHAnsi" w:hAnsiTheme="majorHAnsi" w:cstheme="majorHAnsi"/>
          <w:b/>
          <w:sz w:val="20"/>
          <w:szCs w:val="20"/>
        </w:rPr>
      </w:pPr>
    </w:p>
    <w:p w14:paraId="4AB0D4CD" w14:textId="77777777" w:rsidR="001771FE" w:rsidRPr="005516CD" w:rsidRDefault="001771FE" w:rsidP="007B146B">
      <w:pPr>
        <w:pStyle w:val="Body"/>
        <w:rPr>
          <w:lang w:val="en-US"/>
        </w:rPr>
      </w:pPr>
    </w:p>
    <w:p w14:paraId="7CE0A991" w14:textId="2EFC00E1" w:rsidR="00954F97" w:rsidRDefault="00954F97" w:rsidP="00954F97">
      <w:pPr>
        <w:pStyle w:val="Body"/>
        <w:rPr>
          <w:b/>
          <w:color w:val="auto"/>
        </w:rPr>
      </w:pPr>
      <w:r w:rsidRPr="005516CD">
        <w:rPr>
          <w:b/>
          <w:color w:val="auto"/>
        </w:rPr>
        <w:t>Breakdown by budget code (UNDP)</w:t>
      </w:r>
    </w:p>
    <w:p w14:paraId="14BA7841" w14:textId="50A41826" w:rsidR="008621D9" w:rsidRDefault="008621D9" w:rsidP="00954F97">
      <w:pPr>
        <w:pStyle w:val="Body"/>
        <w:rPr>
          <w:b/>
          <w:color w:val="auto"/>
        </w:rPr>
      </w:pPr>
    </w:p>
    <w:tbl>
      <w:tblPr>
        <w:tblStyle w:val="TableGrid"/>
        <w:tblW w:w="0" w:type="auto"/>
        <w:tblLook w:val="04A0" w:firstRow="1" w:lastRow="0" w:firstColumn="1" w:lastColumn="0" w:noHBand="0" w:noVBand="1"/>
      </w:tblPr>
      <w:tblGrid>
        <w:gridCol w:w="3760"/>
        <w:gridCol w:w="1140"/>
        <w:gridCol w:w="1120"/>
        <w:gridCol w:w="1140"/>
        <w:gridCol w:w="1100"/>
        <w:gridCol w:w="1080"/>
        <w:gridCol w:w="1080"/>
        <w:gridCol w:w="1120"/>
      </w:tblGrid>
      <w:tr w:rsidR="006076A1" w:rsidRPr="006076A1" w14:paraId="02FD312E" w14:textId="77777777" w:rsidTr="006076A1">
        <w:trPr>
          <w:trHeight w:val="315"/>
        </w:trPr>
        <w:tc>
          <w:tcPr>
            <w:tcW w:w="3760" w:type="dxa"/>
            <w:noWrap/>
            <w:hideMark/>
          </w:tcPr>
          <w:p w14:paraId="27F8CA43" w14:textId="77777777" w:rsidR="006076A1" w:rsidRPr="008244FA" w:rsidRDefault="006076A1" w:rsidP="006076A1">
            <w:pPr>
              <w:pStyle w:val="Body"/>
              <w:rPr>
                <w:b/>
                <w:bCs/>
                <w:highlight w:val="cyan"/>
              </w:rPr>
            </w:pPr>
            <w:r w:rsidRPr="008244FA">
              <w:rPr>
                <w:b/>
                <w:bCs/>
                <w:highlight w:val="cyan"/>
              </w:rPr>
              <w:t>ERP/ATLAS Budget Description/ Input</w:t>
            </w:r>
          </w:p>
        </w:tc>
        <w:tc>
          <w:tcPr>
            <w:tcW w:w="1140" w:type="dxa"/>
            <w:noWrap/>
            <w:hideMark/>
          </w:tcPr>
          <w:p w14:paraId="0E74388C" w14:textId="77777777" w:rsidR="006076A1" w:rsidRPr="008244FA" w:rsidRDefault="006076A1" w:rsidP="006076A1">
            <w:pPr>
              <w:pStyle w:val="Body"/>
              <w:rPr>
                <w:b/>
                <w:bCs/>
                <w:highlight w:val="cyan"/>
              </w:rPr>
            </w:pPr>
            <w:r w:rsidRPr="008244FA">
              <w:rPr>
                <w:b/>
                <w:bCs/>
                <w:highlight w:val="cyan"/>
              </w:rPr>
              <w:t>Atlas Code</w:t>
            </w:r>
          </w:p>
        </w:tc>
        <w:tc>
          <w:tcPr>
            <w:tcW w:w="1120" w:type="dxa"/>
            <w:noWrap/>
            <w:hideMark/>
          </w:tcPr>
          <w:p w14:paraId="1BA9FBEC" w14:textId="77777777" w:rsidR="006076A1" w:rsidRPr="008244FA" w:rsidRDefault="006076A1" w:rsidP="006076A1">
            <w:pPr>
              <w:pStyle w:val="Body"/>
              <w:rPr>
                <w:b/>
                <w:bCs/>
                <w:highlight w:val="cyan"/>
              </w:rPr>
            </w:pPr>
            <w:r w:rsidRPr="008244FA">
              <w:rPr>
                <w:b/>
                <w:bCs/>
                <w:highlight w:val="cyan"/>
              </w:rPr>
              <w:t>Year 1</w:t>
            </w:r>
          </w:p>
        </w:tc>
        <w:tc>
          <w:tcPr>
            <w:tcW w:w="1140" w:type="dxa"/>
            <w:noWrap/>
            <w:hideMark/>
          </w:tcPr>
          <w:p w14:paraId="633254E3" w14:textId="77777777" w:rsidR="006076A1" w:rsidRPr="008244FA" w:rsidRDefault="006076A1" w:rsidP="006076A1">
            <w:pPr>
              <w:pStyle w:val="Body"/>
              <w:rPr>
                <w:b/>
                <w:bCs/>
                <w:highlight w:val="cyan"/>
              </w:rPr>
            </w:pPr>
            <w:r w:rsidRPr="008244FA">
              <w:rPr>
                <w:b/>
                <w:bCs/>
                <w:highlight w:val="cyan"/>
              </w:rPr>
              <w:t>Year 2</w:t>
            </w:r>
          </w:p>
        </w:tc>
        <w:tc>
          <w:tcPr>
            <w:tcW w:w="1100" w:type="dxa"/>
            <w:noWrap/>
            <w:hideMark/>
          </w:tcPr>
          <w:p w14:paraId="1CEF8599" w14:textId="77777777" w:rsidR="006076A1" w:rsidRPr="008244FA" w:rsidRDefault="006076A1" w:rsidP="006076A1">
            <w:pPr>
              <w:pStyle w:val="Body"/>
              <w:rPr>
                <w:b/>
                <w:bCs/>
                <w:highlight w:val="cyan"/>
              </w:rPr>
            </w:pPr>
            <w:r w:rsidRPr="008244FA">
              <w:rPr>
                <w:b/>
                <w:bCs/>
                <w:highlight w:val="cyan"/>
              </w:rPr>
              <w:t>Year 3</w:t>
            </w:r>
          </w:p>
        </w:tc>
        <w:tc>
          <w:tcPr>
            <w:tcW w:w="1080" w:type="dxa"/>
            <w:noWrap/>
            <w:hideMark/>
          </w:tcPr>
          <w:p w14:paraId="2BE4FF19" w14:textId="77777777" w:rsidR="006076A1" w:rsidRPr="008244FA" w:rsidRDefault="006076A1" w:rsidP="006076A1">
            <w:pPr>
              <w:pStyle w:val="Body"/>
              <w:rPr>
                <w:b/>
                <w:bCs/>
                <w:highlight w:val="cyan"/>
              </w:rPr>
            </w:pPr>
            <w:r w:rsidRPr="008244FA">
              <w:rPr>
                <w:b/>
                <w:bCs/>
                <w:highlight w:val="cyan"/>
              </w:rPr>
              <w:t>Year 4</w:t>
            </w:r>
          </w:p>
        </w:tc>
        <w:tc>
          <w:tcPr>
            <w:tcW w:w="1080" w:type="dxa"/>
            <w:noWrap/>
            <w:hideMark/>
          </w:tcPr>
          <w:p w14:paraId="0B1B249F" w14:textId="77777777" w:rsidR="006076A1" w:rsidRPr="008244FA" w:rsidRDefault="006076A1" w:rsidP="006076A1">
            <w:pPr>
              <w:pStyle w:val="Body"/>
              <w:rPr>
                <w:b/>
                <w:bCs/>
                <w:highlight w:val="cyan"/>
              </w:rPr>
            </w:pPr>
            <w:r w:rsidRPr="008244FA">
              <w:rPr>
                <w:b/>
                <w:bCs/>
                <w:highlight w:val="cyan"/>
              </w:rPr>
              <w:t>Year 5</w:t>
            </w:r>
          </w:p>
        </w:tc>
        <w:tc>
          <w:tcPr>
            <w:tcW w:w="1120" w:type="dxa"/>
            <w:noWrap/>
            <w:hideMark/>
          </w:tcPr>
          <w:p w14:paraId="2B58A6A1" w14:textId="77777777" w:rsidR="006076A1" w:rsidRPr="008244FA" w:rsidRDefault="006076A1" w:rsidP="006076A1">
            <w:pPr>
              <w:pStyle w:val="Body"/>
              <w:rPr>
                <w:b/>
                <w:bCs/>
                <w:highlight w:val="cyan"/>
              </w:rPr>
            </w:pPr>
            <w:r w:rsidRPr="008244FA">
              <w:rPr>
                <w:b/>
                <w:bCs/>
                <w:highlight w:val="cyan"/>
              </w:rPr>
              <w:t>Totals</w:t>
            </w:r>
          </w:p>
        </w:tc>
      </w:tr>
      <w:tr w:rsidR="007860FC" w:rsidRPr="006076A1" w14:paraId="55339019" w14:textId="77777777" w:rsidTr="006076A1">
        <w:trPr>
          <w:trHeight w:val="315"/>
        </w:trPr>
        <w:tc>
          <w:tcPr>
            <w:tcW w:w="3760" w:type="dxa"/>
            <w:noWrap/>
            <w:hideMark/>
          </w:tcPr>
          <w:p w14:paraId="46545826" w14:textId="77777777" w:rsidR="007860FC" w:rsidRPr="008244FA" w:rsidRDefault="007860FC" w:rsidP="007860FC">
            <w:pPr>
              <w:pStyle w:val="Body"/>
              <w:rPr>
                <w:highlight w:val="cyan"/>
              </w:rPr>
            </w:pPr>
            <w:r w:rsidRPr="008244FA">
              <w:rPr>
                <w:highlight w:val="cyan"/>
              </w:rPr>
              <w:t xml:space="preserve">International Consultants </w:t>
            </w:r>
          </w:p>
        </w:tc>
        <w:tc>
          <w:tcPr>
            <w:tcW w:w="1140" w:type="dxa"/>
            <w:noWrap/>
            <w:hideMark/>
          </w:tcPr>
          <w:p w14:paraId="2CC68A9E" w14:textId="77777777" w:rsidR="007860FC" w:rsidRPr="008244FA" w:rsidRDefault="007860FC" w:rsidP="007860FC">
            <w:pPr>
              <w:pStyle w:val="Body"/>
              <w:rPr>
                <w:highlight w:val="cyan"/>
              </w:rPr>
            </w:pPr>
            <w:r w:rsidRPr="008244FA">
              <w:rPr>
                <w:highlight w:val="cyan"/>
              </w:rPr>
              <w:t>71200</w:t>
            </w:r>
          </w:p>
        </w:tc>
        <w:tc>
          <w:tcPr>
            <w:tcW w:w="1120" w:type="dxa"/>
            <w:noWrap/>
            <w:hideMark/>
          </w:tcPr>
          <w:p w14:paraId="57C08D96" w14:textId="37F896CF" w:rsidR="007860FC" w:rsidRPr="008244FA" w:rsidRDefault="007860FC" w:rsidP="007860FC">
            <w:pPr>
              <w:pStyle w:val="Body"/>
              <w:jc w:val="right"/>
              <w:rPr>
                <w:highlight w:val="cyan"/>
              </w:rPr>
            </w:pPr>
            <w:r w:rsidRPr="00E235CE">
              <w:t>73,000</w:t>
            </w:r>
          </w:p>
        </w:tc>
        <w:tc>
          <w:tcPr>
            <w:tcW w:w="1140" w:type="dxa"/>
            <w:noWrap/>
            <w:hideMark/>
          </w:tcPr>
          <w:p w14:paraId="1104AA8E" w14:textId="5F0A058E" w:rsidR="007860FC" w:rsidRPr="008244FA" w:rsidRDefault="007860FC" w:rsidP="007860FC">
            <w:pPr>
              <w:pStyle w:val="Body"/>
              <w:jc w:val="right"/>
              <w:rPr>
                <w:highlight w:val="cyan"/>
              </w:rPr>
            </w:pPr>
            <w:r w:rsidRPr="00E235CE">
              <w:t>38,000</w:t>
            </w:r>
          </w:p>
        </w:tc>
        <w:tc>
          <w:tcPr>
            <w:tcW w:w="1100" w:type="dxa"/>
            <w:noWrap/>
            <w:hideMark/>
          </w:tcPr>
          <w:p w14:paraId="7B0FD51C" w14:textId="48E39B28" w:rsidR="007860FC" w:rsidRPr="008244FA" w:rsidRDefault="007860FC" w:rsidP="007860FC">
            <w:pPr>
              <w:pStyle w:val="Body"/>
              <w:jc w:val="right"/>
              <w:rPr>
                <w:highlight w:val="cyan"/>
              </w:rPr>
            </w:pPr>
            <w:r w:rsidRPr="00E235CE">
              <w:t>53,000</w:t>
            </w:r>
          </w:p>
        </w:tc>
        <w:tc>
          <w:tcPr>
            <w:tcW w:w="1080" w:type="dxa"/>
            <w:noWrap/>
            <w:hideMark/>
          </w:tcPr>
          <w:p w14:paraId="296F96F9" w14:textId="23F6B267" w:rsidR="007860FC" w:rsidRPr="008244FA" w:rsidRDefault="007860FC" w:rsidP="007860FC">
            <w:pPr>
              <w:pStyle w:val="Body"/>
              <w:jc w:val="right"/>
              <w:rPr>
                <w:highlight w:val="cyan"/>
              </w:rPr>
            </w:pPr>
            <w:r w:rsidRPr="00E235CE">
              <w:t>48,000</w:t>
            </w:r>
          </w:p>
        </w:tc>
        <w:tc>
          <w:tcPr>
            <w:tcW w:w="1080" w:type="dxa"/>
            <w:noWrap/>
            <w:hideMark/>
          </w:tcPr>
          <w:p w14:paraId="38FF956A" w14:textId="52F020EA" w:rsidR="007860FC" w:rsidRPr="008244FA" w:rsidRDefault="007860FC" w:rsidP="007860FC">
            <w:pPr>
              <w:pStyle w:val="Body"/>
              <w:jc w:val="right"/>
              <w:rPr>
                <w:highlight w:val="cyan"/>
              </w:rPr>
            </w:pPr>
            <w:r w:rsidRPr="00E235CE">
              <w:t>43,000</w:t>
            </w:r>
          </w:p>
        </w:tc>
        <w:tc>
          <w:tcPr>
            <w:tcW w:w="1120" w:type="dxa"/>
            <w:noWrap/>
            <w:hideMark/>
          </w:tcPr>
          <w:p w14:paraId="4013DDDF" w14:textId="56D176B0" w:rsidR="007860FC" w:rsidRPr="008244FA" w:rsidRDefault="007860FC" w:rsidP="007860FC">
            <w:pPr>
              <w:pStyle w:val="Body"/>
              <w:jc w:val="right"/>
              <w:rPr>
                <w:highlight w:val="cyan"/>
              </w:rPr>
            </w:pPr>
            <w:r w:rsidRPr="002D1B98">
              <w:t>255,000</w:t>
            </w:r>
          </w:p>
        </w:tc>
      </w:tr>
      <w:tr w:rsidR="007860FC" w:rsidRPr="006076A1" w14:paraId="1E23FE63" w14:textId="77777777" w:rsidTr="006076A1">
        <w:trPr>
          <w:trHeight w:val="315"/>
        </w:trPr>
        <w:tc>
          <w:tcPr>
            <w:tcW w:w="3760" w:type="dxa"/>
            <w:noWrap/>
            <w:hideMark/>
          </w:tcPr>
          <w:p w14:paraId="362BF1FD" w14:textId="77777777" w:rsidR="007860FC" w:rsidRPr="008244FA" w:rsidRDefault="007860FC" w:rsidP="007860FC">
            <w:pPr>
              <w:pStyle w:val="Body"/>
              <w:rPr>
                <w:highlight w:val="cyan"/>
              </w:rPr>
            </w:pPr>
            <w:r w:rsidRPr="008244FA">
              <w:rPr>
                <w:highlight w:val="cyan"/>
              </w:rPr>
              <w:t xml:space="preserve"> Local Consultants </w:t>
            </w:r>
          </w:p>
        </w:tc>
        <w:tc>
          <w:tcPr>
            <w:tcW w:w="1140" w:type="dxa"/>
            <w:noWrap/>
            <w:hideMark/>
          </w:tcPr>
          <w:p w14:paraId="4EEF47C2" w14:textId="77777777" w:rsidR="007860FC" w:rsidRPr="008244FA" w:rsidRDefault="007860FC" w:rsidP="007860FC">
            <w:pPr>
              <w:pStyle w:val="Body"/>
              <w:rPr>
                <w:highlight w:val="cyan"/>
              </w:rPr>
            </w:pPr>
            <w:r w:rsidRPr="008244FA">
              <w:rPr>
                <w:highlight w:val="cyan"/>
              </w:rPr>
              <w:t>71300</w:t>
            </w:r>
          </w:p>
        </w:tc>
        <w:tc>
          <w:tcPr>
            <w:tcW w:w="1120" w:type="dxa"/>
            <w:noWrap/>
            <w:hideMark/>
          </w:tcPr>
          <w:p w14:paraId="4CA0B6F1" w14:textId="618B3532" w:rsidR="007860FC" w:rsidRPr="008244FA" w:rsidRDefault="007860FC" w:rsidP="007860FC">
            <w:pPr>
              <w:pStyle w:val="Body"/>
              <w:jc w:val="right"/>
              <w:rPr>
                <w:highlight w:val="cyan"/>
              </w:rPr>
            </w:pPr>
            <w:r w:rsidRPr="00E235CE">
              <w:t>73,200</w:t>
            </w:r>
          </w:p>
        </w:tc>
        <w:tc>
          <w:tcPr>
            <w:tcW w:w="1140" w:type="dxa"/>
            <w:noWrap/>
            <w:hideMark/>
          </w:tcPr>
          <w:p w14:paraId="4C9710BE" w14:textId="61BD0131" w:rsidR="007860FC" w:rsidRPr="008244FA" w:rsidRDefault="007860FC" w:rsidP="007860FC">
            <w:pPr>
              <w:pStyle w:val="Body"/>
              <w:jc w:val="right"/>
              <w:rPr>
                <w:highlight w:val="cyan"/>
              </w:rPr>
            </w:pPr>
            <w:r w:rsidRPr="00E235CE">
              <w:t>5,000</w:t>
            </w:r>
          </w:p>
        </w:tc>
        <w:tc>
          <w:tcPr>
            <w:tcW w:w="1100" w:type="dxa"/>
            <w:noWrap/>
            <w:hideMark/>
          </w:tcPr>
          <w:p w14:paraId="5A6A3704" w14:textId="7A2E355B" w:rsidR="007860FC" w:rsidRPr="008244FA" w:rsidRDefault="007860FC" w:rsidP="007860FC">
            <w:pPr>
              <w:pStyle w:val="Body"/>
              <w:jc w:val="right"/>
              <w:rPr>
                <w:highlight w:val="cyan"/>
              </w:rPr>
            </w:pPr>
            <w:r w:rsidRPr="00E235CE">
              <w:t>60,000</w:t>
            </w:r>
          </w:p>
        </w:tc>
        <w:tc>
          <w:tcPr>
            <w:tcW w:w="1080" w:type="dxa"/>
            <w:noWrap/>
            <w:hideMark/>
          </w:tcPr>
          <w:p w14:paraId="37CD872B" w14:textId="7B92F05C" w:rsidR="007860FC" w:rsidRPr="008244FA" w:rsidRDefault="007860FC" w:rsidP="007860FC">
            <w:pPr>
              <w:pStyle w:val="Body"/>
              <w:jc w:val="right"/>
              <w:rPr>
                <w:highlight w:val="cyan"/>
              </w:rPr>
            </w:pPr>
            <w:r w:rsidRPr="00E235CE">
              <w:t>6,000</w:t>
            </w:r>
          </w:p>
        </w:tc>
        <w:tc>
          <w:tcPr>
            <w:tcW w:w="1080" w:type="dxa"/>
            <w:noWrap/>
            <w:hideMark/>
          </w:tcPr>
          <w:p w14:paraId="62C759FB" w14:textId="7FD6DA59" w:rsidR="007860FC" w:rsidRPr="008244FA" w:rsidRDefault="007860FC" w:rsidP="007860FC">
            <w:pPr>
              <w:pStyle w:val="Body"/>
              <w:jc w:val="right"/>
              <w:rPr>
                <w:highlight w:val="cyan"/>
              </w:rPr>
            </w:pPr>
            <w:r w:rsidRPr="00E235CE">
              <w:t>48,000</w:t>
            </w:r>
          </w:p>
        </w:tc>
        <w:tc>
          <w:tcPr>
            <w:tcW w:w="1120" w:type="dxa"/>
            <w:noWrap/>
            <w:hideMark/>
          </w:tcPr>
          <w:p w14:paraId="14D3D877" w14:textId="242636F3" w:rsidR="007860FC" w:rsidRPr="008244FA" w:rsidRDefault="007860FC" w:rsidP="007860FC">
            <w:pPr>
              <w:pStyle w:val="Body"/>
              <w:jc w:val="right"/>
              <w:rPr>
                <w:highlight w:val="cyan"/>
              </w:rPr>
            </w:pPr>
            <w:r w:rsidRPr="002D1B98">
              <w:t>192,200</w:t>
            </w:r>
          </w:p>
        </w:tc>
      </w:tr>
      <w:tr w:rsidR="007860FC" w:rsidRPr="006076A1" w14:paraId="4B076251" w14:textId="77777777" w:rsidTr="006076A1">
        <w:trPr>
          <w:trHeight w:val="315"/>
        </w:trPr>
        <w:tc>
          <w:tcPr>
            <w:tcW w:w="3760" w:type="dxa"/>
            <w:noWrap/>
            <w:hideMark/>
          </w:tcPr>
          <w:p w14:paraId="65E2D56F" w14:textId="77777777" w:rsidR="007860FC" w:rsidRPr="008244FA" w:rsidRDefault="007860FC" w:rsidP="007860FC">
            <w:pPr>
              <w:pStyle w:val="Body"/>
              <w:rPr>
                <w:highlight w:val="cyan"/>
              </w:rPr>
            </w:pPr>
            <w:r w:rsidRPr="008244FA">
              <w:rPr>
                <w:highlight w:val="cyan"/>
              </w:rPr>
              <w:t xml:space="preserve"> Contractual Services - Individual </w:t>
            </w:r>
          </w:p>
        </w:tc>
        <w:tc>
          <w:tcPr>
            <w:tcW w:w="1140" w:type="dxa"/>
            <w:noWrap/>
            <w:hideMark/>
          </w:tcPr>
          <w:p w14:paraId="4A22E960" w14:textId="77777777" w:rsidR="007860FC" w:rsidRPr="008244FA" w:rsidRDefault="007860FC" w:rsidP="007860FC">
            <w:pPr>
              <w:pStyle w:val="Body"/>
              <w:rPr>
                <w:highlight w:val="cyan"/>
              </w:rPr>
            </w:pPr>
            <w:r w:rsidRPr="008244FA">
              <w:rPr>
                <w:highlight w:val="cyan"/>
              </w:rPr>
              <w:t>71400</w:t>
            </w:r>
          </w:p>
        </w:tc>
        <w:tc>
          <w:tcPr>
            <w:tcW w:w="1120" w:type="dxa"/>
            <w:noWrap/>
            <w:hideMark/>
          </w:tcPr>
          <w:p w14:paraId="385FF0DA" w14:textId="005EEA00" w:rsidR="007860FC" w:rsidRPr="008244FA" w:rsidRDefault="007860FC" w:rsidP="007860FC">
            <w:pPr>
              <w:pStyle w:val="Body"/>
              <w:jc w:val="right"/>
              <w:rPr>
                <w:highlight w:val="cyan"/>
              </w:rPr>
            </w:pPr>
            <w:r w:rsidRPr="00E235CE">
              <w:t>182,840</w:t>
            </w:r>
          </w:p>
        </w:tc>
        <w:tc>
          <w:tcPr>
            <w:tcW w:w="1140" w:type="dxa"/>
            <w:noWrap/>
            <w:hideMark/>
          </w:tcPr>
          <w:p w14:paraId="53A7A107" w14:textId="468444C0" w:rsidR="007860FC" w:rsidRPr="008244FA" w:rsidRDefault="007860FC" w:rsidP="007860FC">
            <w:pPr>
              <w:pStyle w:val="Body"/>
              <w:jc w:val="right"/>
              <w:rPr>
                <w:highlight w:val="cyan"/>
              </w:rPr>
            </w:pPr>
            <w:r w:rsidRPr="00E235CE">
              <w:t>182,840</w:t>
            </w:r>
          </w:p>
        </w:tc>
        <w:tc>
          <w:tcPr>
            <w:tcW w:w="1100" w:type="dxa"/>
            <w:noWrap/>
            <w:hideMark/>
          </w:tcPr>
          <w:p w14:paraId="60D96E78" w14:textId="6642E107" w:rsidR="007860FC" w:rsidRPr="008244FA" w:rsidRDefault="007860FC" w:rsidP="007860FC">
            <w:pPr>
              <w:pStyle w:val="Body"/>
              <w:jc w:val="right"/>
              <w:rPr>
                <w:highlight w:val="cyan"/>
              </w:rPr>
            </w:pPr>
            <w:r w:rsidRPr="00E235CE">
              <w:t>182,840</w:t>
            </w:r>
          </w:p>
        </w:tc>
        <w:tc>
          <w:tcPr>
            <w:tcW w:w="1080" w:type="dxa"/>
            <w:noWrap/>
            <w:hideMark/>
          </w:tcPr>
          <w:p w14:paraId="106FE523" w14:textId="0A2DA9CB" w:rsidR="007860FC" w:rsidRPr="008244FA" w:rsidRDefault="007860FC" w:rsidP="007860FC">
            <w:pPr>
              <w:pStyle w:val="Body"/>
              <w:jc w:val="right"/>
              <w:rPr>
                <w:highlight w:val="cyan"/>
              </w:rPr>
            </w:pPr>
            <w:r w:rsidRPr="00E235CE">
              <w:t>182,840</w:t>
            </w:r>
          </w:p>
        </w:tc>
        <w:tc>
          <w:tcPr>
            <w:tcW w:w="1080" w:type="dxa"/>
            <w:noWrap/>
            <w:hideMark/>
          </w:tcPr>
          <w:p w14:paraId="2FB626A3" w14:textId="2AB9133A" w:rsidR="007860FC" w:rsidRPr="008244FA" w:rsidRDefault="007860FC" w:rsidP="007860FC">
            <w:pPr>
              <w:pStyle w:val="Body"/>
              <w:jc w:val="right"/>
              <w:rPr>
                <w:highlight w:val="cyan"/>
              </w:rPr>
            </w:pPr>
            <w:r w:rsidRPr="00E235CE">
              <w:t>182,840</w:t>
            </w:r>
          </w:p>
        </w:tc>
        <w:tc>
          <w:tcPr>
            <w:tcW w:w="1120" w:type="dxa"/>
            <w:noWrap/>
            <w:hideMark/>
          </w:tcPr>
          <w:p w14:paraId="79F51A85" w14:textId="2A10970F" w:rsidR="007860FC" w:rsidRPr="008244FA" w:rsidRDefault="007860FC" w:rsidP="007860FC">
            <w:pPr>
              <w:pStyle w:val="Body"/>
              <w:jc w:val="right"/>
              <w:rPr>
                <w:highlight w:val="cyan"/>
              </w:rPr>
            </w:pPr>
            <w:r w:rsidRPr="002D1B98">
              <w:t>914,200</w:t>
            </w:r>
          </w:p>
        </w:tc>
      </w:tr>
      <w:tr w:rsidR="007860FC" w:rsidRPr="006076A1" w14:paraId="43A2DF01" w14:textId="77777777" w:rsidTr="006076A1">
        <w:trPr>
          <w:trHeight w:val="315"/>
        </w:trPr>
        <w:tc>
          <w:tcPr>
            <w:tcW w:w="3760" w:type="dxa"/>
            <w:noWrap/>
            <w:hideMark/>
          </w:tcPr>
          <w:p w14:paraId="75539CF5" w14:textId="77777777" w:rsidR="007860FC" w:rsidRPr="008244FA" w:rsidRDefault="007860FC" w:rsidP="007860FC">
            <w:pPr>
              <w:pStyle w:val="Body"/>
              <w:rPr>
                <w:highlight w:val="cyan"/>
              </w:rPr>
            </w:pPr>
            <w:r w:rsidRPr="008244FA">
              <w:rPr>
                <w:highlight w:val="cyan"/>
              </w:rPr>
              <w:t xml:space="preserve"> Travel </w:t>
            </w:r>
          </w:p>
        </w:tc>
        <w:tc>
          <w:tcPr>
            <w:tcW w:w="1140" w:type="dxa"/>
            <w:noWrap/>
            <w:hideMark/>
          </w:tcPr>
          <w:p w14:paraId="23B9538C" w14:textId="77777777" w:rsidR="007860FC" w:rsidRPr="008244FA" w:rsidRDefault="007860FC" w:rsidP="007860FC">
            <w:pPr>
              <w:pStyle w:val="Body"/>
              <w:rPr>
                <w:highlight w:val="cyan"/>
              </w:rPr>
            </w:pPr>
            <w:r w:rsidRPr="008244FA">
              <w:rPr>
                <w:highlight w:val="cyan"/>
              </w:rPr>
              <w:t>71600</w:t>
            </w:r>
          </w:p>
        </w:tc>
        <w:tc>
          <w:tcPr>
            <w:tcW w:w="1120" w:type="dxa"/>
            <w:noWrap/>
            <w:hideMark/>
          </w:tcPr>
          <w:p w14:paraId="17C6F51C" w14:textId="7C1B7440" w:rsidR="007860FC" w:rsidRPr="008244FA" w:rsidRDefault="007860FC" w:rsidP="007860FC">
            <w:pPr>
              <w:pStyle w:val="Body"/>
              <w:jc w:val="right"/>
              <w:rPr>
                <w:highlight w:val="cyan"/>
              </w:rPr>
            </w:pPr>
            <w:r w:rsidRPr="00E235CE">
              <w:t>39,000</w:t>
            </w:r>
          </w:p>
        </w:tc>
        <w:tc>
          <w:tcPr>
            <w:tcW w:w="1140" w:type="dxa"/>
            <w:noWrap/>
            <w:hideMark/>
          </w:tcPr>
          <w:p w14:paraId="46B5DF14" w14:textId="0CEF79E9" w:rsidR="007860FC" w:rsidRPr="008244FA" w:rsidRDefault="007860FC" w:rsidP="007860FC">
            <w:pPr>
              <w:pStyle w:val="Body"/>
              <w:jc w:val="right"/>
              <w:rPr>
                <w:highlight w:val="cyan"/>
              </w:rPr>
            </w:pPr>
            <w:r w:rsidRPr="00E235CE">
              <w:t>50,000</w:t>
            </w:r>
          </w:p>
        </w:tc>
        <w:tc>
          <w:tcPr>
            <w:tcW w:w="1100" w:type="dxa"/>
            <w:noWrap/>
            <w:hideMark/>
          </w:tcPr>
          <w:p w14:paraId="4A3BED0A" w14:textId="49D92AAA" w:rsidR="007860FC" w:rsidRPr="008244FA" w:rsidRDefault="007860FC" w:rsidP="007860FC">
            <w:pPr>
              <w:pStyle w:val="Body"/>
              <w:jc w:val="right"/>
              <w:rPr>
                <w:highlight w:val="cyan"/>
              </w:rPr>
            </w:pPr>
            <w:r w:rsidRPr="00E235CE">
              <w:t>55,000</w:t>
            </w:r>
          </w:p>
        </w:tc>
        <w:tc>
          <w:tcPr>
            <w:tcW w:w="1080" w:type="dxa"/>
            <w:noWrap/>
            <w:hideMark/>
          </w:tcPr>
          <w:p w14:paraId="78016C40" w14:textId="4DCC016B" w:rsidR="007860FC" w:rsidRPr="008244FA" w:rsidRDefault="007860FC" w:rsidP="007860FC">
            <w:pPr>
              <w:pStyle w:val="Body"/>
              <w:jc w:val="right"/>
              <w:rPr>
                <w:highlight w:val="cyan"/>
              </w:rPr>
            </w:pPr>
            <w:r w:rsidRPr="00E235CE">
              <w:t>55,350</w:t>
            </w:r>
          </w:p>
        </w:tc>
        <w:tc>
          <w:tcPr>
            <w:tcW w:w="1080" w:type="dxa"/>
            <w:noWrap/>
            <w:hideMark/>
          </w:tcPr>
          <w:p w14:paraId="69A2C85C" w14:textId="2ED9DDC4" w:rsidR="007860FC" w:rsidRPr="008244FA" w:rsidRDefault="007860FC" w:rsidP="007860FC">
            <w:pPr>
              <w:pStyle w:val="Body"/>
              <w:jc w:val="right"/>
              <w:rPr>
                <w:highlight w:val="cyan"/>
              </w:rPr>
            </w:pPr>
            <w:r w:rsidRPr="00E235CE">
              <w:t>55,000</w:t>
            </w:r>
          </w:p>
        </w:tc>
        <w:tc>
          <w:tcPr>
            <w:tcW w:w="1120" w:type="dxa"/>
            <w:noWrap/>
            <w:hideMark/>
          </w:tcPr>
          <w:p w14:paraId="24ED6E08" w14:textId="1C755070" w:rsidR="007860FC" w:rsidRPr="008244FA" w:rsidRDefault="007860FC" w:rsidP="007860FC">
            <w:pPr>
              <w:pStyle w:val="Body"/>
              <w:jc w:val="right"/>
              <w:rPr>
                <w:highlight w:val="cyan"/>
              </w:rPr>
            </w:pPr>
            <w:r w:rsidRPr="002D1B98">
              <w:t>254,350</w:t>
            </w:r>
          </w:p>
        </w:tc>
      </w:tr>
      <w:tr w:rsidR="007860FC" w:rsidRPr="006076A1" w14:paraId="6241152A" w14:textId="77777777" w:rsidTr="006076A1">
        <w:trPr>
          <w:trHeight w:val="315"/>
        </w:trPr>
        <w:tc>
          <w:tcPr>
            <w:tcW w:w="3760" w:type="dxa"/>
            <w:noWrap/>
            <w:hideMark/>
          </w:tcPr>
          <w:p w14:paraId="5A5208BF" w14:textId="77777777" w:rsidR="007860FC" w:rsidRPr="008244FA" w:rsidRDefault="007860FC" w:rsidP="007860FC">
            <w:pPr>
              <w:pStyle w:val="Body"/>
              <w:rPr>
                <w:highlight w:val="cyan"/>
              </w:rPr>
            </w:pPr>
            <w:r w:rsidRPr="008244FA">
              <w:rPr>
                <w:highlight w:val="cyan"/>
              </w:rPr>
              <w:t xml:space="preserve"> Contractual services - companies </w:t>
            </w:r>
          </w:p>
        </w:tc>
        <w:tc>
          <w:tcPr>
            <w:tcW w:w="1140" w:type="dxa"/>
            <w:noWrap/>
            <w:hideMark/>
          </w:tcPr>
          <w:p w14:paraId="182669FF" w14:textId="77777777" w:rsidR="007860FC" w:rsidRPr="008244FA" w:rsidRDefault="007860FC" w:rsidP="007860FC">
            <w:pPr>
              <w:pStyle w:val="Body"/>
              <w:rPr>
                <w:highlight w:val="cyan"/>
              </w:rPr>
            </w:pPr>
            <w:r w:rsidRPr="008244FA">
              <w:rPr>
                <w:highlight w:val="cyan"/>
              </w:rPr>
              <w:t>72100</w:t>
            </w:r>
          </w:p>
        </w:tc>
        <w:tc>
          <w:tcPr>
            <w:tcW w:w="1120" w:type="dxa"/>
            <w:noWrap/>
            <w:hideMark/>
          </w:tcPr>
          <w:p w14:paraId="14BD109D" w14:textId="3EF6757E" w:rsidR="007860FC" w:rsidRPr="008244FA" w:rsidRDefault="007860FC" w:rsidP="007860FC">
            <w:pPr>
              <w:pStyle w:val="Body"/>
              <w:jc w:val="right"/>
              <w:rPr>
                <w:highlight w:val="cyan"/>
              </w:rPr>
            </w:pPr>
            <w:r w:rsidRPr="00E235CE">
              <w:t>45,500</w:t>
            </w:r>
          </w:p>
        </w:tc>
        <w:tc>
          <w:tcPr>
            <w:tcW w:w="1140" w:type="dxa"/>
            <w:noWrap/>
            <w:hideMark/>
          </w:tcPr>
          <w:p w14:paraId="34331A9F" w14:textId="58DA7585" w:rsidR="007860FC" w:rsidRPr="008244FA" w:rsidRDefault="007860FC" w:rsidP="007860FC">
            <w:pPr>
              <w:pStyle w:val="Body"/>
              <w:jc w:val="right"/>
              <w:rPr>
                <w:highlight w:val="cyan"/>
              </w:rPr>
            </w:pPr>
            <w:r w:rsidRPr="00E235CE">
              <w:t>45,500</w:t>
            </w:r>
          </w:p>
        </w:tc>
        <w:tc>
          <w:tcPr>
            <w:tcW w:w="1100" w:type="dxa"/>
            <w:noWrap/>
            <w:hideMark/>
          </w:tcPr>
          <w:p w14:paraId="27911975" w14:textId="2A4D584F" w:rsidR="007860FC" w:rsidRPr="008244FA" w:rsidRDefault="007860FC" w:rsidP="007860FC">
            <w:pPr>
              <w:pStyle w:val="Body"/>
              <w:jc w:val="right"/>
              <w:rPr>
                <w:highlight w:val="cyan"/>
              </w:rPr>
            </w:pPr>
            <w:r w:rsidRPr="00E235CE">
              <w:t>45,500</w:t>
            </w:r>
          </w:p>
        </w:tc>
        <w:tc>
          <w:tcPr>
            <w:tcW w:w="1080" w:type="dxa"/>
            <w:noWrap/>
            <w:hideMark/>
          </w:tcPr>
          <w:p w14:paraId="048A733A" w14:textId="136D6485" w:rsidR="007860FC" w:rsidRPr="008244FA" w:rsidRDefault="007860FC" w:rsidP="007860FC">
            <w:pPr>
              <w:pStyle w:val="Body"/>
              <w:jc w:val="right"/>
              <w:rPr>
                <w:highlight w:val="cyan"/>
              </w:rPr>
            </w:pPr>
            <w:r w:rsidRPr="00E235CE">
              <w:t>45,500</w:t>
            </w:r>
          </w:p>
        </w:tc>
        <w:tc>
          <w:tcPr>
            <w:tcW w:w="1080" w:type="dxa"/>
            <w:noWrap/>
            <w:hideMark/>
          </w:tcPr>
          <w:p w14:paraId="4E7323C1" w14:textId="6CB1C947" w:rsidR="007860FC" w:rsidRPr="008244FA" w:rsidRDefault="007860FC" w:rsidP="007860FC">
            <w:pPr>
              <w:pStyle w:val="Body"/>
              <w:jc w:val="right"/>
              <w:rPr>
                <w:highlight w:val="cyan"/>
              </w:rPr>
            </w:pPr>
            <w:r w:rsidRPr="00E235CE">
              <w:t>45,500</w:t>
            </w:r>
          </w:p>
        </w:tc>
        <w:tc>
          <w:tcPr>
            <w:tcW w:w="1120" w:type="dxa"/>
            <w:noWrap/>
            <w:hideMark/>
          </w:tcPr>
          <w:p w14:paraId="322F78FB" w14:textId="7A936AF6" w:rsidR="007860FC" w:rsidRPr="008244FA" w:rsidRDefault="007860FC" w:rsidP="007860FC">
            <w:pPr>
              <w:pStyle w:val="Body"/>
              <w:jc w:val="right"/>
              <w:rPr>
                <w:highlight w:val="cyan"/>
              </w:rPr>
            </w:pPr>
            <w:r w:rsidRPr="002D1B98">
              <w:t>227,500</w:t>
            </w:r>
          </w:p>
        </w:tc>
      </w:tr>
      <w:tr w:rsidR="007860FC" w:rsidRPr="006076A1" w14:paraId="000C79BF" w14:textId="77777777" w:rsidTr="006076A1">
        <w:trPr>
          <w:trHeight w:val="315"/>
        </w:trPr>
        <w:tc>
          <w:tcPr>
            <w:tcW w:w="3760" w:type="dxa"/>
            <w:noWrap/>
            <w:hideMark/>
          </w:tcPr>
          <w:p w14:paraId="75D5E03E" w14:textId="77777777" w:rsidR="007860FC" w:rsidRPr="008244FA" w:rsidRDefault="007860FC" w:rsidP="007860FC">
            <w:pPr>
              <w:pStyle w:val="Body"/>
              <w:rPr>
                <w:highlight w:val="cyan"/>
              </w:rPr>
            </w:pPr>
            <w:r w:rsidRPr="008244FA">
              <w:rPr>
                <w:highlight w:val="cyan"/>
              </w:rPr>
              <w:t xml:space="preserve"> Equipment and Furniture </w:t>
            </w:r>
          </w:p>
        </w:tc>
        <w:tc>
          <w:tcPr>
            <w:tcW w:w="1140" w:type="dxa"/>
            <w:noWrap/>
            <w:hideMark/>
          </w:tcPr>
          <w:p w14:paraId="2908B19F" w14:textId="77777777" w:rsidR="007860FC" w:rsidRPr="008244FA" w:rsidRDefault="007860FC" w:rsidP="007860FC">
            <w:pPr>
              <w:pStyle w:val="Body"/>
              <w:rPr>
                <w:highlight w:val="cyan"/>
              </w:rPr>
            </w:pPr>
            <w:r w:rsidRPr="008244FA">
              <w:rPr>
                <w:highlight w:val="cyan"/>
              </w:rPr>
              <w:t>72200</w:t>
            </w:r>
          </w:p>
        </w:tc>
        <w:tc>
          <w:tcPr>
            <w:tcW w:w="1120" w:type="dxa"/>
            <w:noWrap/>
            <w:hideMark/>
          </w:tcPr>
          <w:p w14:paraId="4D92E76B" w14:textId="05084F9D" w:rsidR="007860FC" w:rsidRPr="008244FA" w:rsidRDefault="007860FC" w:rsidP="007860FC">
            <w:pPr>
              <w:pStyle w:val="Body"/>
              <w:jc w:val="right"/>
              <w:rPr>
                <w:highlight w:val="cyan"/>
              </w:rPr>
            </w:pPr>
            <w:r w:rsidRPr="00E235CE">
              <w:t>115,000</w:t>
            </w:r>
          </w:p>
        </w:tc>
        <w:tc>
          <w:tcPr>
            <w:tcW w:w="1140" w:type="dxa"/>
            <w:noWrap/>
            <w:hideMark/>
          </w:tcPr>
          <w:p w14:paraId="17C4D8BA" w14:textId="5C06EB8F" w:rsidR="007860FC" w:rsidRPr="008244FA" w:rsidRDefault="007860FC" w:rsidP="007860FC">
            <w:pPr>
              <w:pStyle w:val="Body"/>
              <w:jc w:val="right"/>
              <w:rPr>
                <w:highlight w:val="cyan"/>
              </w:rPr>
            </w:pPr>
            <w:r w:rsidRPr="00E235CE">
              <w:t>115,000</w:t>
            </w:r>
          </w:p>
        </w:tc>
        <w:tc>
          <w:tcPr>
            <w:tcW w:w="1100" w:type="dxa"/>
            <w:noWrap/>
            <w:hideMark/>
          </w:tcPr>
          <w:p w14:paraId="75BB1DC6" w14:textId="3EFF6617" w:rsidR="007860FC" w:rsidRPr="008244FA" w:rsidRDefault="007860FC" w:rsidP="007860FC">
            <w:pPr>
              <w:pStyle w:val="Body"/>
              <w:jc w:val="right"/>
              <w:rPr>
                <w:highlight w:val="cyan"/>
              </w:rPr>
            </w:pPr>
            <w:r w:rsidRPr="00E235CE">
              <w:t>115,000</w:t>
            </w:r>
          </w:p>
        </w:tc>
        <w:tc>
          <w:tcPr>
            <w:tcW w:w="1080" w:type="dxa"/>
            <w:noWrap/>
            <w:hideMark/>
          </w:tcPr>
          <w:p w14:paraId="26723CB4" w14:textId="793CCBEC" w:rsidR="007860FC" w:rsidRPr="008244FA" w:rsidRDefault="007860FC" w:rsidP="007860FC">
            <w:pPr>
              <w:pStyle w:val="Body"/>
              <w:jc w:val="right"/>
              <w:rPr>
                <w:highlight w:val="cyan"/>
              </w:rPr>
            </w:pPr>
            <w:r w:rsidRPr="00E235CE">
              <w:t>115,000</w:t>
            </w:r>
          </w:p>
        </w:tc>
        <w:tc>
          <w:tcPr>
            <w:tcW w:w="1080" w:type="dxa"/>
            <w:noWrap/>
            <w:hideMark/>
          </w:tcPr>
          <w:p w14:paraId="078F7DF7" w14:textId="2D879ED6" w:rsidR="007860FC" w:rsidRPr="008244FA" w:rsidRDefault="007860FC" w:rsidP="007860FC">
            <w:pPr>
              <w:pStyle w:val="Body"/>
              <w:jc w:val="right"/>
              <w:rPr>
                <w:highlight w:val="cyan"/>
              </w:rPr>
            </w:pPr>
            <w:r w:rsidRPr="00E235CE">
              <w:t>115,000</w:t>
            </w:r>
          </w:p>
        </w:tc>
        <w:tc>
          <w:tcPr>
            <w:tcW w:w="1120" w:type="dxa"/>
            <w:noWrap/>
            <w:hideMark/>
          </w:tcPr>
          <w:p w14:paraId="26E02587" w14:textId="08879E66" w:rsidR="007860FC" w:rsidRPr="008244FA" w:rsidRDefault="007860FC" w:rsidP="007860FC">
            <w:pPr>
              <w:pStyle w:val="Body"/>
              <w:jc w:val="right"/>
              <w:rPr>
                <w:highlight w:val="cyan"/>
              </w:rPr>
            </w:pPr>
            <w:r w:rsidRPr="002D1B98">
              <w:t>575,000</w:t>
            </w:r>
          </w:p>
        </w:tc>
      </w:tr>
      <w:tr w:rsidR="007860FC" w:rsidRPr="006076A1" w14:paraId="6C6B673B" w14:textId="77777777" w:rsidTr="006076A1">
        <w:trPr>
          <w:trHeight w:val="315"/>
        </w:trPr>
        <w:tc>
          <w:tcPr>
            <w:tcW w:w="3760" w:type="dxa"/>
            <w:noWrap/>
            <w:hideMark/>
          </w:tcPr>
          <w:p w14:paraId="79A755B9" w14:textId="77777777" w:rsidR="007860FC" w:rsidRPr="008244FA" w:rsidRDefault="007860FC" w:rsidP="007860FC">
            <w:pPr>
              <w:pStyle w:val="Body"/>
              <w:rPr>
                <w:highlight w:val="cyan"/>
              </w:rPr>
            </w:pPr>
            <w:r w:rsidRPr="008244FA">
              <w:rPr>
                <w:highlight w:val="cyan"/>
              </w:rPr>
              <w:t> </w:t>
            </w:r>
            <w:proofErr w:type="spellStart"/>
            <w:r w:rsidRPr="008244FA">
              <w:rPr>
                <w:highlight w:val="cyan"/>
              </w:rPr>
              <w:t>Communic</w:t>
            </w:r>
            <w:proofErr w:type="spellEnd"/>
            <w:r w:rsidRPr="008244FA">
              <w:rPr>
                <w:highlight w:val="cyan"/>
              </w:rPr>
              <w:t xml:space="preserve"> &amp; Audio-Visual Equipment</w:t>
            </w:r>
          </w:p>
        </w:tc>
        <w:tc>
          <w:tcPr>
            <w:tcW w:w="1140" w:type="dxa"/>
            <w:noWrap/>
            <w:hideMark/>
          </w:tcPr>
          <w:p w14:paraId="23908309" w14:textId="77777777" w:rsidR="007860FC" w:rsidRPr="008244FA" w:rsidRDefault="007860FC" w:rsidP="007860FC">
            <w:pPr>
              <w:pStyle w:val="Body"/>
              <w:rPr>
                <w:highlight w:val="cyan"/>
              </w:rPr>
            </w:pPr>
            <w:r w:rsidRPr="008244FA">
              <w:rPr>
                <w:highlight w:val="cyan"/>
              </w:rPr>
              <w:t>72400</w:t>
            </w:r>
          </w:p>
        </w:tc>
        <w:tc>
          <w:tcPr>
            <w:tcW w:w="1120" w:type="dxa"/>
            <w:noWrap/>
            <w:hideMark/>
          </w:tcPr>
          <w:p w14:paraId="79FFB5E0" w14:textId="6652347B" w:rsidR="007860FC" w:rsidRPr="008244FA" w:rsidRDefault="007860FC" w:rsidP="007860FC">
            <w:pPr>
              <w:pStyle w:val="Body"/>
              <w:jc w:val="right"/>
              <w:rPr>
                <w:highlight w:val="cyan"/>
              </w:rPr>
            </w:pPr>
            <w:r w:rsidRPr="00E235CE">
              <w:t>20,500</w:t>
            </w:r>
          </w:p>
        </w:tc>
        <w:tc>
          <w:tcPr>
            <w:tcW w:w="1140" w:type="dxa"/>
            <w:noWrap/>
            <w:hideMark/>
          </w:tcPr>
          <w:p w14:paraId="61F148C3" w14:textId="6F5328DF" w:rsidR="007860FC" w:rsidRPr="008244FA" w:rsidRDefault="007860FC" w:rsidP="007860FC">
            <w:pPr>
              <w:pStyle w:val="Body"/>
              <w:jc w:val="right"/>
              <w:rPr>
                <w:highlight w:val="cyan"/>
              </w:rPr>
            </w:pPr>
            <w:r w:rsidRPr="00E235CE">
              <w:t>17,000</w:t>
            </w:r>
          </w:p>
        </w:tc>
        <w:tc>
          <w:tcPr>
            <w:tcW w:w="1100" w:type="dxa"/>
            <w:noWrap/>
            <w:hideMark/>
          </w:tcPr>
          <w:p w14:paraId="00813A62" w14:textId="02A9621D" w:rsidR="007860FC" w:rsidRPr="008244FA" w:rsidRDefault="007860FC" w:rsidP="007860FC">
            <w:pPr>
              <w:pStyle w:val="Body"/>
              <w:jc w:val="right"/>
              <w:rPr>
                <w:highlight w:val="cyan"/>
              </w:rPr>
            </w:pPr>
            <w:r w:rsidRPr="00E235CE">
              <w:t>17,000</w:t>
            </w:r>
          </w:p>
        </w:tc>
        <w:tc>
          <w:tcPr>
            <w:tcW w:w="1080" w:type="dxa"/>
            <w:noWrap/>
            <w:hideMark/>
          </w:tcPr>
          <w:p w14:paraId="78A97766" w14:textId="3833CBBA" w:rsidR="007860FC" w:rsidRPr="008244FA" w:rsidRDefault="007860FC" w:rsidP="007860FC">
            <w:pPr>
              <w:pStyle w:val="Body"/>
              <w:jc w:val="right"/>
              <w:rPr>
                <w:highlight w:val="cyan"/>
              </w:rPr>
            </w:pPr>
            <w:r w:rsidRPr="00E235CE">
              <w:t>17,000</w:t>
            </w:r>
          </w:p>
        </w:tc>
        <w:tc>
          <w:tcPr>
            <w:tcW w:w="1080" w:type="dxa"/>
            <w:noWrap/>
            <w:hideMark/>
          </w:tcPr>
          <w:p w14:paraId="18566DEF" w14:textId="52FED2D2" w:rsidR="007860FC" w:rsidRPr="008244FA" w:rsidRDefault="007860FC" w:rsidP="007860FC">
            <w:pPr>
              <w:pStyle w:val="Body"/>
              <w:jc w:val="right"/>
              <w:rPr>
                <w:highlight w:val="cyan"/>
              </w:rPr>
            </w:pPr>
            <w:r w:rsidRPr="00E235CE">
              <w:t>16,334</w:t>
            </w:r>
          </w:p>
        </w:tc>
        <w:tc>
          <w:tcPr>
            <w:tcW w:w="1120" w:type="dxa"/>
            <w:noWrap/>
            <w:hideMark/>
          </w:tcPr>
          <w:p w14:paraId="46C41BCD" w14:textId="4F4233AC" w:rsidR="007860FC" w:rsidRPr="008244FA" w:rsidRDefault="007860FC" w:rsidP="007860FC">
            <w:pPr>
              <w:pStyle w:val="Body"/>
              <w:jc w:val="right"/>
              <w:rPr>
                <w:highlight w:val="cyan"/>
              </w:rPr>
            </w:pPr>
            <w:r w:rsidRPr="002D1B98">
              <w:t>87,834</w:t>
            </w:r>
          </w:p>
        </w:tc>
      </w:tr>
      <w:tr w:rsidR="007860FC" w:rsidRPr="006076A1" w14:paraId="7A232247" w14:textId="77777777" w:rsidTr="006076A1">
        <w:trPr>
          <w:trHeight w:val="315"/>
        </w:trPr>
        <w:tc>
          <w:tcPr>
            <w:tcW w:w="3760" w:type="dxa"/>
            <w:noWrap/>
            <w:hideMark/>
          </w:tcPr>
          <w:p w14:paraId="6F642184" w14:textId="77777777" w:rsidR="007860FC" w:rsidRPr="008244FA" w:rsidRDefault="007860FC" w:rsidP="007860FC">
            <w:pPr>
              <w:pStyle w:val="Body"/>
              <w:rPr>
                <w:highlight w:val="cyan"/>
              </w:rPr>
            </w:pPr>
            <w:r w:rsidRPr="008244FA">
              <w:rPr>
                <w:highlight w:val="cyan"/>
              </w:rPr>
              <w:t> Information Technology Equipment</w:t>
            </w:r>
          </w:p>
        </w:tc>
        <w:tc>
          <w:tcPr>
            <w:tcW w:w="1140" w:type="dxa"/>
            <w:noWrap/>
            <w:hideMark/>
          </w:tcPr>
          <w:p w14:paraId="6F66B21F" w14:textId="77777777" w:rsidR="007860FC" w:rsidRPr="008244FA" w:rsidRDefault="007860FC" w:rsidP="007860FC">
            <w:pPr>
              <w:pStyle w:val="Body"/>
              <w:rPr>
                <w:highlight w:val="cyan"/>
              </w:rPr>
            </w:pPr>
            <w:r w:rsidRPr="008244FA">
              <w:rPr>
                <w:highlight w:val="cyan"/>
              </w:rPr>
              <w:t>72800</w:t>
            </w:r>
          </w:p>
        </w:tc>
        <w:tc>
          <w:tcPr>
            <w:tcW w:w="1120" w:type="dxa"/>
            <w:noWrap/>
            <w:hideMark/>
          </w:tcPr>
          <w:p w14:paraId="51CC4220" w14:textId="09969718" w:rsidR="007860FC" w:rsidRPr="008244FA" w:rsidRDefault="007860FC" w:rsidP="007860FC">
            <w:pPr>
              <w:pStyle w:val="Body"/>
              <w:jc w:val="right"/>
              <w:rPr>
                <w:highlight w:val="cyan"/>
              </w:rPr>
            </w:pPr>
            <w:r w:rsidRPr="00E235CE">
              <w:t>29,000</w:t>
            </w:r>
          </w:p>
        </w:tc>
        <w:tc>
          <w:tcPr>
            <w:tcW w:w="1140" w:type="dxa"/>
            <w:noWrap/>
            <w:hideMark/>
          </w:tcPr>
          <w:p w14:paraId="2411B100" w14:textId="369296C5" w:rsidR="007860FC" w:rsidRPr="008244FA" w:rsidRDefault="007860FC" w:rsidP="007860FC">
            <w:pPr>
              <w:pStyle w:val="Body"/>
              <w:jc w:val="right"/>
              <w:rPr>
                <w:highlight w:val="cyan"/>
              </w:rPr>
            </w:pPr>
            <w:r w:rsidRPr="00E235CE">
              <w:t>18,000</w:t>
            </w:r>
          </w:p>
        </w:tc>
        <w:tc>
          <w:tcPr>
            <w:tcW w:w="1100" w:type="dxa"/>
            <w:noWrap/>
            <w:hideMark/>
          </w:tcPr>
          <w:p w14:paraId="55C00BA4" w14:textId="40902385" w:rsidR="007860FC" w:rsidRPr="008244FA" w:rsidRDefault="007860FC" w:rsidP="007860FC">
            <w:pPr>
              <w:pStyle w:val="Body"/>
              <w:jc w:val="right"/>
              <w:rPr>
                <w:highlight w:val="cyan"/>
              </w:rPr>
            </w:pPr>
            <w:r w:rsidRPr="00E235CE">
              <w:t>17,000</w:t>
            </w:r>
          </w:p>
        </w:tc>
        <w:tc>
          <w:tcPr>
            <w:tcW w:w="1080" w:type="dxa"/>
            <w:noWrap/>
            <w:hideMark/>
          </w:tcPr>
          <w:p w14:paraId="438B66B9" w14:textId="0D1822E9" w:rsidR="007860FC" w:rsidRPr="008244FA" w:rsidRDefault="007860FC" w:rsidP="007860FC">
            <w:pPr>
              <w:pStyle w:val="Body"/>
              <w:jc w:val="right"/>
              <w:rPr>
                <w:highlight w:val="cyan"/>
              </w:rPr>
            </w:pPr>
            <w:r w:rsidRPr="00E235CE">
              <w:t>13,000</w:t>
            </w:r>
          </w:p>
        </w:tc>
        <w:tc>
          <w:tcPr>
            <w:tcW w:w="1080" w:type="dxa"/>
            <w:noWrap/>
            <w:hideMark/>
          </w:tcPr>
          <w:p w14:paraId="55F0A05F" w14:textId="067970EF" w:rsidR="007860FC" w:rsidRPr="008244FA" w:rsidRDefault="007860FC" w:rsidP="007860FC">
            <w:pPr>
              <w:pStyle w:val="Body"/>
              <w:jc w:val="right"/>
              <w:rPr>
                <w:highlight w:val="cyan"/>
              </w:rPr>
            </w:pPr>
            <w:r w:rsidRPr="00E235CE">
              <w:t>13,000</w:t>
            </w:r>
          </w:p>
        </w:tc>
        <w:tc>
          <w:tcPr>
            <w:tcW w:w="1120" w:type="dxa"/>
            <w:noWrap/>
            <w:hideMark/>
          </w:tcPr>
          <w:p w14:paraId="0B453C33" w14:textId="5E316DEA" w:rsidR="007860FC" w:rsidRPr="008244FA" w:rsidRDefault="007860FC" w:rsidP="007860FC">
            <w:pPr>
              <w:pStyle w:val="Body"/>
              <w:jc w:val="right"/>
              <w:rPr>
                <w:highlight w:val="cyan"/>
              </w:rPr>
            </w:pPr>
            <w:r w:rsidRPr="002D1B98">
              <w:t>90,000</w:t>
            </w:r>
          </w:p>
        </w:tc>
      </w:tr>
      <w:tr w:rsidR="007860FC" w:rsidRPr="006076A1" w14:paraId="7509390A" w14:textId="77777777" w:rsidTr="006076A1">
        <w:trPr>
          <w:trHeight w:val="315"/>
        </w:trPr>
        <w:tc>
          <w:tcPr>
            <w:tcW w:w="3760" w:type="dxa"/>
            <w:noWrap/>
            <w:hideMark/>
          </w:tcPr>
          <w:p w14:paraId="30E6EF03" w14:textId="77777777" w:rsidR="007860FC" w:rsidRPr="008244FA" w:rsidRDefault="007860FC" w:rsidP="007860FC">
            <w:pPr>
              <w:pStyle w:val="Body"/>
              <w:rPr>
                <w:highlight w:val="cyan"/>
              </w:rPr>
            </w:pPr>
            <w:r w:rsidRPr="008244FA">
              <w:rPr>
                <w:highlight w:val="cyan"/>
              </w:rPr>
              <w:t xml:space="preserve"> Rental and Maintenance - Premises </w:t>
            </w:r>
          </w:p>
        </w:tc>
        <w:tc>
          <w:tcPr>
            <w:tcW w:w="1140" w:type="dxa"/>
            <w:noWrap/>
            <w:hideMark/>
          </w:tcPr>
          <w:p w14:paraId="266C0B40" w14:textId="77777777" w:rsidR="007860FC" w:rsidRPr="008244FA" w:rsidRDefault="007860FC" w:rsidP="007860FC">
            <w:pPr>
              <w:pStyle w:val="Body"/>
              <w:rPr>
                <w:highlight w:val="cyan"/>
              </w:rPr>
            </w:pPr>
            <w:r w:rsidRPr="008244FA">
              <w:rPr>
                <w:highlight w:val="cyan"/>
              </w:rPr>
              <w:t>73100</w:t>
            </w:r>
          </w:p>
        </w:tc>
        <w:tc>
          <w:tcPr>
            <w:tcW w:w="1120" w:type="dxa"/>
            <w:noWrap/>
            <w:hideMark/>
          </w:tcPr>
          <w:p w14:paraId="19F862D4" w14:textId="7CC0BAFC" w:rsidR="007860FC" w:rsidRPr="008244FA" w:rsidRDefault="007860FC" w:rsidP="007860FC">
            <w:pPr>
              <w:pStyle w:val="Body"/>
              <w:jc w:val="right"/>
              <w:rPr>
                <w:highlight w:val="cyan"/>
              </w:rPr>
            </w:pPr>
            <w:r w:rsidRPr="00E235CE">
              <w:t>37,000</w:t>
            </w:r>
          </w:p>
        </w:tc>
        <w:tc>
          <w:tcPr>
            <w:tcW w:w="1140" w:type="dxa"/>
            <w:noWrap/>
            <w:hideMark/>
          </w:tcPr>
          <w:p w14:paraId="68F42AEA" w14:textId="08E87039" w:rsidR="007860FC" w:rsidRPr="008244FA" w:rsidRDefault="007860FC" w:rsidP="007860FC">
            <w:pPr>
              <w:pStyle w:val="Body"/>
              <w:jc w:val="right"/>
              <w:rPr>
                <w:highlight w:val="cyan"/>
              </w:rPr>
            </w:pPr>
            <w:r w:rsidRPr="00E235CE">
              <w:t>37,000</w:t>
            </w:r>
          </w:p>
        </w:tc>
        <w:tc>
          <w:tcPr>
            <w:tcW w:w="1100" w:type="dxa"/>
            <w:noWrap/>
            <w:hideMark/>
          </w:tcPr>
          <w:p w14:paraId="7A1F5348" w14:textId="43E15F38" w:rsidR="007860FC" w:rsidRPr="008244FA" w:rsidRDefault="007860FC" w:rsidP="007860FC">
            <w:pPr>
              <w:pStyle w:val="Body"/>
              <w:jc w:val="right"/>
              <w:rPr>
                <w:highlight w:val="cyan"/>
              </w:rPr>
            </w:pPr>
            <w:r w:rsidRPr="00E235CE">
              <w:t>37,000</w:t>
            </w:r>
          </w:p>
        </w:tc>
        <w:tc>
          <w:tcPr>
            <w:tcW w:w="1080" w:type="dxa"/>
            <w:noWrap/>
            <w:hideMark/>
          </w:tcPr>
          <w:p w14:paraId="1ECAF029" w14:textId="27BFE923" w:rsidR="007860FC" w:rsidRPr="008244FA" w:rsidRDefault="007860FC" w:rsidP="007860FC">
            <w:pPr>
              <w:pStyle w:val="Body"/>
              <w:jc w:val="right"/>
              <w:rPr>
                <w:highlight w:val="cyan"/>
              </w:rPr>
            </w:pPr>
            <w:r w:rsidRPr="00E235CE">
              <w:t>37,000</w:t>
            </w:r>
          </w:p>
        </w:tc>
        <w:tc>
          <w:tcPr>
            <w:tcW w:w="1080" w:type="dxa"/>
            <w:noWrap/>
            <w:hideMark/>
          </w:tcPr>
          <w:p w14:paraId="6A6C2A3C" w14:textId="5AA77163" w:rsidR="007860FC" w:rsidRPr="008244FA" w:rsidRDefault="007860FC" w:rsidP="007860FC">
            <w:pPr>
              <w:pStyle w:val="Body"/>
              <w:jc w:val="right"/>
              <w:rPr>
                <w:highlight w:val="cyan"/>
              </w:rPr>
            </w:pPr>
            <w:r w:rsidRPr="00E235CE">
              <w:t>37,000</w:t>
            </w:r>
          </w:p>
        </w:tc>
        <w:tc>
          <w:tcPr>
            <w:tcW w:w="1120" w:type="dxa"/>
            <w:noWrap/>
            <w:hideMark/>
          </w:tcPr>
          <w:p w14:paraId="529D3BBA" w14:textId="5F67B8AE" w:rsidR="007860FC" w:rsidRPr="008244FA" w:rsidRDefault="007860FC" w:rsidP="007860FC">
            <w:pPr>
              <w:pStyle w:val="Body"/>
              <w:jc w:val="right"/>
              <w:rPr>
                <w:highlight w:val="cyan"/>
              </w:rPr>
            </w:pPr>
            <w:r w:rsidRPr="002D1B98">
              <w:t>185,000</w:t>
            </w:r>
          </w:p>
        </w:tc>
      </w:tr>
      <w:tr w:rsidR="007860FC" w:rsidRPr="006076A1" w14:paraId="438B5996" w14:textId="77777777" w:rsidTr="006076A1">
        <w:trPr>
          <w:trHeight w:val="315"/>
        </w:trPr>
        <w:tc>
          <w:tcPr>
            <w:tcW w:w="3760" w:type="dxa"/>
            <w:noWrap/>
            <w:hideMark/>
          </w:tcPr>
          <w:p w14:paraId="7DDE391A" w14:textId="77777777" w:rsidR="007860FC" w:rsidRPr="008244FA" w:rsidRDefault="007860FC" w:rsidP="007860FC">
            <w:pPr>
              <w:pStyle w:val="Body"/>
              <w:rPr>
                <w:highlight w:val="cyan"/>
              </w:rPr>
            </w:pPr>
            <w:r w:rsidRPr="008244FA">
              <w:rPr>
                <w:highlight w:val="cyan"/>
              </w:rPr>
              <w:t xml:space="preserve"> Rental and Maintenance – other </w:t>
            </w:r>
            <w:proofErr w:type="spellStart"/>
            <w:r w:rsidRPr="008244FA">
              <w:rPr>
                <w:highlight w:val="cyan"/>
              </w:rPr>
              <w:t>equiment</w:t>
            </w:r>
            <w:proofErr w:type="spellEnd"/>
            <w:r w:rsidRPr="008244FA">
              <w:rPr>
                <w:highlight w:val="cyan"/>
              </w:rPr>
              <w:t xml:space="preserve"> </w:t>
            </w:r>
          </w:p>
        </w:tc>
        <w:tc>
          <w:tcPr>
            <w:tcW w:w="1140" w:type="dxa"/>
            <w:noWrap/>
            <w:hideMark/>
          </w:tcPr>
          <w:p w14:paraId="5141A00B" w14:textId="77777777" w:rsidR="007860FC" w:rsidRPr="008244FA" w:rsidRDefault="007860FC" w:rsidP="007860FC">
            <w:pPr>
              <w:pStyle w:val="Body"/>
              <w:rPr>
                <w:highlight w:val="cyan"/>
              </w:rPr>
            </w:pPr>
            <w:r w:rsidRPr="008244FA">
              <w:rPr>
                <w:highlight w:val="cyan"/>
              </w:rPr>
              <w:t>73400</w:t>
            </w:r>
          </w:p>
        </w:tc>
        <w:tc>
          <w:tcPr>
            <w:tcW w:w="1120" w:type="dxa"/>
            <w:noWrap/>
            <w:hideMark/>
          </w:tcPr>
          <w:p w14:paraId="5DA59ABD" w14:textId="2E4C37A7" w:rsidR="007860FC" w:rsidRPr="008244FA" w:rsidRDefault="007860FC" w:rsidP="007860FC">
            <w:pPr>
              <w:pStyle w:val="Body"/>
              <w:jc w:val="right"/>
              <w:rPr>
                <w:highlight w:val="cyan"/>
              </w:rPr>
            </w:pPr>
            <w:r w:rsidRPr="00E235CE">
              <w:t>27,500</w:t>
            </w:r>
          </w:p>
        </w:tc>
        <w:tc>
          <w:tcPr>
            <w:tcW w:w="1140" w:type="dxa"/>
            <w:noWrap/>
            <w:hideMark/>
          </w:tcPr>
          <w:p w14:paraId="352E2F36" w14:textId="3AFA256A" w:rsidR="007860FC" w:rsidRPr="008244FA" w:rsidRDefault="007860FC" w:rsidP="007860FC">
            <w:pPr>
              <w:pStyle w:val="Body"/>
              <w:jc w:val="right"/>
              <w:rPr>
                <w:highlight w:val="cyan"/>
              </w:rPr>
            </w:pPr>
            <w:r w:rsidRPr="00E235CE">
              <w:t>27,500</w:t>
            </w:r>
          </w:p>
        </w:tc>
        <w:tc>
          <w:tcPr>
            <w:tcW w:w="1100" w:type="dxa"/>
            <w:noWrap/>
            <w:hideMark/>
          </w:tcPr>
          <w:p w14:paraId="47D5E955" w14:textId="4C1F840D" w:rsidR="007860FC" w:rsidRPr="008244FA" w:rsidRDefault="007860FC" w:rsidP="007860FC">
            <w:pPr>
              <w:pStyle w:val="Body"/>
              <w:jc w:val="right"/>
              <w:rPr>
                <w:highlight w:val="cyan"/>
              </w:rPr>
            </w:pPr>
            <w:r w:rsidRPr="00E235CE">
              <w:t>27,500</w:t>
            </w:r>
          </w:p>
        </w:tc>
        <w:tc>
          <w:tcPr>
            <w:tcW w:w="1080" w:type="dxa"/>
            <w:noWrap/>
            <w:hideMark/>
          </w:tcPr>
          <w:p w14:paraId="74653CFD" w14:textId="278FBF64" w:rsidR="007860FC" w:rsidRPr="008244FA" w:rsidRDefault="007860FC" w:rsidP="007860FC">
            <w:pPr>
              <w:pStyle w:val="Body"/>
              <w:jc w:val="right"/>
              <w:rPr>
                <w:highlight w:val="cyan"/>
              </w:rPr>
            </w:pPr>
            <w:r w:rsidRPr="00E235CE">
              <w:t>27,500</w:t>
            </w:r>
          </w:p>
        </w:tc>
        <w:tc>
          <w:tcPr>
            <w:tcW w:w="1080" w:type="dxa"/>
            <w:noWrap/>
            <w:hideMark/>
          </w:tcPr>
          <w:p w14:paraId="6AE1B151" w14:textId="440558A0" w:rsidR="007860FC" w:rsidRPr="008244FA" w:rsidRDefault="007860FC" w:rsidP="007860FC">
            <w:pPr>
              <w:pStyle w:val="Body"/>
              <w:jc w:val="right"/>
              <w:rPr>
                <w:highlight w:val="cyan"/>
              </w:rPr>
            </w:pPr>
            <w:r w:rsidRPr="00E235CE">
              <w:t>27,500</w:t>
            </w:r>
          </w:p>
        </w:tc>
        <w:tc>
          <w:tcPr>
            <w:tcW w:w="1120" w:type="dxa"/>
            <w:noWrap/>
            <w:hideMark/>
          </w:tcPr>
          <w:p w14:paraId="6F5C508E" w14:textId="06A4C77D" w:rsidR="007860FC" w:rsidRPr="008244FA" w:rsidRDefault="007860FC" w:rsidP="007860FC">
            <w:pPr>
              <w:pStyle w:val="Body"/>
              <w:jc w:val="right"/>
              <w:rPr>
                <w:highlight w:val="cyan"/>
              </w:rPr>
            </w:pPr>
            <w:r w:rsidRPr="002D1B98">
              <w:t>137,500</w:t>
            </w:r>
          </w:p>
        </w:tc>
      </w:tr>
      <w:tr w:rsidR="007860FC" w:rsidRPr="006076A1" w14:paraId="4DFB074C" w14:textId="77777777" w:rsidTr="006076A1">
        <w:trPr>
          <w:trHeight w:val="315"/>
        </w:trPr>
        <w:tc>
          <w:tcPr>
            <w:tcW w:w="3760" w:type="dxa"/>
            <w:noWrap/>
            <w:hideMark/>
          </w:tcPr>
          <w:p w14:paraId="53F8AF06" w14:textId="77777777" w:rsidR="007860FC" w:rsidRPr="008244FA" w:rsidRDefault="007860FC" w:rsidP="007860FC">
            <w:pPr>
              <w:pStyle w:val="Body"/>
              <w:rPr>
                <w:highlight w:val="cyan"/>
              </w:rPr>
            </w:pPr>
            <w:r w:rsidRPr="008244FA">
              <w:rPr>
                <w:highlight w:val="cyan"/>
              </w:rPr>
              <w:t xml:space="preserve"> Audio </w:t>
            </w:r>
            <w:proofErr w:type="spellStart"/>
            <w:r w:rsidRPr="008244FA">
              <w:rPr>
                <w:highlight w:val="cyan"/>
              </w:rPr>
              <w:t>Visual&amp;Print</w:t>
            </w:r>
            <w:proofErr w:type="spellEnd"/>
            <w:r w:rsidRPr="008244FA">
              <w:rPr>
                <w:highlight w:val="cyan"/>
              </w:rPr>
              <w:t xml:space="preserve"> Prod Costs </w:t>
            </w:r>
          </w:p>
        </w:tc>
        <w:tc>
          <w:tcPr>
            <w:tcW w:w="1140" w:type="dxa"/>
            <w:noWrap/>
            <w:hideMark/>
          </w:tcPr>
          <w:p w14:paraId="065F69BA" w14:textId="77777777" w:rsidR="007860FC" w:rsidRPr="008244FA" w:rsidRDefault="007860FC" w:rsidP="007860FC">
            <w:pPr>
              <w:pStyle w:val="Body"/>
              <w:rPr>
                <w:highlight w:val="cyan"/>
              </w:rPr>
            </w:pPr>
            <w:r w:rsidRPr="008244FA">
              <w:rPr>
                <w:highlight w:val="cyan"/>
              </w:rPr>
              <w:t>74200</w:t>
            </w:r>
          </w:p>
        </w:tc>
        <w:tc>
          <w:tcPr>
            <w:tcW w:w="1120" w:type="dxa"/>
            <w:noWrap/>
            <w:hideMark/>
          </w:tcPr>
          <w:p w14:paraId="1567B14E" w14:textId="70289EBF" w:rsidR="007860FC" w:rsidRPr="008244FA" w:rsidRDefault="007860FC" w:rsidP="007860FC">
            <w:pPr>
              <w:pStyle w:val="Body"/>
              <w:jc w:val="right"/>
              <w:rPr>
                <w:highlight w:val="cyan"/>
              </w:rPr>
            </w:pPr>
            <w:r w:rsidRPr="00E235CE">
              <w:t>10,000</w:t>
            </w:r>
          </w:p>
        </w:tc>
        <w:tc>
          <w:tcPr>
            <w:tcW w:w="1140" w:type="dxa"/>
            <w:noWrap/>
            <w:hideMark/>
          </w:tcPr>
          <w:p w14:paraId="4609C1AC" w14:textId="12FF1F48" w:rsidR="007860FC" w:rsidRPr="008244FA" w:rsidRDefault="007860FC" w:rsidP="007860FC">
            <w:pPr>
              <w:pStyle w:val="Body"/>
              <w:jc w:val="right"/>
              <w:rPr>
                <w:highlight w:val="cyan"/>
              </w:rPr>
            </w:pPr>
            <w:r w:rsidRPr="00E235CE">
              <w:t>9,000</w:t>
            </w:r>
          </w:p>
        </w:tc>
        <w:tc>
          <w:tcPr>
            <w:tcW w:w="1100" w:type="dxa"/>
            <w:noWrap/>
            <w:hideMark/>
          </w:tcPr>
          <w:p w14:paraId="7F57B022" w14:textId="5556AE0C" w:rsidR="007860FC" w:rsidRPr="008244FA" w:rsidRDefault="007860FC" w:rsidP="007860FC">
            <w:pPr>
              <w:pStyle w:val="Body"/>
              <w:jc w:val="right"/>
              <w:rPr>
                <w:highlight w:val="cyan"/>
              </w:rPr>
            </w:pPr>
            <w:r w:rsidRPr="00E235CE">
              <w:t>16,000</w:t>
            </w:r>
          </w:p>
        </w:tc>
        <w:tc>
          <w:tcPr>
            <w:tcW w:w="1080" w:type="dxa"/>
            <w:noWrap/>
            <w:hideMark/>
          </w:tcPr>
          <w:p w14:paraId="620D0195" w14:textId="6F35EF30" w:rsidR="007860FC" w:rsidRPr="008244FA" w:rsidRDefault="007860FC" w:rsidP="007860FC">
            <w:pPr>
              <w:pStyle w:val="Body"/>
              <w:jc w:val="right"/>
              <w:rPr>
                <w:highlight w:val="cyan"/>
              </w:rPr>
            </w:pPr>
            <w:r w:rsidRPr="00E235CE">
              <w:t>13,000</w:t>
            </w:r>
          </w:p>
        </w:tc>
        <w:tc>
          <w:tcPr>
            <w:tcW w:w="1080" w:type="dxa"/>
            <w:noWrap/>
            <w:hideMark/>
          </w:tcPr>
          <w:p w14:paraId="2802AD70" w14:textId="5FF24E59" w:rsidR="007860FC" w:rsidRPr="008244FA" w:rsidRDefault="007860FC" w:rsidP="007860FC">
            <w:pPr>
              <w:pStyle w:val="Body"/>
              <w:jc w:val="right"/>
              <w:rPr>
                <w:highlight w:val="cyan"/>
              </w:rPr>
            </w:pPr>
            <w:r w:rsidRPr="00E235CE">
              <w:t>16,000</w:t>
            </w:r>
          </w:p>
        </w:tc>
        <w:tc>
          <w:tcPr>
            <w:tcW w:w="1120" w:type="dxa"/>
            <w:noWrap/>
            <w:hideMark/>
          </w:tcPr>
          <w:p w14:paraId="09C46248" w14:textId="766174D5" w:rsidR="007860FC" w:rsidRPr="008244FA" w:rsidRDefault="007860FC" w:rsidP="007860FC">
            <w:pPr>
              <w:pStyle w:val="Body"/>
              <w:jc w:val="right"/>
              <w:rPr>
                <w:highlight w:val="cyan"/>
              </w:rPr>
            </w:pPr>
            <w:r w:rsidRPr="002D1B98">
              <w:t>64,000</w:t>
            </w:r>
          </w:p>
        </w:tc>
      </w:tr>
      <w:tr w:rsidR="007860FC" w:rsidRPr="006076A1" w14:paraId="0C515908" w14:textId="77777777" w:rsidTr="006076A1">
        <w:trPr>
          <w:trHeight w:val="315"/>
        </w:trPr>
        <w:tc>
          <w:tcPr>
            <w:tcW w:w="3760" w:type="dxa"/>
            <w:noWrap/>
            <w:hideMark/>
          </w:tcPr>
          <w:p w14:paraId="3253CFB8" w14:textId="77777777" w:rsidR="007860FC" w:rsidRPr="008244FA" w:rsidRDefault="007860FC" w:rsidP="007860FC">
            <w:pPr>
              <w:pStyle w:val="Body"/>
              <w:rPr>
                <w:highlight w:val="cyan"/>
              </w:rPr>
            </w:pPr>
            <w:r w:rsidRPr="008244FA">
              <w:rPr>
                <w:highlight w:val="cyan"/>
              </w:rPr>
              <w:t xml:space="preserve"> Miscellaneous Expenses </w:t>
            </w:r>
          </w:p>
        </w:tc>
        <w:tc>
          <w:tcPr>
            <w:tcW w:w="1140" w:type="dxa"/>
            <w:noWrap/>
            <w:hideMark/>
          </w:tcPr>
          <w:p w14:paraId="545488E7" w14:textId="77777777" w:rsidR="007860FC" w:rsidRPr="008244FA" w:rsidRDefault="007860FC" w:rsidP="007860FC">
            <w:pPr>
              <w:pStyle w:val="Body"/>
              <w:rPr>
                <w:highlight w:val="cyan"/>
              </w:rPr>
            </w:pPr>
            <w:r w:rsidRPr="008244FA">
              <w:rPr>
                <w:highlight w:val="cyan"/>
              </w:rPr>
              <w:t>74500</w:t>
            </w:r>
          </w:p>
        </w:tc>
        <w:tc>
          <w:tcPr>
            <w:tcW w:w="1120" w:type="dxa"/>
            <w:noWrap/>
            <w:hideMark/>
          </w:tcPr>
          <w:p w14:paraId="4A14F590" w14:textId="42C58090" w:rsidR="007860FC" w:rsidRPr="008244FA" w:rsidRDefault="007860FC" w:rsidP="007860FC">
            <w:pPr>
              <w:pStyle w:val="Body"/>
              <w:jc w:val="right"/>
              <w:rPr>
                <w:highlight w:val="cyan"/>
              </w:rPr>
            </w:pPr>
            <w:r w:rsidRPr="00E235CE">
              <w:t>8,000</w:t>
            </w:r>
          </w:p>
        </w:tc>
        <w:tc>
          <w:tcPr>
            <w:tcW w:w="1140" w:type="dxa"/>
            <w:noWrap/>
            <w:hideMark/>
          </w:tcPr>
          <w:p w14:paraId="211D6184" w14:textId="4FBF1CBC" w:rsidR="007860FC" w:rsidRPr="008244FA" w:rsidRDefault="007860FC" w:rsidP="007860FC">
            <w:pPr>
              <w:pStyle w:val="Body"/>
              <w:jc w:val="right"/>
              <w:rPr>
                <w:highlight w:val="cyan"/>
              </w:rPr>
            </w:pPr>
            <w:r w:rsidRPr="00E235CE">
              <w:t>8,067</w:t>
            </w:r>
          </w:p>
        </w:tc>
        <w:tc>
          <w:tcPr>
            <w:tcW w:w="1100" w:type="dxa"/>
            <w:noWrap/>
            <w:hideMark/>
          </w:tcPr>
          <w:p w14:paraId="7F32D460" w14:textId="2AF1DF3B" w:rsidR="007860FC" w:rsidRPr="008244FA" w:rsidRDefault="007860FC" w:rsidP="007860FC">
            <w:pPr>
              <w:pStyle w:val="Body"/>
              <w:jc w:val="right"/>
              <w:rPr>
                <w:highlight w:val="cyan"/>
              </w:rPr>
            </w:pPr>
            <w:r w:rsidRPr="00E235CE">
              <w:t>8,000</w:t>
            </w:r>
          </w:p>
        </w:tc>
        <w:tc>
          <w:tcPr>
            <w:tcW w:w="1080" w:type="dxa"/>
            <w:noWrap/>
            <w:hideMark/>
          </w:tcPr>
          <w:p w14:paraId="5C0A5565" w14:textId="518258DD" w:rsidR="007860FC" w:rsidRPr="008244FA" w:rsidRDefault="007860FC" w:rsidP="007860FC">
            <w:pPr>
              <w:pStyle w:val="Body"/>
              <w:jc w:val="right"/>
              <w:rPr>
                <w:highlight w:val="cyan"/>
              </w:rPr>
            </w:pPr>
            <w:r w:rsidRPr="00E235CE">
              <w:t>8,000</w:t>
            </w:r>
          </w:p>
        </w:tc>
        <w:tc>
          <w:tcPr>
            <w:tcW w:w="1080" w:type="dxa"/>
            <w:noWrap/>
            <w:hideMark/>
          </w:tcPr>
          <w:p w14:paraId="137ADA89" w14:textId="31EEF5C3" w:rsidR="007860FC" w:rsidRPr="008244FA" w:rsidRDefault="007860FC" w:rsidP="007860FC">
            <w:pPr>
              <w:pStyle w:val="Body"/>
              <w:jc w:val="right"/>
              <w:rPr>
                <w:highlight w:val="cyan"/>
              </w:rPr>
            </w:pPr>
            <w:r w:rsidRPr="00E235CE">
              <w:t>8,000</w:t>
            </w:r>
          </w:p>
        </w:tc>
        <w:tc>
          <w:tcPr>
            <w:tcW w:w="1120" w:type="dxa"/>
            <w:noWrap/>
            <w:hideMark/>
          </w:tcPr>
          <w:p w14:paraId="6B1E8140" w14:textId="16C395C6" w:rsidR="007860FC" w:rsidRPr="008244FA" w:rsidRDefault="007860FC" w:rsidP="007860FC">
            <w:pPr>
              <w:pStyle w:val="Body"/>
              <w:jc w:val="right"/>
              <w:rPr>
                <w:highlight w:val="cyan"/>
              </w:rPr>
            </w:pPr>
            <w:r w:rsidRPr="002D1B98">
              <w:t>40,067</w:t>
            </w:r>
          </w:p>
        </w:tc>
      </w:tr>
      <w:tr w:rsidR="007860FC" w:rsidRPr="006076A1" w14:paraId="0F23A144" w14:textId="77777777" w:rsidTr="006076A1">
        <w:trPr>
          <w:trHeight w:val="315"/>
        </w:trPr>
        <w:tc>
          <w:tcPr>
            <w:tcW w:w="3760" w:type="dxa"/>
            <w:noWrap/>
            <w:hideMark/>
          </w:tcPr>
          <w:p w14:paraId="27D14739" w14:textId="755D1888" w:rsidR="007860FC" w:rsidRPr="009B7ED8" w:rsidRDefault="007860FC" w:rsidP="007860FC">
            <w:pPr>
              <w:pStyle w:val="Body"/>
              <w:rPr>
                <w:color w:val="000000" w:themeColor="text1"/>
                <w:highlight w:val="magenta"/>
              </w:rPr>
            </w:pPr>
            <w:r w:rsidRPr="009B7ED8">
              <w:rPr>
                <w:color w:val="000000" w:themeColor="text1"/>
                <w:highlight w:val="magenta"/>
              </w:rPr>
              <w:t xml:space="preserve"> Services to projects GOE for CO</w:t>
            </w:r>
          </w:p>
        </w:tc>
        <w:tc>
          <w:tcPr>
            <w:tcW w:w="1140" w:type="dxa"/>
            <w:noWrap/>
            <w:hideMark/>
          </w:tcPr>
          <w:p w14:paraId="22A61BD8" w14:textId="30528BD6" w:rsidR="007860FC" w:rsidRPr="009B7ED8" w:rsidRDefault="007860FC" w:rsidP="007860FC">
            <w:pPr>
              <w:pStyle w:val="Body"/>
              <w:rPr>
                <w:color w:val="000000" w:themeColor="text1"/>
                <w:highlight w:val="magenta"/>
              </w:rPr>
            </w:pPr>
            <w:r w:rsidRPr="009B7ED8">
              <w:rPr>
                <w:color w:val="000000" w:themeColor="text1"/>
                <w:highlight w:val="magenta"/>
              </w:rPr>
              <w:t>74596</w:t>
            </w:r>
          </w:p>
        </w:tc>
        <w:tc>
          <w:tcPr>
            <w:tcW w:w="1120" w:type="dxa"/>
            <w:noWrap/>
            <w:hideMark/>
          </w:tcPr>
          <w:p w14:paraId="5986E18B" w14:textId="1F5EF122" w:rsidR="007860FC" w:rsidRPr="008244FA" w:rsidRDefault="007860FC" w:rsidP="007860FC">
            <w:pPr>
              <w:pStyle w:val="Body"/>
              <w:jc w:val="right"/>
              <w:rPr>
                <w:highlight w:val="cyan"/>
              </w:rPr>
            </w:pPr>
            <w:r w:rsidRPr="00E235CE">
              <w:t>9,910</w:t>
            </w:r>
          </w:p>
        </w:tc>
        <w:tc>
          <w:tcPr>
            <w:tcW w:w="1140" w:type="dxa"/>
            <w:noWrap/>
            <w:hideMark/>
          </w:tcPr>
          <w:p w14:paraId="2687748E" w14:textId="1CD0539B" w:rsidR="007860FC" w:rsidRPr="008244FA" w:rsidRDefault="007860FC" w:rsidP="007860FC">
            <w:pPr>
              <w:pStyle w:val="Body"/>
              <w:jc w:val="right"/>
              <w:rPr>
                <w:highlight w:val="cyan"/>
              </w:rPr>
            </w:pPr>
            <w:r w:rsidRPr="00E235CE">
              <w:t>9,910</w:t>
            </w:r>
          </w:p>
        </w:tc>
        <w:tc>
          <w:tcPr>
            <w:tcW w:w="1100" w:type="dxa"/>
            <w:noWrap/>
            <w:hideMark/>
          </w:tcPr>
          <w:p w14:paraId="358F2402" w14:textId="26A5B00A" w:rsidR="007860FC" w:rsidRPr="008244FA" w:rsidRDefault="007860FC" w:rsidP="007860FC">
            <w:pPr>
              <w:pStyle w:val="Body"/>
              <w:jc w:val="right"/>
              <w:rPr>
                <w:highlight w:val="cyan"/>
              </w:rPr>
            </w:pPr>
            <w:r w:rsidRPr="00E235CE">
              <w:t>9,910</w:t>
            </w:r>
          </w:p>
        </w:tc>
        <w:tc>
          <w:tcPr>
            <w:tcW w:w="1080" w:type="dxa"/>
            <w:noWrap/>
            <w:hideMark/>
          </w:tcPr>
          <w:p w14:paraId="4F6531F3" w14:textId="068AB292" w:rsidR="007860FC" w:rsidRPr="008244FA" w:rsidRDefault="007860FC" w:rsidP="007860FC">
            <w:pPr>
              <w:pStyle w:val="Body"/>
              <w:jc w:val="right"/>
              <w:rPr>
                <w:highlight w:val="cyan"/>
              </w:rPr>
            </w:pPr>
            <w:r w:rsidRPr="00E235CE">
              <w:t>9,910</w:t>
            </w:r>
          </w:p>
        </w:tc>
        <w:tc>
          <w:tcPr>
            <w:tcW w:w="1080" w:type="dxa"/>
            <w:noWrap/>
            <w:hideMark/>
          </w:tcPr>
          <w:p w14:paraId="783A0D38" w14:textId="6F9ED81F" w:rsidR="007860FC" w:rsidRPr="008244FA" w:rsidRDefault="007860FC" w:rsidP="007860FC">
            <w:pPr>
              <w:pStyle w:val="Body"/>
              <w:jc w:val="right"/>
              <w:rPr>
                <w:highlight w:val="cyan"/>
              </w:rPr>
            </w:pPr>
            <w:r w:rsidRPr="007860FC">
              <w:rPr>
                <w:highlight w:val="magenta"/>
              </w:rPr>
              <w:t>9,909</w:t>
            </w:r>
          </w:p>
        </w:tc>
        <w:tc>
          <w:tcPr>
            <w:tcW w:w="1120" w:type="dxa"/>
            <w:noWrap/>
            <w:hideMark/>
          </w:tcPr>
          <w:p w14:paraId="661A044B" w14:textId="3692E045" w:rsidR="007860FC" w:rsidRPr="008244FA" w:rsidRDefault="007860FC" w:rsidP="007860FC">
            <w:pPr>
              <w:pStyle w:val="Body"/>
              <w:jc w:val="right"/>
              <w:rPr>
                <w:highlight w:val="cyan"/>
              </w:rPr>
            </w:pPr>
            <w:r w:rsidRPr="002D1B98">
              <w:t>49,549</w:t>
            </w:r>
          </w:p>
        </w:tc>
      </w:tr>
      <w:tr w:rsidR="007860FC" w:rsidRPr="006076A1" w14:paraId="5A3D5B9E" w14:textId="77777777" w:rsidTr="006076A1">
        <w:trPr>
          <w:trHeight w:val="315"/>
        </w:trPr>
        <w:tc>
          <w:tcPr>
            <w:tcW w:w="3760" w:type="dxa"/>
            <w:noWrap/>
            <w:hideMark/>
          </w:tcPr>
          <w:p w14:paraId="64EE7662" w14:textId="77777777" w:rsidR="007860FC" w:rsidRPr="008244FA" w:rsidRDefault="007860FC" w:rsidP="007860FC">
            <w:pPr>
              <w:pStyle w:val="Body"/>
              <w:rPr>
                <w:highlight w:val="cyan"/>
              </w:rPr>
            </w:pPr>
            <w:r w:rsidRPr="008244FA">
              <w:rPr>
                <w:highlight w:val="cyan"/>
              </w:rPr>
              <w:t xml:space="preserve"> Training </w:t>
            </w:r>
          </w:p>
        </w:tc>
        <w:tc>
          <w:tcPr>
            <w:tcW w:w="1140" w:type="dxa"/>
            <w:noWrap/>
            <w:hideMark/>
          </w:tcPr>
          <w:p w14:paraId="2B406EC9" w14:textId="77777777" w:rsidR="007860FC" w:rsidRPr="008244FA" w:rsidRDefault="007860FC" w:rsidP="007860FC">
            <w:pPr>
              <w:pStyle w:val="Body"/>
              <w:rPr>
                <w:highlight w:val="cyan"/>
              </w:rPr>
            </w:pPr>
            <w:r w:rsidRPr="008244FA">
              <w:rPr>
                <w:highlight w:val="cyan"/>
              </w:rPr>
              <w:t>75700</w:t>
            </w:r>
          </w:p>
        </w:tc>
        <w:tc>
          <w:tcPr>
            <w:tcW w:w="1120" w:type="dxa"/>
            <w:noWrap/>
            <w:hideMark/>
          </w:tcPr>
          <w:p w14:paraId="61E6DF0C" w14:textId="1ED0C004" w:rsidR="007860FC" w:rsidRPr="008244FA" w:rsidRDefault="007860FC" w:rsidP="007860FC">
            <w:pPr>
              <w:pStyle w:val="Body"/>
              <w:jc w:val="right"/>
              <w:rPr>
                <w:highlight w:val="cyan"/>
              </w:rPr>
            </w:pPr>
            <w:r w:rsidRPr="00E235CE">
              <w:t>109,800</w:t>
            </w:r>
          </w:p>
        </w:tc>
        <w:tc>
          <w:tcPr>
            <w:tcW w:w="1140" w:type="dxa"/>
            <w:noWrap/>
            <w:hideMark/>
          </w:tcPr>
          <w:p w14:paraId="7107BAE1" w14:textId="7AC557AB" w:rsidR="007860FC" w:rsidRPr="008244FA" w:rsidRDefault="007860FC" w:rsidP="007860FC">
            <w:pPr>
              <w:pStyle w:val="Body"/>
              <w:jc w:val="right"/>
              <w:rPr>
                <w:highlight w:val="cyan"/>
              </w:rPr>
            </w:pPr>
            <w:r w:rsidRPr="00E235CE">
              <w:t>123,500</w:t>
            </w:r>
          </w:p>
        </w:tc>
        <w:tc>
          <w:tcPr>
            <w:tcW w:w="1100" w:type="dxa"/>
            <w:noWrap/>
            <w:hideMark/>
          </w:tcPr>
          <w:p w14:paraId="50993CAD" w14:textId="33330F25" w:rsidR="007860FC" w:rsidRPr="008244FA" w:rsidRDefault="007860FC" w:rsidP="007860FC">
            <w:pPr>
              <w:pStyle w:val="Body"/>
              <w:jc w:val="right"/>
              <w:rPr>
                <w:highlight w:val="cyan"/>
              </w:rPr>
            </w:pPr>
            <w:r w:rsidRPr="00E235CE">
              <w:t>126,500</w:t>
            </w:r>
          </w:p>
        </w:tc>
        <w:tc>
          <w:tcPr>
            <w:tcW w:w="1080" w:type="dxa"/>
            <w:noWrap/>
            <w:hideMark/>
          </w:tcPr>
          <w:p w14:paraId="21B9AB44" w14:textId="3F982EBA" w:rsidR="007860FC" w:rsidRPr="008244FA" w:rsidRDefault="007860FC" w:rsidP="007860FC">
            <w:pPr>
              <w:pStyle w:val="Body"/>
              <w:jc w:val="right"/>
              <w:rPr>
                <w:highlight w:val="cyan"/>
              </w:rPr>
            </w:pPr>
            <w:r w:rsidRPr="00E235CE">
              <w:t>126,000</w:t>
            </w:r>
          </w:p>
        </w:tc>
        <w:tc>
          <w:tcPr>
            <w:tcW w:w="1080" w:type="dxa"/>
            <w:noWrap/>
            <w:hideMark/>
          </w:tcPr>
          <w:p w14:paraId="6AEC1130" w14:textId="20B88AD5" w:rsidR="007860FC" w:rsidRPr="008244FA" w:rsidRDefault="007860FC" w:rsidP="007860FC">
            <w:pPr>
              <w:pStyle w:val="Body"/>
              <w:jc w:val="right"/>
              <w:rPr>
                <w:highlight w:val="cyan"/>
              </w:rPr>
            </w:pPr>
            <w:r w:rsidRPr="00E235CE">
              <w:t>117,000</w:t>
            </w:r>
          </w:p>
        </w:tc>
        <w:tc>
          <w:tcPr>
            <w:tcW w:w="1120" w:type="dxa"/>
            <w:noWrap/>
            <w:hideMark/>
          </w:tcPr>
          <w:p w14:paraId="7D5C5532" w14:textId="4934EB12" w:rsidR="007860FC" w:rsidRPr="008244FA" w:rsidRDefault="007860FC" w:rsidP="007860FC">
            <w:pPr>
              <w:pStyle w:val="Body"/>
              <w:jc w:val="right"/>
              <w:rPr>
                <w:highlight w:val="cyan"/>
              </w:rPr>
            </w:pPr>
            <w:r w:rsidRPr="002D1B98">
              <w:t>602,800</w:t>
            </w:r>
          </w:p>
        </w:tc>
      </w:tr>
      <w:tr w:rsidR="007860FC" w:rsidRPr="006076A1" w14:paraId="1C14EE83" w14:textId="77777777" w:rsidTr="006076A1">
        <w:trPr>
          <w:trHeight w:val="315"/>
        </w:trPr>
        <w:tc>
          <w:tcPr>
            <w:tcW w:w="3760" w:type="dxa"/>
            <w:noWrap/>
            <w:hideMark/>
          </w:tcPr>
          <w:p w14:paraId="7EF0B15C" w14:textId="77777777" w:rsidR="007860FC" w:rsidRPr="008244FA" w:rsidRDefault="007860FC" w:rsidP="007860FC">
            <w:pPr>
              <w:pStyle w:val="Body"/>
              <w:rPr>
                <w:highlight w:val="cyan"/>
              </w:rPr>
            </w:pPr>
            <w:r w:rsidRPr="008244FA">
              <w:rPr>
                <w:highlight w:val="cyan"/>
              </w:rPr>
              <w:t>Audit</w:t>
            </w:r>
          </w:p>
        </w:tc>
        <w:tc>
          <w:tcPr>
            <w:tcW w:w="1140" w:type="dxa"/>
            <w:noWrap/>
            <w:hideMark/>
          </w:tcPr>
          <w:p w14:paraId="72D10503" w14:textId="77777777" w:rsidR="007860FC" w:rsidRPr="008244FA" w:rsidRDefault="007860FC" w:rsidP="007860FC">
            <w:pPr>
              <w:pStyle w:val="Body"/>
              <w:rPr>
                <w:highlight w:val="cyan"/>
              </w:rPr>
            </w:pPr>
            <w:r w:rsidRPr="008244FA">
              <w:rPr>
                <w:highlight w:val="cyan"/>
              </w:rPr>
              <w:t>74100</w:t>
            </w:r>
          </w:p>
        </w:tc>
        <w:tc>
          <w:tcPr>
            <w:tcW w:w="1120" w:type="dxa"/>
            <w:noWrap/>
            <w:hideMark/>
          </w:tcPr>
          <w:p w14:paraId="57BA4830" w14:textId="02CAB320" w:rsidR="007860FC" w:rsidRPr="008244FA" w:rsidRDefault="007860FC" w:rsidP="007860FC">
            <w:pPr>
              <w:pStyle w:val="Body"/>
              <w:jc w:val="right"/>
              <w:rPr>
                <w:highlight w:val="cyan"/>
              </w:rPr>
            </w:pPr>
            <w:r w:rsidRPr="00E235CE">
              <w:t>0</w:t>
            </w:r>
          </w:p>
        </w:tc>
        <w:tc>
          <w:tcPr>
            <w:tcW w:w="1140" w:type="dxa"/>
            <w:noWrap/>
            <w:hideMark/>
          </w:tcPr>
          <w:p w14:paraId="20703C45" w14:textId="6DBBA34E" w:rsidR="007860FC" w:rsidRPr="008244FA" w:rsidRDefault="007860FC" w:rsidP="007860FC">
            <w:pPr>
              <w:pStyle w:val="Body"/>
              <w:jc w:val="right"/>
              <w:rPr>
                <w:highlight w:val="cyan"/>
              </w:rPr>
            </w:pPr>
            <w:r w:rsidRPr="00E235CE">
              <w:t>0</w:t>
            </w:r>
          </w:p>
        </w:tc>
        <w:tc>
          <w:tcPr>
            <w:tcW w:w="1100" w:type="dxa"/>
            <w:noWrap/>
            <w:hideMark/>
          </w:tcPr>
          <w:p w14:paraId="0CC4ECF3" w14:textId="6A5F0564" w:rsidR="007860FC" w:rsidRPr="008244FA" w:rsidRDefault="007860FC" w:rsidP="007860FC">
            <w:pPr>
              <w:pStyle w:val="Body"/>
              <w:jc w:val="right"/>
              <w:rPr>
                <w:highlight w:val="cyan"/>
              </w:rPr>
            </w:pPr>
            <w:r w:rsidRPr="00E235CE">
              <w:t>0</w:t>
            </w:r>
          </w:p>
        </w:tc>
        <w:tc>
          <w:tcPr>
            <w:tcW w:w="1080" w:type="dxa"/>
            <w:noWrap/>
            <w:hideMark/>
          </w:tcPr>
          <w:p w14:paraId="79C2DD7F" w14:textId="0075DDCD" w:rsidR="007860FC" w:rsidRPr="008244FA" w:rsidRDefault="007860FC" w:rsidP="007860FC">
            <w:pPr>
              <w:pStyle w:val="Body"/>
              <w:jc w:val="right"/>
              <w:rPr>
                <w:highlight w:val="cyan"/>
              </w:rPr>
            </w:pPr>
            <w:r w:rsidRPr="00E235CE">
              <w:t>0</w:t>
            </w:r>
          </w:p>
        </w:tc>
        <w:tc>
          <w:tcPr>
            <w:tcW w:w="1080" w:type="dxa"/>
            <w:noWrap/>
            <w:hideMark/>
          </w:tcPr>
          <w:p w14:paraId="43B84C52" w14:textId="2DDA937B" w:rsidR="007860FC" w:rsidRPr="008244FA" w:rsidRDefault="007860FC" w:rsidP="007860FC">
            <w:pPr>
              <w:pStyle w:val="Body"/>
              <w:jc w:val="right"/>
              <w:rPr>
                <w:highlight w:val="cyan"/>
              </w:rPr>
            </w:pPr>
            <w:r w:rsidRPr="00E235CE">
              <w:t>25,000</w:t>
            </w:r>
          </w:p>
        </w:tc>
        <w:tc>
          <w:tcPr>
            <w:tcW w:w="1120" w:type="dxa"/>
            <w:noWrap/>
            <w:hideMark/>
          </w:tcPr>
          <w:p w14:paraId="1054B0F2" w14:textId="1E8965F1" w:rsidR="007860FC" w:rsidRPr="008244FA" w:rsidRDefault="007860FC" w:rsidP="007860FC">
            <w:pPr>
              <w:pStyle w:val="Body"/>
              <w:jc w:val="right"/>
              <w:rPr>
                <w:highlight w:val="cyan"/>
              </w:rPr>
            </w:pPr>
            <w:r w:rsidRPr="002D1B98">
              <w:t>25,000</w:t>
            </w:r>
          </w:p>
        </w:tc>
      </w:tr>
      <w:tr w:rsidR="007860FC" w:rsidRPr="006076A1" w14:paraId="5C96718A" w14:textId="77777777" w:rsidTr="007631AE">
        <w:trPr>
          <w:trHeight w:val="315"/>
        </w:trPr>
        <w:tc>
          <w:tcPr>
            <w:tcW w:w="4900" w:type="dxa"/>
            <w:gridSpan w:val="2"/>
            <w:noWrap/>
            <w:hideMark/>
          </w:tcPr>
          <w:p w14:paraId="54D05A00" w14:textId="64A46623" w:rsidR="007860FC" w:rsidRPr="008244FA" w:rsidRDefault="007860FC" w:rsidP="007860FC">
            <w:pPr>
              <w:pStyle w:val="Body"/>
              <w:rPr>
                <w:highlight w:val="cyan"/>
              </w:rPr>
            </w:pPr>
            <w:r w:rsidRPr="008244FA">
              <w:rPr>
                <w:highlight w:val="cyan"/>
              </w:rPr>
              <w:t> Total</w:t>
            </w:r>
          </w:p>
        </w:tc>
        <w:tc>
          <w:tcPr>
            <w:tcW w:w="1120" w:type="dxa"/>
            <w:noWrap/>
            <w:hideMark/>
          </w:tcPr>
          <w:p w14:paraId="5819A3D1" w14:textId="5210B321" w:rsidR="007860FC" w:rsidRPr="007860FC" w:rsidRDefault="007860FC" w:rsidP="007860FC">
            <w:pPr>
              <w:pStyle w:val="Body"/>
              <w:jc w:val="right"/>
              <w:rPr>
                <w:highlight w:val="cyan"/>
              </w:rPr>
            </w:pPr>
            <w:r w:rsidRPr="007860FC">
              <w:rPr>
                <w:highlight w:val="cyan"/>
              </w:rPr>
              <w:t>780,250</w:t>
            </w:r>
          </w:p>
        </w:tc>
        <w:tc>
          <w:tcPr>
            <w:tcW w:w="1140" w:type="dxa"/>
            <w:noWrap/>
            <w:hideMark/>
          </w:tcPr>
          <w:p w14:paraId="6AAE5F64" w14:textId="65F1B636" w:rsidR="007860FC" w:rsidRPr="007860FC" w:rsidRDefault="007860FC" w:rsidP="007860FC">
            <w:pPr>
              <w:pStyle w:val="Body"/>
              <w:jc w:val="right"/>
              <w:rPr>
                <w:highlight w:val="cyan"/>
              </w:rPr>
            </w:pPr>
            <w:r w:rsidRPr="007860FC">
              <w:rPr>
                <w:highlight w:val="cyan"/>
              </w:rPr>
              <w:t>686,317</w:t>
            </w:r>
          </w:p>
        </w:tc>
        <w:tc>
          <w:tcPr>
            <w:tcW w:w="1100" w:type="dxa"/>
            <w:noWrap/>
            <w:hideMark/>
          </w:tcPr>
          <w:p w14:paraId="3E8E70B2" w14:textId="574C5A2A" w:rsidR="007860FC" w:rsidRPr="007860FC" w:rsidRDefault="007860FC" w:rsidP="007860FC">
            <w:pPr>
              <w:pStyle w:val="Body"/>
              <w:jc w:val="right"/>
              <w:rPr>
                <w:highlight w:val="cyan"/>
              </w:rPr>
            </w:pPr>
            <w:r w:rsidRPr="007860FC">
              <w:rPr>
                <w:highlight w:val="cyan"/>
              </w:rPr>
              <w:t>770,250</w:t>
            </w:r>
          </w:p>
        </w:tc>
        <w:tc>
          <w:tcPr>
            <w:tcW w:w="1080" w:type="dxa"/>
            <w:noWrap/>
            <w:hideMark/>
          </w:tcPr>
          <w:p w14:paraId="79862FAE" w14:textId="5909FEB1" w:rsidR="007860FC" w:rsidRPr="007860FC" w:rsidRDefault="007860FC" w:rsidP="007860FC">
            <w:pPr>
              <w:pStyle w:val="Body"/>
              <w:jc w:val="right"/>
              <w:rPr>
                <w:highlight w:val="cyan"/>
              </w:rPr>
            </w:pPr>
            <w:r w:rsidRPr="007860FC">
              <w:rPr>
                <w:highlight w:val="cyan"/>
              </w:rPr>
              <w:t>704,100</w:t>
            </w:r>
          </w:p>
        </w:tc>
        <w:tc>
          <w:tcPr>
            <w:tcW w:w="1080" w:type="dxa"/>
            <w:noWrap/>
            <w:hideMark/>
          </w:tcPr>
          <w:p w14:paraId="2BE0304E" w14:textId="1CCA9B92" w:rsidR="007860FC" w:rsidRPr="008244FA" w:rsidRDefault="007860FC" w:rsidP="007860FC">
            <w:pPr>
              <w:pStyle w:val="Body"/>
              <w:jc w:val="right"/>
              <w:rPr>
                <w:highlight w:val="cyan"/>
              </w:rPr>
            </w:pPr>
            <w:r w:rsidRPr="007860FC">
              <w:rPr>
                <w:highlight w:val="magenta"/>
              </w:rPr>
              <w:t>759,083</w:t>
            </w:r>
          </w:p>
        </w:tc>
        <w:tc>
          <w:tcPr>
            <w:tcW w:w="1120" w:type="dxa"/>
            <w:noWrap/>
            <w:hideMark/>
          </w:tcPr>
          <w:p w14:paraId="52A9F12F" w14:textId="77777777" w:rsidR="007860FC" w:rsidRPr="006076A1" w:rsidRDefault="007860FC" w:rsidP="007860FC">
            <w:pPr>
              <w:pStyle w:val="Body"/>
              <w:jc w:val="right"/>
            </w:pPr>
            <w:r w:rsidRPr="008244FA">
              <w:rPr>
                <w:highlight w:val="cyan"/>
              </w:rPr>
              <w:t>3,700,000</w:t>
            </w:r>
          </w:p>
        </w:tc>
      </w:tr>
    </w:tbl>
    <w:p w14:paraId="2E071389" w14:textId="77777777" w:rsidR="001771FE" w:rsidRPr="005516CD" w:rsidRDefault="001771FE" w:rsidP="007B146B">
      <w:pPr>
        <w:pStyle w:val="Body"/>
        <w:sectPr w:rsidR="001771FE" w:rsidRPr="005516CD" w:rsidSect="00730F08">
          <w:pgSz w:w="16840" w:h="11900" w:orient="landscape"/>
          <w:pgMar w:top="1440" w:right="1440" w:bottom="1440" w:left="1440" w:header="708" w:footer="432" w:gutter="0"/>
          <w:cols w:space="720"/>
          <w:docGrid w:linePitch="326"/>
        </w:sectPr>
      </w:pPr>
    </w:p>
    <w:p w14:paraId="60853101" w14:textId="77777777" w:rsidR="001771FE" w:rsidRDefault="00045B04" w:rsidP="003B2210">
      <w:pPr>
        <w:pStyle w:val="Heading2"/>
        <w:numPr>
          <w:ilvl w:val="0"/>
          <w:numId w:val="164"/>
        </w:numPr>
        <w:spacing w:after="120"/>
        <w:rPr>
          <w:rFonts w:ascii="Calibri" w:eastAsia="Calibri" w:hAnsi="Calibri" w:cs="Calibri"/>
          <w:caps/>
          <w:sz w:val="22"/>
          <w:lang w:val="en-US"/>
        </w:rPr>
      </w:pPr>
      <w:bookmarkStart w:id="95" w:name="_Toc8933103"/>
      <w:r w:rsidRPr="005516CD">
        <w:rPr>
          <w:rFonts w:ascii="Calibri" w:eastAsia="Calibri" w:hAnsi="Calibri" w:cs="Calibri"/>
          <w:caps/>
          <w:sz w:val="22"/>
          <w:lang w:val="en-US"/>
        </w:rPr>
        <w:t>Legal Context</w:t>
      </w:r>
      <w:bookmarkEnd w:id="95"/>
    </w:p>
    <w:p w14:paraId="70B5E314" w14:textId="77777777" w:rsidR="00535F56" w:rsidRPr="003B2210" w:rsidRDefault="00535F56" w:rsidP="003B2210">
      <w:pPr>
        <w:spacing w:line="276" w:lineRule="auto"/>
        <w:rPr>
          <w:rFonts w:asciiTheme="majorHAnsi" w:hAnsiTheme="majorHAnsi"/>
          <w:sz w:val="20"/>
          <w:szCs w:val="20"/>
        </w:rPr>
      </w:pPr>
    </w:p>
    <w:p w14:paraId="0CD56FCE" w14:textId="77777777" w:rsidR="00535F56" w:rsidRPr="003B2210" w:rsidRDefault="00535F56" w:rsidP="003B2210">
      <w:pPr>
        <w:spacing w:line="276" w:lineRule="auto"/>
        <w:rPr>
          <w:rFonts w:asciiTheme="majorHAnsi" w:hAnsiTheme="majorHAnsi"/>
          <w:sz w:val="20"/>
          <w:szCs w:val="20"/>
        </w:rPr>
      </w:pPr>
    </w:p>
    <w:p w14:paraId="732ED6EC" w14:textId="77777777" w:rsidR="00535F56" w:rsidRDefault="00535F56" w:rsidP="003B2210">
      <w:pPr>
        <w:numPr>
          <w:ilvl w:val="0"/>
          <w:numId w:val="176"/>
        </w:numPr>
        <w:tabs>
          <w:tab w:val="left" w:pos="426"/>
        </w:tabs>
        <w:spacing w:after="120"/>
        <w:ind w:left="0" w:right="96" w:firstLine="0"/>
        <w:jc w:val="both"/>
        <w:rPr>
          <w:rFonts w:asciiTheme="majorHAnsi" w:hAnsiTheme="majorHAnsi"/>
          <w:sz w:val="20"/>
          <w:szCs w:val="20"/>
        </w:rPr>
      </w:pPr>
      <w:r w:rsidRPr="003B2210">
        <w:rPr>
          <w:rFonts w:asciiTheme="majorHAnsi" w:hAnsiTheme="majorHAnsi"/>
          <w:sz w:val="20"/>
          <w:szCs w:val="20"/>
        </w:rPr>
        <w:t xml:space="preserve">This </w:t>
      </w:r>
      <w:r w:rsidRPr="003B2210">
        <w:rPr>
          <w:rFonts w:asciiTheme="majorHAnsi" w:hAnsiTheme="majorHAnsi" w:cstheme="majorHAnsi"/>
          <w:color w:val="000000" w:themeColor="text1"/>
          <w:sz w:val="20"/>
          <w:szCs w:val="20"/>
          <w:lang w:val="en-US"/>
        </w:rPr>
        <w:t>project</w:t>
      </w:r>
      <w:r w:rsidRPr="003B2210">
        <w:rPr>
          <w:rFonts w:asciiTheme="majorHAnsi" w:hAnsiTheme="majorHAnsi"/>
          <w:sz w:val="20"/>
          <w:szCs w:val="20"/>
        </w:rPr>
        <w:t xml:space="preserve"> document shall be the instrument referred to as such in Article 1 of the Standard Basic Assistance Agreement between the Government of </w:t>
      </w:r>
      <w:r w:rsidRPr="003B2210">
        <w:rPr>
          <w:rFonts w:asciiTheme="majorHAnsi" w:hAnsiTheme="majorHAnsi" w:cstheme="minorHAnsi"/>
          <w:sz w:val="20"/>
          <w:szCs w:val="20"/>
        </w:rPr>
        <w:t xml:space="preserve">Haiti and UNDP, signed on </w:t>
      </w:r>
      <w:r w:rsidRPr="003B2210">
        <w:rPr>
          <w:rFonts w:asciiTheme="majorHAnsi" w:hAnsiTheme="majorHAnsi" w:cstheme="minorHAnsi"/>
          <w:i/>
          <w:spacing w:val="-2"/>
          <w:sz w:val="20"/>
          <w:szCs w:val="20"/>
        </w:rPr>
        <w:t>June 28, 1973</w:t>
      </w:r>
      <w:r w:rsidRPr="003B2210">
        <w:rPr>
          <w:rFonts w:asciiTheme="majorHAnsi" w:hAnsiTheme="majorHAnsi" w:cstheme="minorHAnsi"/>
          <w:spacing w:val="-2"/>
          <w:sz w:val="20"/>
          <w:szCs w:val="20"/>
        </w:rPr>
        <w:t>.</w:t>
      </w:r>
      <w:r w:rsidRPr="003B2210">
        <w:rPr>
          <w:rFonts w:asciiTheme="majorHAnsi" w:hAnsiTheme="majorHAnsi" w:cs="Calibri"/>
          <w:spacing w:val="-2"/>
          <w:sz w:val="20"/>
          <w:szCs w:val="20"/>
        </w:rPr>
        <w:t xml:space="preserve"> </w:t>
      </w:r>
      <w:r w:rsidRPr="003B2210">
        <w:rPr>
          <w:rFonts w:asciiTheme="majorHAnsi" w:hAnsiTheme="majorHAnsi"/>
          <w:sz w:val="20"/>
          <w:szCs w:val="20"/>
        </w:rPr>
        <w:t>All references in the SBAA to “Executing Agency” shall be deemed to refer to “Implementing Partner.”</w:t>
      </w:r>
    </w:p>
    <w:p w14:paraId="66F81890" w14:textId="77777777" w:rsidR="00F07E30" w:rsidRPr="003B2210" w:rsidRDefault="00F07E30" w:rsidP="003B2210">
      <w:pPr>
        <w:pStyle w:val="ListParagraph"/>
        <w:spacing w:line="276" w:lineRule="auto"/>
        <w:rPr>
          <w:rFonts w:asciiTheme="majorHAnsi" w:hAnsiTheme="majorHAnsi"/>
          <w:sz w:val="20"/>
          <w:szCs w:val="20"/>
        </w:rPr>
      </w:pPr>
    </w:p>
    <w:p w14:paraId="56D33DD4" w14:textId="77777777" w:rsidR="00535F56" w:rsidRPr="003B2210" w:rsidRDefault="00535F56" w:rsidP="003B2210">
      <w:pPr>
        <w:numPr>
          <w:ilvl w:val="0"/>
          <w:numId w:val="176"/>
        </w:numPr>
        <w:tabs>
          <w:tab w:val="left" w:pos="426"/>
        </w:tabs>
        <w:spacing w:after="120"/>
        <w:ind w:left="0" w:right="96" w:firstLine="0"/>
        <w:jc w:val="both"/>
        <w:rPr>
          <w:rFonts w:asciiTheme="majorHAnsi" w:eastAsia="Arial Unicode MS" w:hAnsiTheme="majorHAnsi" w:cs="Arial"/>
          <w:color w:val="000000"/>
          <w:sz w:val="20"/>
          <w:szCs w:val="20"/>
          <w:u w:color="000000"/>
          <w:bdr w:val="nil"/>
          <w:lang w:val="en-US"/>
        </w:rPr>
      </w:pPr>
      <w:r w:rsidRPr="003B2210">
        <w:rPr>
          <w:rFonts w:asciiTheme="majorHAnsi" w:eastAsia="Arial Unicode MS" w:hAnsiTheme="majorHAnsi" w:cs="Arial"/>
          <w:color w:val="000000"/>
          <w:sz w:val="20"/>
          <w:szCs w:val="20"/>
          <w:u w:color="000000"/>
          <w:bdr w:val="nil"/>
          <w:lang w:val="en-US"/>
        </w:rPr>
        <w:t xml:space="preserve">This </w:t>
      </w:r>
      <w:r w:rsidRPr="003B2210">
        <w:rPr>
          <w:rFonts w:asciiTheme="majorHAnsi" w:hAnsiTheme="majorHAnsi"/>
          <w:sz w:val="20"/>
          <w:szCs w:val="20"/>
        </w:rPr>
        <w:t>project</w:t>
      </w:r>
      <w:r w:rsidRPr="003B2210">
        <w:rPr>
          <w:rFonts w:asciiTheme="majorHAnsi" w:eastAsia="Arial Unicode MS" w:hAnsiTheme="majorHAnsi" w:cs="Arial"/>
          <w:color w:val="000000"/>
          <w:sz w:val="20"/>
          <w:szCs w:val="20"/>
          <w:u w:color="000000"/>
          <w:bdr w:val="nil"/>
          <w:lang w:val="en-US"/>
        </w:rPr>
        <w:t xml:space="preserve"> will be implemented by </w:t>
      </w:r>
      <w:r w:rsidRPr="003B2210">
        <w:rPr>
          <w:rFonts w:asciiTheme="majorHAnsi" w:eastAsia="Arial Unicode MS" w:hAnsiTheme="majorHAnsi" w:cstheme="minorHAnsi"/>
          <w:color w:val="000000"/>
          <w:sz w:val="20"/>
          <w:szCs w:val="20"/>
          <w:u w:color="000000"/>
          <w:bdr w:val="nil"/>
          <w:lang w:val="en-US"/>
        </w:rPr>
        <w:t>Ministry of Environment</w:t>
      </w:r>
      <w:r w:rsidRPr="003B2210">
        <w:rPr>
          <w:rFonts w:asciiTheme="majorHAnsi" w:eastAsia="Arial Unicode MS" w:hAnsiTheme="majorHAnsi" w:cs="Calibri Light"/>
          <w:color w:val="000000"/>
          <w:sz w:val="20"/>
          <w:szCs w:val="20"/>
          <w:u w:color="000000"/>
          <w:bdr w:val="nil"/>
          <w:lang w:val="en-US"/>
        </w:rPr>
        <w:t xml:space="preserve"> </w:t>
      </w:r>
      <w:r w:rsidRPr="003B2210">
        <w:rPr>
          <w:rFonts w:asciiTheme="majorHAnsi" w:eastAsia="Arial Unicode MS" w:hAnsiTheme="majorHAnsi" w:cs="Arial"/>
          <w:color w:val="000000"/>
          <w:sz w:val="20"/>
          <w:szCs w:val="20"/>
          <w:u w:color="000000"/>
          <w:bdr w:val="nil"/>
          <w:lang w:val="en-US"/>
        </w:rPr>
        <w:t>(“Implementing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00F7CEFA" w14:textId="77777777" w:rsidR="00535F56" w:rsidRPr="003B2210" w:rsidRDefault="00535F56" w:rsidP="003B2210">
      <w:pPr>
        <w:spacing w:line="276" w:lineRule="auto"/>
        <w:rPr>
          <w:rFonts w:asciiTheme="majorHAnsi" w:hAnsiTheme="majorHAnsi"/>
          <w:sz w:val="20"/>
          <w:szCs w:val="20"/>
        </w:rPr>
      </w:pPr>
    </w:p>
    <w:p w14:paraId="3DCC01F2" w14:textId="77777777" w:rsidR="00535F56" w:rsidRPr="003B2210" w:rsidRDefault="00535F56" w:rsidP="003B2210">
      <w:pPr>
        <w:numPr>
          <w:ilvl w:val="0"/>
          <w:numId w:val="176"/>
        </w:numPr>
        <w:tabs>
          <w:tab w:val="left" w:pos="426"/>
        </w:tabs>
        <w:spacing w:after="120"/>
        <w:ind w:left="0" w:right="96" w:firstLine="0"/>
        <w:jc w:val="both"/>
        <w:rPr>
          <w:rFonts w:asciiTheme="majorHAnsi" w:hAnsiTheme="majorHAnsi"/>
          <w:sz w:val="20"/>
          <w:szCs w:val="20"/>
        </w:rPr>
      </w:pPr>
      <w:r w:rsidRPr="003B2210">
        <w:rPr>
          <w:rFonts w:asciiTheme="majorHAnsi" w:hAnsiTheme="majorHAnsi"/>
          <w:sz w:val="20"/>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56737270" w14:textId="77777777" w:rsidR="003B2210" w:rsidRDefault="003B2210" w:rsidP="00535F56">
      <w:pPr>
        <w:pStyle w:val="Body"/>
        <w:rPr>
          <w:lang w:val="en-US"/>
        </w:rPr>
        <w:sectPr w:rsidR="003B2210" w:rsidSect="001075E3">
          <w:pgSz w:w="11900" w:h="16840"/>
          <w:pgMar w:top="1440" w:right="1440" w:bottom="1440" w:left="1440" w:header="708" w:footer="432" w:gutter="0"/>
          <w:cols w:space="720"/>
          <w:docGrid w:linePitch="326"/>
        </w:sectPr>
      </w:pPr>
    </w:p>
    <w:p w14:paraId="25FA099B" w14:textId="77777777" w:rsidR="003D3FF3" w:rsidRDefault="003D3FF3" w:rsidP="00535F56">
      <w:pPr>
        <w:pStyle w:val="Body"/>
        <w:rPr>
          <w:lang w:val="en-US"/>
        </w:rPr>
      </w:pPr>
    </w:p>
    <w:p w14:paraId="044F4DC3" w14:textId="77777777" w:rsidR="006218D0" w:rsidRPr="005516CD" w:rsidRDefault="006218D0" w:rsidP="003B2210">
      <w:pPr>
        <w:pStyle w:val="Heading2"/>
        <w:numPr>
          <w:ilvl w:val="0"/>
          <w:numId w:val="164"/>
        </w:numPr>
        <w:spacing w:after="120"/>
        <w:rPr>
          <w:rFonts w:ascii="Calibri" w:eastAsia="Calibri" w:hAnsi="Calibri" w:cs="Calibri"/>
          <w:caps/>
          <w:sz w:val="22"/>
        </w:rPr>
      </w:pPr>
      <w:bookmarkStart w:id="96" w:name="_Toc8933104"/>
      <w:r w:rsidRPr="005516CD">
        <w:rPr>
          <w:rFonts w:ascii="Calibri" w:eastAsia="Calibri" w:hAnsi="Calibri" w:cs="Calibri"/>
          <w:caps/>
          <w:sz w:val="22"/>
          <w:lang w:val="en-US"/>
        </w:rPr>
        <w:t>RISK MANAGEMENT</w:t>
      </w:r>
      <w:bookmarkEnd w:id="96"/>
    </w:p>
    <w:p w14:paraId="7166EC22"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Consistent with the Article III of the SBAA [or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147DBA55" w14:textId="77777777" w:rsidR="006218D0" w:rsidRPr="005516CD" w:rsidRDefault="006218D0" w:rsidP="001E6E8C">
      <w:pPr>
        <w:pStyle w:val="ListParagraph"/>
        <w:numPr>
          <w:ilvl w:val="0"/>
          <w:numId w:val="138"/>
        </w:numPr>
        <w:tabs>
          <w:tab w:val="left" w:pos="426"/>
        </w:tabs>
        <w:spacing w:after="120"/>
        <w:ind w:right="96"/>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put in place an appropriate security plan and maintain the security plan, taking into account the security situation in the country where the project is being carried;</w:t>
      </w:r>
    </w:p>
    <w:p w14:paraId="36620A99" w14:textId="77777777" w:rsidR="006218D0" w:rsidRPr="005516CD" w:rsidRDefault="006218D0" w:rsidP="001E6E8C">
      <w:pPr>
        <w:pStyle w:val="ListParagraph"/>
        <w:numPr>
          <w:ilvl w:val="0"/>
          <w:numId w:val="138"/>
        </w:numPr>
        <w:tabs>
          <w:tab w:val="left" w:pos="426"/>
        </w:tabs>
        <w:spacing w:after="120"/>
        <w:ind w:right="96"/>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rPr>
        <w:t>assume all risks and liabilities related to the Implementing Partner’s security, and the full implementation of the security plan.</w:t>
      </w:r>
    </w:p>
    <w:p w14:paraId="6A3D6081"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4FAC154C"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http://www.un.org/sc/committees/1267/aq_sanctions_list.shtml.  </w:t>
      </w:r>
    </w:p>
    <w:p w14:paraId="17B9D5AF"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 xml:space="preserve">Social and environmental sustainability will be enhanced through application of the UNDP Social and Environmental Standards (http://www.undp.org/ses) and related Accountability Mechanism (http://www.undp.org/secu-srm).   </w:t>
      </w:r>
    </w:p>
    <w:p w14:paraId="4F476294"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 xml:space="preserve">The Implementing Partner shall: (a) conduct project and </w:t>
      </w:r>
      <w:proofErr w:type="spellStart"/>
      <w:r w:rsidRPr="005516CD">
        <w:rPr>
          <w:rFonts w:asciiTheme="majorHAnsi" w:hAnsiTheme="majorHAnsi" w:cstheme="majorHAnsi"/>
          <w:color w:val="000000" w:themeColor="text1"/>
          <w:sz w:val="20"/>
          <w:szCs w:val="20"/>
          <w:lang w:val="en-US"/>
        </w:rPr>
        <w:t>programme</w:t>
      </w:r>
      <w:proofErr w:type="spellEnd"/>
      <w:r w:rsidRPr="005516CD">
        <w:rPr>
          <w:rFonts w:asciiTheme="majorHAnsi" w:hAnsiTheme="majorHAnsi" w:cstheme="majorHAnsi"/>
          <w:color w:val="000000" w:themeColor="text1"/>
          <w:sz w:val="20"/>
          <w:szCs w:val="20"/>
          <w:lang w:val="en-US"/>
        </w:rPr>
        <w:t xml:space="preserve">-related activities in a manner consistent with the UNDP Social and Environmental Standards, (b) implement any management or mitigation plan prepared for the project or </w:t>
      </w:r>
      <w:proofErr w:type="spellStart"/>
      <w:r w:rsidRPr="005516CD">
        <w:rPr>
          <w:rFonts w:asciiTheme="majorHAnsi" w:hAnsiTheme="majorHAnsi" w:cstheme="majorHAnsi"/>
          <w:color w:val="000000" w:themeColor="text1"/>
          <w:sz w:val="20"/>
          <w:szCs w:val="20"/>
          <w:lang w:val="en-US"/>
        </w:rPr>
        <w:t>programme</w:t>
      </w:r>
      <w:proofErr w:type="spellEnd"/>
      <w:r w:rsidRPr="005516CD">
        <w:rPr>
          <w:rFonts w:asciiTheme="majorHAnsi" w:hAnsiTheme="majorHAnsi" w:cstheme="majorHAnsi"/>
          <w:color w:val="000000" w:themeColor="text1"/>
          <w:sz w:val="20"/>
          <w:szCs w:val="20"/>
          <w:lang w:val="en-US"/>
        </w:rPr>
        <w:t xml:space="preserve"> to comply with such standards, and (c) engage in a constructive and timely manner to address any concerns and complaints raised through the Accountability Mechanism. UNDP will seek to ensure that communities and other project stakeholders are informed of and have access to the Accountability Mechanism. </w:t>
      </w:r>
    </w:p>
    <w:p w14:paraId="009DB6F7"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 xml:space="preserve">All signatories to the Project Document shall cooperate in good faith with any exercise to evaluate any </w:t>
      </w:r>
      <w:proofErr w:type="spellStart"/>
      <w:r w:rsidRPr="005516CD">
        <w:rPr>
          <w:rFonts w:asciiTheme="majorHAnsi" w:hAnsiTheme="majorHAnsi" w:cstheme="majorHAnsi"/>
          <w:color w:val="000000" w:themeColor="text1"/>
          <w:sz w:val="20"/>
          <w:szCs w:val="20"/>
          <w:lang w:val="en-US"/>
        </w:rPr>
        <w:t>programme</w:t>
      </w:r>
      <w:proofErr w:type="spellEnd"/>
      <w:r w:rsidRPr="005516CD">
        <w:rPr>
          <w:rFonts w:asciiTheme="majorHAnsi" w:hAnsiTheme="majorHAnsi" w:cstheme="majorHAnsi"/>
          <w:color w:val="000000" w:themeColor="text1"/>
          <w:sz w:val="20"/>
          <w:szCs w:val="20"/>
          <w:lang w:val="en-US"/>
        </w:rPr>
        <w:t xml:space="preserve"> or project-related commitments or compliance with the UNDP Social and Environmental Standards. This includes providing access to project sites, relevant personnel, information, and documentation.</w:t>
      </w:r>
    </w:p>
    <w:p w14:paraId="3D80C41F"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0FF0C16B"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 xml:space="preserve">The requirements of the following documents, then in force at the time of signature of the Project Document, apply to the Implementing Partner: (a) UNDP Policy on Fraud and other Corrupt Practices and (b) UNDP Office of Audit and Investigations Investigation Guidelines. The Implementing Partner agrees to the requirements of the above documents, which are an integral part of this Project Document and are available online at www.undp.org. </w:t>
      </w:r>
    </w:p>
    <w:p w14:paraId="2238D0E2"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 xml:space="preserve">In the event that an investigation is required, UNDP has the obligation to conduct investigations relating to any aspect of UNDP projects and </w:t>
      </w:r>
      <w:proofErr w:type="spellStart"/>
      <w:r w:rsidRPr="005516CD">
        <w:rPr>
          <w:rFonts w:asciiTheme="majorHAnsi" w:hAnsiTheme="majorHAnsi" w:cstheme="majorHAnsi"/>
          <w:color w:val="000000" w:themeColor="text1"/>
          <w:sz w:val="20"/>
          <w:szCs w:val="20"/>
          <w:lang w:val="en-US"/>
        </w:rPr>
        <w:t>programmes</w:t>
      </w:r>
      <w:proofErr w:type="spellEnd"/>
      <w:r w:rsidRPr="005516CD">
        <w:rPr>
          <w:rFonts w:asciiTheme="majorHAnsi" w:hAnsiTheme="majorHAnsi" w:cstheme="majorHAnsi"/>
          <w:color w:val="000000" w:themeColor="text1"/>
          <w:sz w:val="20"/>
          <w:szCs w:val="20"/>
          <w:lang w:val="en-US"/>
        </w:rPr>
        <w:t>. The Implementing Partner shall provide its full cooperation, including making available personnel, relevant documentation, and granting access to the Implementing Partner’s (and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78B22B9D"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The signatories to this Project Document will promptly inform one another in case of any incidence of inappropriate use of funds, or credible allegation of fraud or corruption with due confidentiality.</w:t>
      </w:r>
    </w:p>
    <w:p w14:paraId="66402B1B"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46C29B6D"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32D17EAA"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29F4FFF9"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Note:  The term “Project Document” as used in this clause shall be deemed to include any relevant subsidiary agreement further to the Project Document, including those with responsible parties, subcontractors and sub-recipients.</w:t>
      </w:r>
    </w:p>
    <w:p w14:paraId="370CC07C"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7F412464" w14:textId="77777777" w:rsidR="006218D0"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rPr>
      </w:pPr>
      <w:r w:rsidRPr="005516CD">
        <w:rPr>
          <w:rFonts w:asciiTheme="majorHAnsi" w:hAnsiTheme="majorHAnsi" w:cstheme="majorHAnsi"/>
          <w:color w:val="000000" w:themeColor="text1"/>
          <w:sz w:val="20"/>
          <w:szCs w:val="20"/>
          <w:lang w:val="en-US"/>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011E1E3F" w14:textId="77777777" w:rsidR="00224AD7" w:rsidRPr="005516CD" w:rsidRDefault="006218D0" w:rsidP="003B2210">
      <w:pPr>
        <w:numPr>
          <w:ilvl w:val="0"/>
          <w:numId w:val="176"/>
        </w:numPr>
        <w:tabs>
          <w:tab w:val="left" w:pos="426"/>
        </w:tabs>
        <w:spacing w:after="120"/>
        <w:ind w:left="0" w:right="96" w:firstLine="0"/>
        <w:jc w:val="both"/>
        <w:rPr>
          <w:rFonts w:asciiTheme="majorHAnsi" w:hAnsiTheme="majorHAnsi" w:cstheme="majorHAnsi"/>
          <w:color w:val="000000" w:themeColor="text1"/>
          <w:sz w:val="20"/>
          <w:szCs w:val="20"/>
          <w:lang w:val="en-US"/>
        </w:rPr>
        <w:sectPr w:rsidR="00224AD7" w:rsidRPr="005516CD" w:rsidSect="001075E3">
          <w:pgSz w:w="11900" w:h="16840"/>
          <w:pgMar w:top="1440" w:right="1440" w:bottom="1440" w:left="1440" w:header="708" w:footer="432" w:gutter="0"/>
          <w:cols w:space="720"/>
          <w:docGrid w:linePitch="326"/>
        </w:sectPr>
      </w:pPr>
      <w:r w:rsidRPr="005516CD">
        <w:rPr>
          <w:rFonts w:asciiTheme="majorHAnsi" w:hAnsiTheme="majorHAnsi" w:cstheme="majorHAnsi"/>
          <w:color w:val="000000" w:themeColor="text1"/>
          <w:sz w:val="20"/>
          <w:szCs w:val="20"/>
          <w:lang w:val="en-US"/>
        </w:rPr>
        <w:t>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mutatis mutandis, in all sub-contracts or sub-agreements entered into further to this Project Document.</w:t>
      </w:r>
    </w:p>
    <w:p w14:paraId="7B7B0B8F" w14:textId="77777777" w:rsidR="001771FE" w:rsidRPr="005516CD" w:rsidRDefault="00045B04" w:rsidP="003B2210">
      <w:pPr>
        <w:pStyle w:val="Heading2"/>
        <w:numPr>
          <w:ilvl w:val="0"/>
          <w:numId w:val="164"/>
        </w:numPr>
        <w:spacing w:after="120"/>
        <w:rPr>
          <w:rFonts w:ascii="Calibri" w:eastAsia="Calibri" w:hAnsi="Calibri" w:cs="Calibri"/>
          <w:caps/>
          <w:sz w:val="22"/>
          <w:lang w:val="en-US"/>
        </w:rPr>
      </w:pPr>
      <w:bookmarkStart w:id="97" w:name="_Toc8933105"/>
      <w:r w:rsidRPr="005516CD">
        <w:rPr>
          <w:rFonts w:ascii="Calibri" w:eastAsia="Calibri" w:hAnsi="Calibri" w:cs="Calibri"/>
          <w:caps/>
          <w:sz w:val="22"/>
          <w:lang w:val="en-US"/>
        </w:rPr>
        <w:t>Mandatory Annexes</w:t>
      </w:r>
      <w:bookmarkEnd w:id="97"/>
    </w:p>
    <w:p w14:paraId="3A776164" w14:textId="77777777" w:rsidR="001771FE" w:rsidRPr="005516CD" w:rsidRDefault="00045B04" w:rsidP="00D66519">
      <w:pPr>
        <w:pStyle w:val="Heading2"/>
        <w:numPr>
          <w:ilvl w:val="0"/>
          <w:numId w:val="28"/>
        </w:numPr>
        <w:spacing w:after="0"/>
        <w:rPr>
          <w:rStyle w:val="None"/>
          <w:rFonts w:ascii="Calibri" w:eastAsia="Calibri" w:hAnsi="Calibri" w:cs="Calibri"/>
        </w:rPr>
      </w:pPr>
      <w:bookmarkStart w:id="98" w:name="_Toc8933106"/>
      <w:proofErr w:type="spellStart"/>
      <w:r w:rsidRPr="005516CD">
        <w:rPr>
          <w:rStyle w:val="None"/>
          <w:rFonts w:ascii="Calibri" w:eastAsia="Calibri" w:hAnsi="Calibri" w:cs="Calibri"/>
          <w:lang w:val="en-US"/>
        </w:rPr>
        <w:t>Multi year</w:t>
      </w:r>
      <w:proofErr w:type="spellEnd"/>
      <w:r w:rsidRPr="005516CD">
        <w:rPr>
          <w:rStyle w:val="None"/>
          <w:rFonts w:ascii="Calibri" w:eastAsia="Calibri" w:hAnsi="Calibri" w:cs="Calibri"/>
          <w:lang w:val="en-US"/>
        </w:rPr>
        <w:t xml:space="preserve"> Workplan</w:t>
      </w:r>
      <w:bookmarkEnd w:id="98"/>
    </w:p>
    <w:p w14:paraId="10E002B0" w14:textId="77777777" w:rsidR="005819D2" w:rsidRPr="005516CD" w:rsidRDefault="005819D2"/>
    <w:tbl>
      <w:tblPr>
        <w:tblStyle w:val="TableGrid"/>
        <w:tblW w:w="14118" w:type="dxa"/>
        <w:tblLook w:val="04A0" w:firstRow="1" w:lastRow="0" w:firstColumn="1" w:lastColumn="0" w:noHBand="0" w:noVBand="1"/>
      </w:tblPr>
      <w:tblGrid>
        <w:gridCol w:w="2169"/>
        <w:gridCol w:w="4170"/>
        <w:gridCol w:w="388"/>
        <w:gridCol w:w="389"/>
        <w:gridCol w:w="389"/>
        <w:gridCol w:w="389"/>
        <w:gridCol w:w="389"/>
        <w:gridCol w:w="389"/>
        <w:gridCol w:w="389"/>
        <w:gridCol w:w="389"/>
        <w:gridCol w:w="389"/>
        <w:gridCol w:w="389"/>
        <w:gridCol w:w="389"/>
        <w:gridCol w:w="389"/>
        <w:gridCol w:w="389"/>
        <w:gridCol w:w="389"/>
        <w:gridCol w:w="389"/>
        <w:gridCol w:w="389"/>
        <w:gridCol w:w="389"/>
        <w:gridCol w:w="389"/>
        <w:gridCol w:w="389"/>
        <w:gridCol w:w="389"/>
      </w:tblGrid>
      <w:tr w:rsidR="005819D2" w:rsidRPr="005516CD" w14:paraId="52A6E1DA" w14:textId="77777777" w:rsidTr="003B49EF">
        <w:trPr>
          <w:tblHeader/>
        </w:trPr>
        <w:tc>
          <w:tcPr>
            <w:tcW w:w="2169" w:type="dxa"/>
            <w:vMerge w:val="restart"/>
            <w:shd w:val="clear" w:color="auto" w:fill="BFBFBF" w:themeFill="background1" w:themeFillShade="BF"/>
          </w:tcPr>
          <w:p w14:paraId="7CD3C6BE"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Outputs</w:t>
            </w:r>
          </w:p>
        </w:tc>
        <w:tc>
          <w:tcPr>
            <w:tcW w:w="4170" w:type="dxa"/>
            <w:vMerge w:val="restart"/>
            <w:shd w:val="clear" w:color="auto" w:fill="BFBFBF" w:themeFill="background1" w:themeFillShade="BF"/>
          </w:tcPr>
          <w:p w14:paraId="637C58B0"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Activities</w:t>
            </w:r>
          </w:p>
        </w:tc>
        <w:tc>
          <w:tcPr>
            <w:tcW w:w="1555" w:type="dxa"/>
            <w:gridSpan w:val="4"/>
            <w:shd w:val="clear" w:color="auto" w:fill="BFBFBF" w:themeFill="background1" w:themeFillShade="BF"/>
          </w:tcPr>
          <w:p w14:paraId="346346E8"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Y1</w:t>
            </w:r>
          </w:p>
        </w:tc>
        <w:tc>
          <w:tcPr>
            <w:tcW w:w="1556" w:type="dxa"/>
            <w:gridSpan w:val="4"/>
            <w:shd w:val="clear" w:color="auto" w:fill="BFBFBF" w:themeFill="background1" w:themeFillShade="BF"/>
          </w:tcPr>
          <w:p w14:paraId="5FA40C7E"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Y2</w:t>
            </w:r>
          </w:p>
        </w:tc>
        <w:tc>
          <w:tcPr>
            <w:tcW w:w="1556" w:type="dxa"/>
            <w:gridSpan w:val="4"/>
            <w:shd w:val="clear" w:color="auto" w:fill="BFBFBF" w:themeFill="background1" w:themeFillShade="BF"/>
          </w:tcPr>
          <w:p w14:paraId="3380324A"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Y3</w:t>
            </w:r>
          </w:p>
        </w:tc>
        <w:tc>
          <w:tcPr>
            <w:tcW w:w="1556" w:type="dxa"/>
            <w:gridSpan w:val="4"/>
            <w:shd w:val="clear" w:color="auto" w:fill="BFBFBF" w:themeFill="background1" w:themeFillShade="BF"/>
          </w:tcPr>
          <w:p w14:paraId="581605AA"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Y4</w:t>
            </w:r>
          </w:p>
        </w:tc>
        <w:tc>
          <w:tcPr>
            <w:tcW w:w="1556" w:type="dxa"/>
            <w:gridSpan w:val="4"/>
            <w:shd w:val="clear" w:color="auto" w:fill="BFBFBF" w:themeFill="background1" w:themeFillShade="BF"/>
          </w:tcPr>
          <w:p w14:paraId="5FE44138"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Y5</w:t>
            </w:r>
          </w:p>
        </w:tc>
      </w:tr>
      <w:tr w:rsidR="005819D2" w:rsidRPr="005516CD" w14:paraId="01679571" w14:textId="77777777" w:rsidTr="003B49EF">
        <w:trPr>
          <w:tblHeader/>
        </w:trPr>
        <w:tc>
          <w:tcPr>
            <w:tcW w:w="2169" w:type="dxa"/>
            <w:vMerge/>
            <w:shd w:val="clear" w:color="auto" w:fill="BFBFBF" w:themeFill="background1" w:themeFillShade="BF"/>
          </w:tcPr>
          <w:p w14:paraId="6733403C" w14:textId="77777777" w:rsidR="005819D2" w:rsidRPr="005516CD" w:rsidRDefault="005819D2" w:rsidP="007B146B">
            <w:pPr>
              <w:jc w:val="center"/>
              <w:rPr>
                <w:rFonts w:asciiTheme="majorHAnsi" w:hAnsiTheme="majorHAnsi" w:cstheme="majorHAnsi"/>
                <w:b/>
                <w:sz w:val="20"/>
                <w:szCs w:val="20"/>
              </w:rPr>
            </w:pPr>
          </w:p>
        </w:tc>
        <w:tc>
          <w:tcPr>
            <w:tcW w:w="4170" w:type="dxa"/>
            <w:vMerge/>
            <w:shd w:val="clear" w:color="auto" w:fill="BFBFBF" w:themeFill="background1" w:themeFillShade="BF"/>
          </w:tcPr>
          <w:p w14:paraId="3434280C" w14:textId="77777777" w:rsidR="005819D2" w:rsidRPr="005516CD" w:rsidRDefault="005819D2" w:rsidP="007B146B">
            <w:pPr>
              <w:jc w:val="center"/>
              <w:rPr>
                <w:rFonts w:asciiTheme="majorHAnsi" w:hAnsiTheme="majorHAnsi" w:cstheme="majorHAnsi"/>
                <w:b/>
                <w:sz w:val="20"/>
                <w:szCs w:val="20"/>
              </w:rPr>
            </w:pPr>
          </w:p>
        </w:tc>
        <w:tc>
          <w:tcPr>
            <w:tcW w:w="388" w:type="dxa"/>
            <w:shd w:val="clear" w:color="auto" w:fill="BFBFBF" w:themeFill="background1" w:themeFillShade="BF"/>
          </w:tcPr>
          <w:p w14:paraId="4FF11D90"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1</w:t>
            </w:r>
          </w:p>
        </w:tc>
        <w:tc>
          <w:tcPr>
            <w:tcW w:w="389" w:type="dxa"/>
            <w:shd w:val="clear" w:color="auto" w:fill="BFBFBF" w:themeFill="background1" w:themeFillShade="BF"/>
          </w:tcPr>
          <w:p w14:paraId="700808E8"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2</w:t>
            </w:r>
          </w:p>
        </w:tc>
        <w:tc>
          <w:tcPr>
            <w:tcW w:w="389" w:type="dxa"/>
            <w:shd w:val="clear" w:color="auto" w:fill="BFBFBF" w:themeFill="background1" w:themeFillShade="BF"/>
          </w:tcPr>
          <w:p w14:paraId="7F4AA630"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3</w:t>
            </w:r>
          </w:p>
        </w:tc>
        <w:tc>
          <w:tcPr>
            <w:tcW w:w="389" w:type="dxa"/>
            <w:shd w:val="clear" w:color="auto" w:fill="BFBFBF" w:themeFill="background1" w:themeFillShade="BF"/>
          </w:tcPr>
          <w:p w14:paraId="6DD66DA8" w14:textId="77777777" w:rsidR="005819D2" w:rsidRPr="005516CD" w:rsidRDefault="005819D2" w:rsidP="007B146B">
            <w:pPr>
              <w:jc w:val="center"/>
              <w:rPr>
                <w:rFonts w:asciiTheme="majorHAnsi" w:hAnsiTheme="majorHAnsi" w:cstheme="majorHAnsi"/>
                <w:b/>
                <w:sz w:val="20"/>
                <w:szCs w:val="20"/>
              </w:rPr>
            </w:pPr>
            <w:r w:rsidRPr="005516CD">
              <w:rPr>
                <w:rFonts w:asciiTheme="majorHAnsi" w:hAnsiTheme="majorHAnsi" w:cstheme="majorHAnsi"/>
                <w:b/>
                <w:sz w:val="20"/>
                <w:szCs w:val="20"/>
              </w:rPr>
              <w:t>4</w:t>
            </w:r>
          </w:p>
        </w:tc>
        <w:tc>
          <w:tcPr>
            <w:tcW w:w="389" w:type="dxa"/>
            <w:shd w:val="clear" w:color="auto" w:fill="BFBFBF" w:themeFill="background1" w:themeFillShade="BF"/>
          </w:tcPr>
          <w:p w14:paraId="5639A75D"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1</w:t>
            </w:r>
          </w:p>
        </w:tc>
        <w:tc>
          <w:tcPr>
            <w:tcW w:w="389" w:type="dxa"/>
            <w:shd w:val="clear" w:color="auto" w:fill="BFBFBF" w:themeFill="background1" w:themeFillShade="BF"/>
          </w:tcPr>
          <w:p w14:paraId="7CD672D3"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2</w:t>
            </w:r>
          </w:p>
        </w:tc>
        <w:tc>
          <w:tcPr>
            <w:tcW w:w="389" w:type="dxa"/>
            <w:shd w:val="clear" w:color="auto" w:fill="BFBFBF" w:themeFill="background1" w:themeFillShade="BF"/>
          </w:tcPr>
          <w:p w14:paraId="49FFF2E7"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3</w:t>
            </w:r>
          </w:p>
        </w:tc>
        <w:tc>
          <w:tcPr>
            <w:tcW w:w="389" w:type="dxa"/>
            <w:shd w:val="clear" w:color="auto" w:fill="BFBFBF" w:themeFill="background1" w:themeFillShade="BF"/>
          </w:tcPr>
          <w:p w14:paraId="7B165145"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4</w:t>
            </w:r>
          </w:p>
        </w:tc>
        <w:tc>
          <w:tcPr>
            <w:tcW w:w="389" w:type="dxa"/>
            <w:shd w:val="clear" w:color="auto" w:fill="BFBFBF" w:themeFill="background1" w:themeFillShade="BF"/>
          </w:tcPr>
          <w:p w14:paraId="2238BD9A"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1</w:t>
            </w:r>
          </w:p>
        </w:tc>
        <w:tc>
          <w:tcPr>
            <w:tcW w:w="389" w:type="dxa"/>
            <w:shd w:val="clear" w:color="auto" w:fill="BFBFBF" w:themeFill="background1" w:themeFillShade="BF"/>
          </w:tcPr>
          <w:p w14:paraId="75CE8865"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2</w:t>
            </w:r>
          </w:p>
        </w:tc>
        <w:tc>
          <w:tcPr>
            <w:tcW w:w="389" w:type="dxa"/>
            <w:shd w:val="clear" w:color="auto" w:fill="BFBFBF" w:themeFill="background1" w:themeFillShade="BF"/>
          </w:tcPr>
          <w:p w14:paraId="0F538786"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3</w:t>
            </w:r>
          </w:p>
        </w:tc>
        <w:tc>
          <w:tcPr>
            <w:tcW w:w="389" w:type="dxa"/>
            <w:shd w:val="clear" w:color="auto" w:fill="BFBFBF" w:themeFill="background1" w:themeFillShade="BF"/>
          </w:tcPr>
          <w:p w14:paraId="1282EAD6"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4</w:t>
            </w:r>
          </w:p>
        </w:tc>
        <w:tc>
          <w:tcPr>
            <w:tcW w:w="389" w:type="dxa"/>
            <w:shd w:val="clear" w:color="auto" w:fill="BFBFBF" w:themeFill="background1" w:themeFillShade="BF"/>
          </w:tcPr>
          <w:p w14:paraId="4377CE56"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1</w:t>
            </w:r>
          </w:p>
        </w:tc>
        <w:tc>
          <w:tcPr>
            <w:tcW w:w="389" w:type="dxa"/>
            <w:shd w:val="clear" w:color="auto" w:fill="BFBFBF" w:themeFill="background1" w:themeFillShade="BF"/>
          </w:tcPr>
          <w:p w14:paraId="663394BA"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2</w:t>
            </w:r>
          </w:p>
        </w:tc>
        <w:tc>
          <w:tcPr>
            <w:tcW w:w="389" w:type="dxa"/>
            <w:shd w:val="clear" w:color="auto" w:fill="BFBFBF" w:themeFill="background1" w:themeFillShade="BF"/>
          </w:tcPr>
          <w:p w14:paraId="63DD9B74"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3</w:t>
            </w:r>
          </w:p>
        </w:tc>
        <w:tc>
          <w:tcPr>
            <w:tcW w:w="389" w:type="dxa"/>
            <w:shd w:val="clear" w:color="auto" w:fill="BFBFBF" w:themeFill="background1" w:themeFillShade="BF"/>
          </w:tcPr>
          <w:p w14:paraId="47A1A2F5"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4</w:t>
            </w:r>
          </w:p>
        </w:tc>
        <w:tc>
          <w:tcPr>
            <w:tcW w:w="389" w:type="dxa"/>
            <w:shd w:val="clear" w:color="auto" w:fill="BFBFBF" w:themeFill="background1" w:themeFillShade="BF"/>
          </w:tcPr>
          <w:p w14:paraId="1EF56779"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1</w:t>
            </w:r>
          </w:p>
        </w:tc>
        <w:tc>
          <w:tcPr>
            <w:tcW w:w="389" w:type="dxa"/>
            <w:shd w:val="clear" w:color="auto" w:fill="BFBFBF" w:themeFill="background1" w:themeFillShade="BF"/>
          </w:tcPr>
          <w:p w14:paraId="478F57F6"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2</w:t>
            </w:r>
          </w:p>
        </w:tc>
        <w:tc>
          <w:tcPr>
            <w:tcW w:w="389" w:type="dxa"/>
            <w:shd w:val="clear" w:color="auto" w:fill="BFBFBF" w:themeFill="background1" w:themeFillShade="BF"/>
          </w:tcPr>
          <w:p w14:paraId="612E4B63"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3</w:t>
            </w:r>
          </w:p>
        </w:tc>
        <w:tc>
          <w:tcPr>
            <w:tcW w:w="389" w:type="dxa"/>
            <w:shd w:val="clear" w:color="auto" w:fill="BFBFBF" w:themeFill="background1" w:themeFillShade="BF"/>
          </w:tcPr>
          <w:p w14:paraId="480EF8B2" w14:textId="77777777" w:rsidR="005819D2" w:rsidRPr="005516CD" w:rsidRDefault="005819D2" w:rsidP="007B146B">
            <w:pPr>
              <w:ind w:left="-231" w:right="-162"/>
              <w:jc w:val="center"/>
              <w:rPr>
                <w:rFonts w:asciiTheme="majorHAnsi" w:hAnsiTheme="majorHAnsi" w:cstheme="majorHAnsi"/>
                <w:b/>
                <w:sz w:val="20"/>
                <w:szCs w:val="20"/>
              </w:rPr>
            </w:pPr>
            <w:r w:rsidRPr="005516CD">
              <w:rPr>
                <w:rFonts w:asciiTheme="majorHAnsi" w:hAnsiTheme="majorHAnsi" w:cstheme="majorHAnsi"/>
                <w:b/>
                <w:sz w:val="20"/>
                <w:szCs w:val="20"/>
              </w:rPr>
              <w:t>4</w:t>
            </w:r>
          </w:p>
        </w:tc>
      </w:tr>
      <w:tr w:rsidR="005819D2" w:rsidRPr="005516CD" w14:paraId="6CBE7679" w14:textId="77777777" w:rsidTr="003B49EF">
        <w:tc>
          <w:tcPr>
            <w:tcW w:w="6339" w:type="dxa"/>
            <w:gridSpan w:val="2"/>
          </w:tcPr>
          <w:p w14:paraId="7DDCBC2E" w14:textId="77777777" w:rsidR="005819D2" w:rsidRPr="005516CD" w:rsidRDefault="005819D2" w:rsidP="008F0E42">
            <w:pPr>
              <w:ind w:left="-55" w:right="-30"/>
              <w:rPr>
                <w:rFonts w:asciiTheme="majorHAnsi" w:hAnsiTheme="majorHAnsi" w:cstheme="majorHAnsi"/>
                <w:sz w:val="20"/>
                <w:szCs w:val="20"/>
              </w:rPr>
            </w:pPr>
            <w:r w:rsidRPr="005516CD">
              <w:rPr>
                <w:rFonts w:asciiTheme="majorHAnsi" w:hAnsiTheme="majorHAnsi" w:cstheme="majorHAnsi"/>
                <w:sz w:val="20"/>
                <w:szCs w:val="20"/>
              </w:rPr>
              <w:t>Contracting of project team</w:t>
            </w:r>
          </w:p>
        </w:tc>
        <w:tc>
          <w:tcPr>
            <w:tcW w:w="388" w:type="dxa"/>
            <w:shd w:val="clear" w:color="auto" w:fill="auto"/>
          </w:tcPr>
          <w:p w14:paraId="182C3065" w14:textId="77777777" w:rsidR="005819D2" w:rsidRPr="005516CD" w:rsidRDefault="003B49EF" w:rsidP="008F0E42">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72493F1F" w14:textId="77777777" w:rsidR="005819D2" w:rsidRPr="005516CD" w:rsidRDefault="003B49EF" w:rsidP="008F0E42">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7F077D72" w14:textId="77777777" w:rsidR="005819D2" w:rsidRPr="005516CD" w:rsidRDefault="005819D2" w:rsidP="008F0E42">
            <w:pPr>
              <w:ind w:left="-55" w:right="-30"/>
              <w:rPr>
                <w:rFonts w:asciiTheme="majorHAnsi" w:hAnsiTheme="majorHAnsi" w:cstheme="majorHAnsi"/>
                <w:sz w:val="20"/>
                <w:szCs w:val="20"/>
              </w:rPr>
            </w:pPr>
          </w:p>
        </w:tc>
        <w:tc>
          <w:tcPr>
            <w:tcW w:w="389" w:type="dxa"/>
            <w:shd w:val="clear" w:color="auto" w:fill="auto"/>
          </w:tcPr>
          <w:p w14:paraId="5D6481E9" w14:textId="77777777" w:rsidR="005819D2" w:rsidRPr="005516CD" w:rsidRDefault="005819D2" w:rsidP="008F0E42">
            <w:pPr>
              <w:ind w:left="-55" w:right="-30"/>
              <w:rPr>
                <w:rFonts w:asciiTheme="majorHAnsi" w:hAnsiTheme="majorHAnsi" w:cstheme="majorHAnsi"/>
                <w:sz w:val="20"/>
                <w:szCs w:val="20"/>
              </w:rPr>
            </w:pPr>
          </w:p>
        </w:tc>
        <w:tc>
          <w:tcPr>
            <w:tcW w:w="389" w:type="dxa"/>
            <w:shd w:val="clear" w:color="auto" w:fill="F2F2F2" w:themeFill="background1" w:themeFillShade="F2"/>
          </w:tcPr>
          <w:p w14:paraId="73D8BF74"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D35AFFD"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FAD57A5"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80853DE"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22866077"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182F6F87"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6ED64DA8"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2E6E080A"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E373196"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6762C0C"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E84990E"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FF09FF9"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7D361741"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1F2705F0"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371B7C43"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347AF965" w14:textId="77777777" w:rsidR="005819D2" w:rsidRPr="005516CD" w:rsidRDefault="005819D2" w:rsidP="008F0E42">
            <w:pPr>
              <w:ind w:left="-232" w:right="-164"/>
              <w:jc w:val="center"/>
              <w:rPr>
                <w:rFonts w:asciiTheme="majorHAnsi" w:hAnsiTheme="majorHAnsi" w:cstheme="majorHAnsi"/>
                <w:sz w:val="20"/>
                <w:szCs w:val="20"/>
              </w:rPr>
            </w:pPr>
          </w:p>
        </w:tc>
      </w:tr>
      <w:tr w:rsidR="005819D2" w:rsidRPr="005516CD" w14:paraId="509C37D4" w14:textId="77777777" w:rsidTr="003B49EF">
        <w:tc>
          <w:tcPr>
            <w:tcW w:w="6339" w:type="dxa"/>
            <w:gridSpan w:val="2"/>
          </w:tcPr>
          <w:p w14:paraId="61D3F78A" w14:textId="77777777" w:rsidR="005819D2" w:rsidRPr="005516CD" w:rsidRDefault="005819D2" w:rsidP="008F0E42">
            <w:pPr>
              <w:ind w:left="-55" w:right="-30"/>
              <w:rPr>
                <w:rFonts w:asciiTheme="majorHAnsi" w:hAnsiTheme="majorHAnsi" w:cstheme="majorHAnsi"/>
                <w:sz w:val="20"/>
                <w:szCs w:val="20"/>
              </w:rPr>
            </w:pPr>
            <w:r w:rsidRPr="005516CD">
              <w:rPr>
                <w:rFonts w:asciiTheme="majorHAnsi" w:hAnsiTheme="majorHAnsi" w:cstheme="majorHAnsi"/>
                <w:sz w:val="20"/>
                <w:szCs w:val="20"/>
              </w:rPr>
              <w:t>Procurement of project field and office equipment</w:t>
            </w:r>
          </w:p>
        </w:tc>
        <w:tc>
          <w:tcPr>
            <w:tcW w:w="388" w:type="dxa"/>
            <w:shd w:val="clear" w:color="auto" w:fill="auto"/>
          </w:tcPr>
          <w:p w14:paraId="1BCC6571" w14:textId="77777777" w:rsidR="005819D2" w:rsidRPr="005516CD" w:rsidRDefault="003B49EF" w:rsidP="008F0E42">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0B5C60A4" w14:textId="77777777" w:rsidR="005819D2" w:rsidRPr="005516CD" w:rsidRDefault="003B49EF" w:rsidP="008F0E42">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71F43D14" w14:textId="77777777" w:rsidR="005819D2" w:rsidRPr="005516CD" w:rsidRDefault="005819D2" w:rsidP="008F0E42">
            <w:pPr>
              <w:ind w:left="-55" w:right="-30"/>
              <w:rPr>
                <w:rFonts w:asciiTheme="majorHAnsi" w:hAnsiTheme="majorHAnsi" w:cstheme="majorHAnsi"/>
                <w:sz w:val="20"/>
                <w:szCs w:val="20"/>
              </w:rPr>
            </w:pPr>
          </w:p>
        </w:tc>
        <w:tc>
          <w:tcPr>
            <w:tcW w:w="389" w:type="dxa"/>
            <w:shd w:val="clear" w:color="auto" w:fill="auto"/>
          </w:tcPr>
          <w:p w14:paraId="41D82FBC" w14:textId="77777777" w:rsidR="005819D2" w:rsidRPr="005516CD" w:rsidRDefault="005819D2" w:rsidP="008F0E42">
            <w:pPr>
              <w:ind w:left="-55" w:right="-30"/>
              <w:rPr>
                <w:rFonts w:asciiTheme="majorHAnsi" w:hAnsiTheme="majorHAnsi" w:cstheme="majorHAnsi"/>
                <w:sz w:val="20"/>
                <w:szCs w:val="20"/>
              </w:rPr>
            </w:pPr>
          </w:p>
        </w:tc>
        <w:tc>
          <w:tcPr>
            <w:tcW w:w="389" w:type="dxa"/>
            <w:shd w:val="clear" w:color="auto" w:fill="F2F2F2" w:themeFill="background1" w:themeFillShade="F2"/>
          </w:tcPr>
          <w:p w14:paraId="1DAC28B9"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0A30A7C"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9D6299D"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8073B88"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7883C5E4"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724BB4D6"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5D655D11"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14B0419A"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8D15E0D"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311FFE7"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492F8F8"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565F07A"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02C73C82"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306905F1"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4815C9AA"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06E66ACF" w14:textId="77777777" w:rsidR="005819D2" w:rsidRPr="005516CD" w:rsidRDefault="005819D2" w:rsidP="008F0E42">
            <w:pPr>
              <w:ind w:left="-232" w:right="-164"/>
              <w:jc w:val="center"/>
              <w:rPr>
                <w:rFonts w:asciiTheme="majorHAnsi" w:hAnsiTheme="majorHAnsi" w:cstheme="majorHAnsi"/>
                <w:sz w:val="20"/>
                <w:szCs w:val="20"/>
              </w:rPr>
            </w:pPr>
          </w:p>
        </w:tc>
      </w:tr>
      <w:tr w:rsidR="005819D2" w:rsidRPr="005516CD" w14:paraId="3294519D" w14:textId="77777777" w:rsidTr="003B49EF">
        <w:tc>
          <w:tcPr>
            <w:tcW w:w="6339" w:type="dxa"/>
            <w:gridSpan w:val="2"/>
          </w:tcPr>
          <w:p w14:paraId="14169570" w14:textId="77777777" w:rsidR="005819D2" w:rsidRPr="005516CD" w:rsidRDefault="005819D2" w:rsidP="008F0E42">
            <w:pPr>
              <w:ind w:left="-55" w:right="-30"/>
              <w:rPr>
                <w:rFonts w:asciiTheme="majorHAnsi" w:hAnsiTheme="majorHAnsi" w:cstheme="majorHAnsi"/>
                <w:sz w:val="20"/>
                <w:szCs w:val="20"/>
              </w:rPr>
            </w:pPr>
            <w:r w:rsidRPr="005516CD">
              <w:rPr>
                <w:rFonts w:asciiTheme="majorHAnsi" w:hAnsiTheme="majorHAnsi" w:cstheme="majorHAnsi"/>
                <w:sz w:val="20"/>
                <w:szCs w:val="20"/>
              </w:rPr>
              <w:t>Formulation of procedural, strategic and conceptual guidance materials for project implementation</w:t>
            </w:r>
          </w:p>
        </w:tc>
        <w:tc>
          <w:tcPr>
            <w:tcW w:w="388" w:type="dxa"/>
            <w:shd w:val="clear" w:color="auto" w:fill="auto"/>
          </w:tcPr>
          <w:p w14:paraId="416F9FDC" w14:textId="77777777" w:rsidR="005819D2" w:rsidRPr="005516CD" w:rsidRDefault="003B49EF" w:rsidP="008F0E42">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7254A145" w14:textId="77777777" w:rsidR="005819D2" w:rsidRPr="005516CD" w:rsidRDefault="003B49EF" w:rsidP="008F0E42">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33BBD8EA" w14:textId="77777777" w:rsidR="005819D2" w:rsidRPr="005516CD" w:rsidRDefault="005819D2" w:rsidP="008F0E42">
            <w:pPr>
              <w:ind w:left="-55" w:right="-30"/>
              <w:rPr>
                <w:rFonts w:asciiTheme="majorHAnsi" w:hAnsiTheme="majorHAnsi" w:cstheme="majorHAnsi"/>
                <w:sz w:val="20"/>
                <w:szCs w:val="20"/>
              </w:rPr>
            </w:pPr>
          </w:p>
        </w:tc>
        <w:tc>
          <w:tcPr>
            <w:tcW w:w="389" w:type="dxa"/>
            <w:shd w:val="clear" w:color="auto" w:fill="auto"/>
          </w:tcPr>
          <w:p w14:paraId="487D64CB" w14:textId="77777777" w:rsidR="005819D2" w:rsidRPr="005516CD" w:rsidRDefault="005819D2" w:rsidP="008F0E42">
            <w:pPr>
              <w:ind w:left="-55" w:right="-30"/>
              <w:rPr>
                <w:rFonts w:asciiTheme="majorHAnsi" w:hAnsiTheme="majorHAnsi" w:cstheme="majorHAnsi"/>
                <w:sz w:val="20"/>
                <w:szCs w:val="20"/>
              </w:rPr>
            </w:pPr>
          </w:p>
        </w:tc>
        <w:tc>
          <w:tcPr>
            <w:tcW w:w="389" w:type="dxa"/>
            <w:shd w:val="clear" w:color="auto" w:fill="F2F2F2" w:themeFill="background1" w:themeFillShade="F2"/>
          </w:tcPr>
          <w:p w14:paraId="0D90AD25"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24F1F6A"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074D71D"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D6D3075"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30E8B679"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6AACFBBF"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0942CCA5"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62B18BE3"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0507B46"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A961747"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B07D962"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72B4F3A"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038B60FB"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151428CB"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416DC2A5" w14:textId="77777777" w:rsidR="005819D2" w:rsidRPr="005516CD" w:rsidRDefault="005819D2" w:rsidP="008F0E42">
            <w:pPr>
              <w:ind w:left="-232" w:right="-164"/>
              <w:jc w:val="center"/>
              <w:rPr>
                <w:rFonts w:asciiTheme="majorHAnsi" w:hAnsiTheme="majorHAnsi" w:cstheme="majorHAnsi"/>
                <w:sz w:val="20"/>
                <w:szCs w:val="20"/>
              </w:rPr>
            </w:pPr>
          </w:p>
        </w:tc>
        <w:tc>
          <w:tcPr>
            <w:tcW w:w="389" w:type="dxa"/>
          </w:tcPr>
          <w:p w14:paraId="2AD1180C" w14:textId="77777777" w:rsidR="005819D2" w:rsidRPr="005516CD" w:rsidRDefault="005819D2" w:rsidP="008F0E42">
            <w:pPr>
              <w:ind w:left="-232" w:right="-164"/>
              <w:jc w:val="center"/>
              <w:rPr>
                <w:rFonts w:asciiTheme="majorHAnsi" w:hAnsiTheme="majorHAnsi" w:cstheme="majorHAnsi"/>
                <w:sz w:val="20"/>
                <w:szCs w:val="20"/>
              </w:rPr>
            </w:pPr>
          </w:p>
        </w:tc>
      </w:tr>
      <w:tr w:rsidR="005819D2" w:rsidRPr="005516CD" w14:paraId="7EB5AC48" w14:textId="77777777" w:rsidTr="003B49EF">
        <w:tc>
          <w:tcPr>
            <w:tcW w:w="14118" w:type="dxa"/>
            <w:gridSpan w:val="22"/>
            <w:shd w:val="clear" w:color="auto" w:fill="D9D9D9" w:themeFill="background1" w:themeFillShade="D9"/>
          </w:tcPr>
          <w:p w14:paraId="7F0BB1EC" w14:textId="77777777" w:rsidR="005819D2" w:rsidRPr="005516CD" w:rsidRDefault="005819D2" w:rsidP="003C3AC2">
            <w:pPr>
              <w:ind w:left="-115" w:right="-164"/>
              <w:rPr>
                <w:rFonts w:asciiTheme="majorHAnsi" w:hAnsiTheme="majorHAnsi" w:cstheme="majorHAnsi"/>
                <w:sz w:val="20"/>
                <w:szCs w:val="20"/>
              </w:rPr>
            </w:pPr>
            <w:r w:rsidRPr="005516CD">
              <w:rPr>
                <w:rFonts w:asciiTheme="majorHAnsi" w:hAnsiTheme="majorHAnsi" w:cstheme="majorHAnsi"/>
                <w:b/>
                <w:i/>
                <w:sz w:val="20"/>
                <w:szCs w:val="20"/>
              </w:rPr>
              <w:t>Output 1.1 Decision making tools to optimize the configuration of landscape elements in relation to spatial aspects of connectivity, biological importance, production potential, vulnerability and flows of ecosystem services</w:t>
            </w:r>
          </w:p>
        </w:tc>
      </w:tr>
      <w:tr w:rsidR="005819D2" w:rsidRPr="005516CD" w14:paraId="22D9F947" w14:textId="77777777" w:rsidTr="003B49EF">
        <w:tc>
          <w:tcPr>
            <w:tcW w:w="2169" w:type="dxa"/>
            <w:vMerge w:val="restart"/>
          </w:tcPr>
          <w:p w14:paraId="1A9F489C"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between w:val="none" w:sz="0" w:space="0" w:color="auto"/>
                <w:bar w:val="none" w:sz="0" w:color="auto"/>
              </w:pBdr>
              <w:tabs>
                <w:tab w:val="left" w:pos="319"/>
              </w:tabs>
              <w:ind w:left="-107" w:right="-60" w:firstLine="0"/>
              <w:rPr>
                <w:rFonts w:asciiTheme="majorHAnsi" w:hAnsiTheme="majorHAnsi" w:cstheme="majorHAnsi"/>
                <w:sz w:val="20"/>
                <w:szCs w:val="20"/>
              </w:rPr>
            </w:pPr>
            <w:r w:rsidRPr="005516CD">
              <w:rPr>
                <w:rFonts w:asciiTheme="majorHAnsi" w:hAnsiTheme="majorHAnsi" w:cstheme="majorHAnsi"/>
                <w:sz w:val="20"/>
                <w:szCs w:val="20"/>
              </w:rPr>
              <w:t xml:space="preserve">Region-wide framework for harmonizing interventions </w:t>
            </w:r>
          </w:p>
        </w:tc>
        <w:tc>
          <w:tcPr>
            <w:tcW w:w="4170" w:type="dxa"/>
          </w:tcPr>
          <w:p w14:paraId="6BB14549"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Studies and analyses to generate technical inputs for development of framework</w:t>
            </w:r>
          </w:p>
        </w:tc>
        <w:tc>
          <w:tcPr>
            <w:tcW w:w="388" w:type="dxa"/>
            <w:shd w:val="clear" w:color="auto" w:fill="auto"/>
          </w:tcPr>
          <w:p w14:paraId="0ABBFFB4"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94D4B5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5515114"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2BA056BE"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12C6EC5"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0A25ACC"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F823F2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2BD2BA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E40B53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375732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BD0378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DEFEA8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804E96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F7ADC4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7614AB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A7B12F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E92423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C03780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C20469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D3FC79F"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2CEA7A13" w14:textId="77777777" w:rsidTr="003B49EF">
        <w:tc>
          <w:tcPr>
            <w:tcW w:w="2169" w:type="dxa"/>
            <w:vMerge/>
          </w:tcPr>
          <w:p w14:paraId="1F3CDC75"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between w:val="none" w:sz="0" w:space="0" w:color="auto"/>
                <w:bar w:val="none" w:sz="0" w:color="auto"/>
              </w:pBdr>
              <w:tabs>
                <w:tab w:val="left" w:pos="319"/>
              </w:tabs>
              <w:ind w:left="-107" w:firstLine="0"/>
              <w:rPr>
                <w:rFonts w:asciiTheme="majorHAnsi" w:hAnsiTheme="majorHAnsi" w:cstheme="majorHAnsi"/>
                <w:sz w:val="20"/>
                <w:szCs w:val="20"/>
              </w:rPr>
            </w:pPr>
          </w:p>
        </w:tc>
        <w:tc>
          <w:tcPr>
            <w:tcW w:w="4170" w:type="dxa"/>
          </w:tcPr>
          <w:p w14:paraId="7CE228CD"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Multi-stakeholder development of region-wide framework</w:t>
            </w:r>
          </w:p>
        </w:tc>
        <w:tc>
          <w:tcPr>
            <w:tcW w:w="388" w:type="dxa"/>
            <w:shd w:val="clear" w:color="auto" w:fill="auto"/>
          </w:tcPr>
          <w:p w14:paraId="0B44387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335CCD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1FF6D9A"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4F1C9A91"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7627C8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850F8D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5669B0F"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C57513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CD3586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2F2AAA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289969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3631B7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C215A5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69327E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66E852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8F7513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2F42E6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CA4394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336EE6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D64BE6F"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709C2EED" w14:textId="77777777" w:rsidTr="003B49EF">
        <w:tc>
          <w:tcPr>
            <w:tcW w:w="2169" w:type="dxa"/>
            <w:vMerge w:val="restart"/>
          </w:tcPr>
          <w:p w14:paraId="3A59E4E6"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right="-60" w:firstLine="0"/>
              <w:rPr>
                <w:rFonts w:asciiTheme="majorHAnsi" w:hAnsiTheme="majorHAnsi" w:cstheme="majorHAnsi"/>
                <w:sz w:val="20"/>
                <w:szCs w:val="20"/>
              </w:rPr>
            </w:pPr>
            <w:r w:rsidRPr="005516CD">
              <w:rPr>
                <w:rFonts w:asciiTheme="majorHAnsi" w:hAnsiTheme="majorHAnsi" w:cstheme="majorHAnsi"/>
                <w:sz w:val="20"/>
                <w:szCs w:val="20"/>
              </w:rPr>
              <w:t>Social and economic development plans formulated and implemented by local governments that include provisions for the promotion of BD-friendly production systems</w:t>
            </w:r>
          </w:p>
        </w:tc>
        <w:tc>
          <w:tcPr>
            <w:tcW w:w="4170" w:type="dxa"/>
          </w:tcPr>
          <w:p w14:paraId="25AF15A9"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Introductory planning meetings with local Governments</w:t>
            </w:r>
          </w:p>
        </w:tc>
        <w:tc>
          <w:tcPr>
            <w:tcW w:w="388" w:type="dxa"/>
            <w:shd w:val="clear" w:color="auto" w:fill="auto"/>
          </w:tcPr>
          <w:p w14:paraId="48DEC08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48C9D2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17513FE"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438CCDAA"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BBADD29"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AC31EA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A7C8FD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7A6FF6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CA0D32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0D17CF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FB4355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F6E74F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B89E9F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4E1987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DA246F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588A39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5F853A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2AE4DA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3E55ED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174959C"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42A48349" w14:textId="77777777" w:rsidTr="003B49EF">
        <w:tc>
          <w:tcPr>
            <w:tcW w:w="2169" w:type="dxa"/>
            <w:vMerge/>
          </w:tcPr>
          <w:p w14:paraId="32C12F36"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p>
        </w:tc>
        <w:tc>
          <w:tcPr>
            <w:tcW w:w="4170" w:type="dxa"/>
          </w:tcPr>
          <w:p w14:paraId="383D0C66"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Studies and analyses to generate technical inputs for development of planning instruments</w:t>
            </w:r>
          </w:p>
        </w:tc>
        <w:tc>
          <w:tcPr>
            <w:tcW w:w="388" w:type="dxa"/>
            <w:shd w:val="clear" w:color="auto" w:fill="auto"/>
          </w:tcPr>
          <w:p w14:paraId="1911807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F7A462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0E1EF61"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16A93255"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3FCB56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0C8180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74F3FE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654507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B9F0E1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FEC58A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912DA4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34C080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6DC6CD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147BFA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890642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65FEB8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8DAE04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FDAB58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47386B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F03DF91"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507AF7C9" w14:textId="77777777" w:rsidTr="003B49EF">
        <w:tc>
          <w:tcPr>
            <w:tcW w:w="2169" w:type="dxa"/>
            <w:vMerge/>
          </w:tcPr>
          <w:p w14:paraId="3C4D578B"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p>
        </w:tc>
        <w:tc>
          <w:tcPr>
            <w:tcW w:w="4170" w:type="dxa"/>
          </w:tcPr>
          <w:p w14:paraId="7E244908"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Review of planning instruments and definition of needs for action</w:t>
            </w:r>
          </w:p>
        </w:tc>
        <w:tc>
          <w:tcPr>
            <w:tcW w:w="388" w:type="dxa"/>
            <w:shd w:val="clear" w:color="auto" w:fill="auto"/>
          </w:tcPr>
          <w:p w14:paraId="5112BA6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686F7F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2E45937"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5D3F3E36"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E42966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B90BFC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B198D95"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E595CA0"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5435B9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41E68AF"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DA2C27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80B0E3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B2E578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BE0012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B98F05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549E64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F14A23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5A0D39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5E1B14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E5BBD52"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6E07FB94" w14:textId="77777777" w:rsidTr="003B49EF">
        <w:tc>
          <w:tcPr>
            <w:tcW w:w="2169" w:type="dxa"/>
            <w:vMerge/>
          </w:tcPr>
          <w:p w14:paraId="1880C3BF"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p>
        </w:tc>
        <w:tc>
          <w:tcPr>
            <w:tcW w:w="4170" w:type="dxa"/>
          </w:tcPr>
          <w:p w14:paraId="1EE2352E"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Capacity development for development and updating of planning instruments</w:t>
            </w:r>
          </w:p>
        </w:tc>
        <w:tc>
          <w:tcPr>
            <w:tcW w:w="388" w:type="dxa"/>
            <w:shd w:val="clear" w:color="auto" w:fill="auto"/>
          </w:tcPr>
          <w:p w14:paraId="671EE16D"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6BB09E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077038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0CF6FD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510279A0"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700C5E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3B4A2B5"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3D2BC4A"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68E481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B714339"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32CAE8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42F920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00230D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F17D90E"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0EED61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597E85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FB8AC4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AB6818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694E2E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8D27CBB"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14941092" w14:textId="77777777" w:rsidTr="003B49EF">
        <w:tc>
          <w:tcPr>
            <w:tcW w:w="2169" w:type="dxa"/>
            <w:vMerge w:val="restart"/>
          </w:tcPr>
          <w:p w14:paraId="434B6150"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right="-60" w:firstLine="0"/>
              <w:rPr>
                <w:rFonts w:asciiTheme="majorHAnsi" w:hAnsiTheme="majorHAnsi" w:cstheme="majorHAnsi"/>
                <w:sz w:val="20"/>
                <w:szCs w:val="20"/>
              </w:rPr>
            </w:pPr>
            <w:r w:rsidRPr="005516CD">
              <w:rPr>
                <w:rFonts w:asciiTheme="majorHAnsi" w:hAnsiTheme="majorHAnsi" w:cstheme="majorHAnsi"/>
                <w:sz w:val="20"/>
                <w:szCs w:val="20"/>
              </w:rPr>
              <w:t>Systems for environmental monitoring and information management at landscape level</w:t>
            </w:r>
          </w:p>
        </w:tc>
        <w:tc>
          <w:tcPr>
            <w:tcW w:w="4170" w:type="dxa"/>
          </w:tcPr>
          <w:p w14:paraId="3DE12057"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Review of existing monitoring systems</w:t>
            </w:r>
          </w:p>
        </w:tc>
        <w:tc>
          <w:tcPr>
            <w:tcW w:w="388" w:type="dxa"/>
            <w:shd w:val="clear" w:color="auto" w:fill="auto"/>
          </w:tcPr>
          <w:p w14:paraId="00A2812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540621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20018C6"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18C33215" w14:textId="77777777" w:rsidR="005819D2" w:rsidRPr="005516CD" w:rsidRDefault="00AF3CA9"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365146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7CCF69C"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D1D78D0"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EB0C1F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E0E0B0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BCAE85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23FF35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A6686F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A54034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40E7CF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ADC856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8F6249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5E7B2C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4C1DC4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C2D3A4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E22B559"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6E756243" w14:textId="77777777" w:rsidTr="003B49EF">
        <w:tc>
          <w:tcPr>
            <w:tcW w:w="2169" w:type="dxa"/>
            <w:vMerge/>
          </w:tcPr>
          <w:p w14:paraId="0F4C609F"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p>
        </w:tc>
        <w:tc>
          <w:tcPr>
            <w:tcW w:w="4170" w:type="dxa"/>
          </w:tcPr>
          <w:p w14:paraId="0023745B"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Development of strategies and plans for strengthening of systems and capacities</w:t>
            </w:r>
          </w:p>
        </w:tc>
        <w:tc>
          <w:tcPr>
            <w:tcW w:w="388" w:type="dxa"/>
            <w:shd w:val="clear" w:color="auto" w:fill="auto"/>
          </w:tcPr>
          <w:p w14:paraId="6B336A3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E7E07A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3F7C9A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400433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59207C1C"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E462F2A"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58C34CC"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ED26E7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9E3DA7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540D2E9"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2E7F9A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86160AC"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AC67AA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B5B4BA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8722559"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E0FC5E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E27675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8B522B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801AEB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39822A2"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63787CC1" w14:textId="77777777" w:rsidTr="003B49EF">
        <w:tc>
          <w:tcPr>
            <w:tcW w:w="2169" w:type="dxa"/>
            <w:vMerge/>
          </w:tcPr>
          <w:p w14:paraId="28479422"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p>
        </w:tc>
        <w:tc>
          <w:tcPr>
            <w:tcW w:w="4170" w:type="dxa"/>
          </w:tcPr>
          <w:p w14:paraId="5D0AB67D"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Training of local Government staff</w:t>
            </w:r>
          </w:p>
        </w:tc>
        <w:tc>
          <w:tcPr>
            <w:tcW w:w="388" w:type="dxa"/>
            <w:shd w:val="clear" w:color="auto" w:fill="auto"/>
          </w:tcPr>
          <w:p w14:paraId="7F07C6F4"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8686DE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94D537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687010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344011E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8FAF3EE"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E6CA95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9A9F53A"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831A4EF"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391501F"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8BB934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F0EA2E1"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F8B442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CC2E27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B76B59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4212AE9"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7780A4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3302E2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A6648A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0FE365D"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573882A4" w14:textId="77777777" w:rsidTr="003B49EF">
        <w:tc>
          <w:tcPr>
            <w:tcW w:w="2169" w:type="dxa"/>
            <w:vMerge/>
          </w:tcPr>
          <w:p w14:paraId="2056D267"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p>
        </w:tc>
        <w:tc>
          <w:tcPr>
            <w:tcW w:w="4170" w:type="dxa"/>
          </w:tcPr>
          <w:p w14:paraId="3DD28E89"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Development of monitoring and information management protocols</w:t>
            </w:r>
          </w:p>
        </w:tc>
        <w:tc>
          <w:tcPr>
            <w:tcW w:w="388" w:type="dxa"/>
            <w:shd w:val="clear" w:color="auto" w:fill="auto"/>
          </w:tcPr>
          <w:p w14:paraId="51B304C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BCBD69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5F3EF1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A29155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45244A00"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C37BFF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1CC11A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CCE83AC"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99E19F5"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1566F8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C011EE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20B58B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85815D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649AD8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392A2C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B7C8A5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3D4B6D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27885E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4B65A6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2B790BE"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4572559D" w14:textId="77777777" w:rsidTr="003B49EF">
        <w:tc>
          <w:tcPr>
            <w:tcW w:w="2169" w:type="dxa"/>
            <w:vMerge/>
          </w:tcPr>
          <w:p w14:paraId="2DF8C192"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p>
        </w:tc>
        <w:tc>
          <w:tcPr>
            <w:tcW w:w="4170" w:type="dxa"/>
          </w:tcPr>
          <w:p w14:paraId="3B26CF69"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Acquisition and installation of equipment</w:t>
            </w:r>
          </w:p>
        </w:tc>
        <w:tc>
          <w:tcPr>
            <w:tcW w:w="388" w:type="dxa"/>
            <w:shd w:val="clear" w:color="auto" w:fill="auto"/>
          </w:tcPr>
          <w:p w14:paraId="5AEFD30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D7F6BE4"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C5AD41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38703B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0DA583E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1C11BC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852FD8E"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2D5F1C5"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4A913D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56A1F81"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34764E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4F64E2E"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821FBE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AC98171"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F77B28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E09B7A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5D7086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56A8B5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36FA73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D6E2446"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4BB93586" w14:textId="77777777" w:rsidTr="003B49EF">
        <w:tc>
          <w:tcPr>
            <w:tcW w:w="2169" w:type="dxa"/>
            <w:vMerge/>
          </w:tcPr>
          <w:p w14:paraId="4E4B4D1D"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p>
        </w:tc>
        <w:tc>
          <w:tcPr>
            <w:tcW w:w="4170" w:type="dxa"/>
          </w:tcPr>
          <w:p w14:paraId="39DA2CA6"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Ongoing follow-up, oversight and on-the-job training</w:t>
            </w:r>
          </w:p>
        </w:tc>
        <w:tc>
          <w:tcPr>
            <w:tcW w:w="388" w:type="dxa"/>
            <w:shd w:val="clear" w:color="auto" w:fill="auto"/>
          </w:tcPr>
          <w:p w14:paraId="01EFB15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373836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18467E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F93BC5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51AD869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91103A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CC7063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A4694A5"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0C152F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3996D9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00EA80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D51E54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9D56D4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BCEBF5F"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590734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1A36DD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5B9C565"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2D689EF"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B767249"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A0B39E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r>
      <w:tr w:rsidR="005819D2" w:rsidRPr="005516CD" w14:paraId="31F51B1E" w14:textId="77777777" w:rsidTr="003B49EF">
        <w:tc>
          <w:tcPr>
            <w:tcW w:w="2169" w:type="dxa"/>
            <w:vMerge w:val="restart"/>
          </w:tcPr>
          <w:p w14:paraId="1B473105"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r w:rsidRPr="005516CD">
              <w:rPr>
                <w:rFonts w:asciiTheme="majorHAnsi" w:hAnsiTheme="majorHAnsi" w:cstheme="majorHAnsi"/>
                <w:sz w:val="20"/>
                <w:szCs w:val="20"/>
              </w:rPr>
              <w:t>Consolidation of the capacities of producer cooperatives/federations for monitoring the compliance of their member producers with environmental management and traceability standards</w:t>
            </w:r>
          </w:p>
        </w:tc>
        <w:tc>
          <w:tcPr>
            <w:tcW w:w="4170" w:type="dxa"/>
          </w:tcPr>
          <w:p w14:paraId="15305068"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Review of existing capacities and standards for compliance monitoring</w:t>
            </w:r>
          </w:p>
        </w:tc>
        <w:tc>
          <w:tcPr>
            <w:tcW w:w="388" w:type="dxa"/>
            <w:shd w:val="clear" w:color="auto" w:fill="auto"/>
          </w:tcPr>
          <w:p w14:paraId="7989531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4465541"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94170A9"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E8BD944"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761ABF5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B2AA0C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D66D30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CBA7A3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8EEDB6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E6304C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7BC5AA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FEFAB3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887327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5A7095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41F3FB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DDBAD1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F8C16E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C56B98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618AA0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B3F2EDA"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01DE759C" w14:textId="77777777" w:rsidTr="003B49EF">
        <w:tc>
          <w:tcPr>
            <w:tcW w:w="2169" w:type="dxa"/>
            <w:vMerge/>
          </w:tcPr>
          <w:p w14:paraId="231E1109"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p>
        </w:tc>
        <w:tc>
          <w:tcPr>
            <w:tcW w:w="4170" w:type="dxa"/>
          </w:tcPr>
          <w:p w14:paraId="53805684"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Development of compliance monitoring protocols</w:t>
            </w:r>
          </w:p>
        </w:tc>
        <w:tc>
          <w:tcPr>
            <w:tcW w:w="388" w:type="dxa"/>
            <w:shd w:val="clear" w:color="auto" w:fill="auto"/>
          </w:tcPr>
          <w:p w14:paraId="7D83F46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A43BCD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3B0E24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3E53A3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1BF674C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8EB676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9EB14EA"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A8E32D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C4065A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D887675"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735489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22E736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B0E89F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7CEB3A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FCDC92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4A9E62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4F061D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4E5EA2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355398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78CDBF1"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663D1DC4" w14:textId="77777777" w:rsidTr="003B49EF">
        <w:tc>
          <w:tcPr>
            <w:tcW w:w="2169" w:type="dxa"/>
            <w:vMerge/>
          </w:tcPr>
          <w:p w14:paraId="4E5298F8" w14:textId="77777777" w:rsidR="005819D2" w:rsidRPr="005516CD" w:rsidRDefault="005819D2" w:rsidP="00D66519">
            <w:pPr>
              <w:pStyle w:val="ListParagraph"/>
              <w:numPr>
                <w:ilvl w:val="2"/>
                <w:numId w:val="46"/>
              </w:numPr>
              <w:pBdr>
                <w:top w:val="none" w:sz="0" w:space="0" w:color="auto"/>
                <w:left w:val="none" w:sz="0" w:space="0" w:color="auto"/>
                <w:bottom w:val="none" w:sz="0" w:space="0" w:color="auto"/>
                <w:right w:val="none" w:sz="0" w:space="0" w:color="auto"/>
              </w:pBdr>
              <w:tabs>
                <w:tab w:val="left" w:pos="319"/>
              </w:tabs>
              <w:ind w:left="-107" w:firstLine="0"/>
              <w:rPr>
                <w:rFonts w:asciiTheme="majorHAnsi" w:hAnsiTheme="majorHAnsi" w:cstheme="majorHAnsi"/>
                <w:sz w:val="20"/>
                <w:szCs w:val="20"/>
              </w:rPr>
            </w:pPr>
          </w:p>
        </w:tc>
        <w:tc>
          <w:tcPr>
            <w:tcW w:w="4170" w:type="dxa"/>
          </w:tcPr>
          <w:p w14:paraId="51C33DE2"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Training of members of cooperatives, federations and producer groups on environmental management and traceability standards, and monitoring protocols</w:t>
            </w:r>
          </w:p>
        </w:tc>
        <w:tc>
          <w:tcPr>
            <w:tcW w:w="388" w:type="dxa"/>
            <w:shd w:val="clear" w:color="auto" w:fill="auto"/>
          </w:tcPr>
          <w:p w14:paraId="4A29E52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44847FB"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3FE40F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C0F73A9"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27D5071E"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27ED2F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66FB84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6FE3DC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29428E0"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8F0D45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A0F0BEF"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E49B31A"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C68E02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E6B639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8D7D57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B25392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E0D8D6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8F700F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6ECB4F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1E701CF" w14:textId="77777777" w:rsidR="005819D2" w:rsidRPr="005516CD" w:rsidRDefault="005819D2" w:rsidP="007B146B">
            <w:pPr>
              <w:ind w:left="-232" w:right="-164"/>
              <w:jc w:val="center"/>
              <w:rPr>
                <w:rFonts w:asciiTheme="majorHAnsi" w:hAnsiTheme="majorHAnsi" w:cstheme="majorHAnsi"/>
                <w:sz w:val="20"/>
                <w:szCs w:val="20"/>
              </w:rPr>
            </w:pPr>
          </w:p>
        </w:tc>
      </w:tr>
      <w:tr w:rsidR="003B49EF" w:rsidRPr="005516CD" w14:paraId="4792F6E6" w14:textId="77777777" w:rsidTr="003B49EF">
        <w:tc>
          <w:tcPr>
            <w:tcW w:w="14118" w:type="dxa"/>
            <w:gridSpan w:val="22"/>
            <w:shd w:val="clear" w:color="auto" w:fill="D9D9D9" w:themeFill="background1" w:themeFillShade="D9"/>
          </w:tcPr>
          <w:p w14:paraId="51ABD18D" w14:textId="77777777" w:rsidR="003B49EF" w:rsidRPr="005516CD" w:rsidRDefault="003B49EF" w:rsidP="003C3AC2">
            <w:pPr>
              <w:ind w:left="-115" w:right="-164"/>
              <w:rPr>
                <w:rFonts w:asciiTheme="majorHAnsi" w:hAnsiTheme="majorHAnsi" w:cstheme="majorHAnsi"/>
                <w:sz w:val="20"/>
                <w:szCs w:val="20"/>
              </w:rPr>
            </w:pPr>
            <w:r w:rsidRPr="005516CD">
              <w:rPr>
                <w:rFonts w:asciiTheme="majorHAnsi" w:hAnsiTheme="majorHAnsi" w:cstheme="majorHAnsi"/>
                <w:b/>
                <w:i/>
                <w:sz w:val="20"/>
                <w:szCs w:val="20"/>
              </w:rPr>
              <w:t>Output 1.2. Socially- and institutionally sustainable mechanisms for governance in support of tree-rich production systems</w:t>
            </w:r>
          </w:p>
        </w:tc>
      </w:tr>
      <w:tr w:rsidR="005819D2" w:rsidRPr="005516CD" w14:paraId="66E208E7" w14:textId="77777777" w:rsidTr="003B49EF">
        <w:tc>
          <w:tcPr>
            <w:tcW w:w="2169" w:type="dxa"/>
            <w:vMerge w:val="restart"/>
          </w:tcPr>
          <w:p w14:paraId="6C16A5E0" w14:textId="77777777" w:rsidR="005819D2" w:rsidRPr="005516CD" w:rsidRDefault="005819D2" w:rsidP="00D66519">
            <w:pPr>
              <w:pStyle w:val="ListParagraph"/>
              <w:numPr>
                <w:ilvl w:val="2"/>
                <w:numId w:val="47"/>
              </w:numPr>
              <w:pBdr>
                <w:top w:val="none" w:sz="0" w:space="0" w:color="auto"/>
                <w:left w:val="none" w:sz="0" w:space="0" w:color="auto"/>
                <w:bottom w:val="none" w:sz="0" w:space="0" w:color="auto"/>
                <w:right w:val="none" w:sz="0" w:space="0" w:color="auto"/>
                <w:between w:val="none" w:sz="0" w:space="0" w:color="auto"/>
                <w:bar w:val="none" w:sz="0" w:color="auto"/>
              </w:pBdr>
              <w:tabs>
                <w:tab w:val="left" w:pos="413"/>
              </w:tabs>
              <w:ind w:left="-107" w:firstLine="26"/>
              <w:contextualSpacing/>
              <w:rPr>
                <w:rFonts w:asciiTheme="majorHAnsi" w:hAnsiTheme="majorHAnsi" w:cstheme="majorHAnsi"/>
                <w:sz w:val="20"/>
                <w:szCs w:val="20"/>
              </w:rPr>
            </w:pPr>
            <w:r w:rsidRPr="005516CD">
              <w:rPr>
                <w:rFonts w:asciiTheme="majorHAnsi" w:hAnsiTheme="majorHAnsi" w:cstheme="majorHAnsi"/>
                <w:sz w:val="20"/>
                <w:szCs w:val="20"/>
              </w:rPr>
              <w:t>Community-based mechanisms for countering threats to community interests in relation to natural resources</w:t>
            </w:r>
          </w:p>
        </w:tc>
        <w:tc>
          <w:tcPr>
            <w:tcW w:w="4170" w:type="dxa"/>
          </w:tcPr>
          <w:p w14:paraId="3BE677CA" w14:textId="77777777" w:rsidR="005819D2" w:rsidRPr="005516CD" w:rsidRDefault="005819D2" w:rsidP="007B146B">
            <w:pPr>
              <w:ind w:left="-55" w:right="-27"/>
              <w:rPr>
                <w:rFonts w:asciiTheme="majorHAnsi" w:hAnsiTheme="majorHAnsi" w:cstheme="majorHAnsi"/>
                <w:sz w:val="20"/>
                <w:szCs w:val="20"/>
              </w:rPr>
            </w:pPr>
            <w:r w:rsidRPr="005516CD">
              <w:rPr>
                <w:rFonts w:asciiTheme="majorHAnsi" w:hAnsiTheme="majorHAnsi" w:cstheme="majorHAnsi"/>
                <w:sz w:val="20"/>
                <w:szCs w:val="20"/>
              </w:rPr>
              <w:t>Participatory diagnostics of environmental threats and governance mechanisms</w:t>
            </w:r>
          </w:p>
        </w:tc>
        <w:tc>
          <w:tcPr>
            <w:tcW w:w="388" w:type="dxa"/>
            <w:shd w:val="clear" w:color="auto" w:fill="auto"/>
          </w:tcPr>
          <w:p w14:paraId="138E4C23"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550BA6B1"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3B06B52F"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0B61A099"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F2F2F2" w:themeFill="background1" w:themeFillShade="F2"/>
          </w:tcPr>
          <w:p w14:paraId="3B5ABCD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30C355E"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6680AC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0722D8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749D84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6FB112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8CD158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EBF9D2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7FCDB7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A7BB56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6EAF61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EF01A7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C33101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DFDB85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995EE6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7E77E38"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7D1387CD" w14:textId="77777777" w:rsidTr="003B49EF">
        <w:tc>
          <w:tcPr>
            <w:tcW w:w="2169" w:type="dxa"/>
            <w:vMerge/>
          </w:tcPr>
          <w:p w14:paraId="087C689A" w14:textId="77777777" w:rsidR="005819D2" w:rsidRPr="005516CD" w:rsidRDefault="005819D2" w:rsidP="00D66519">
            <w:pPr>
              <w:pStyle w:val="ListParagraph"/>
              <w:numPr>
                <w:ilvl w:val="2"/>
                <w:numId w:val="47"/>
              </w:numPr>
              <w:pBdr>
                <w:top w:val="none" w:sz="0" w:space="0" w:color="auto"/>
                <w:left w:val="none" w:sz="0" w:space="0" w:color="auto"/>
                <w:bottom w:val="none" w:sz="0" w:space="0" w:color="auto"/>
                <w:right w:val="none" w:sz="0" w:space="0" w:color="auto"/>
                <w:between w:val="none" w:sz="0" w:space="0" w:color="auto"/>
                <w:bar w:val="none" w:sz="0" w:color="auto"/>
              </w:pBdr>
              <w:tabs>
                <w:tab w:val="left" w:pos="413"/>
              </w:tabs>
              <w:ind w:left="-107" w:firstLine="26"/>
              <w:contextualSpacing/>
              <w:rPr>
                <w:rFonts w:asciiTheme="majorHAnsi" w:hAnsiTheme="majorHAnsi" w:cstheme="majorHAnsi"/>
                <w:sz w:val="20"/>
                <w:szCs w:val="20"/>
              </w:rPr>
            </w:pPr>
          </w:p>
        </w:tc>
        <w:tc>
          <w:tcPr>
            <w:tcW w:w="4170" w:type="dxa"/>
          </w:tcPr>
          <w:p w14:paraId="27C597E4" w14:textId="77777777" w:rsidR="005819D2" w:rsidRPr="005516CD" w:rsidRDefault="005819D2" w:rsidP="007B146B">
            <w:pPr>
              <w:ind w:left="-55" w:right="-27"/>
              <w:rPr>
                <w:rFonts w:asciiTheme="majorHAnsi" w:hAnsiTheme="majorHAnsi" w:cstheme="majorHAnsi"/>
                <w:sz w:val="20"/>
                <w:szCs w:val="20"/>
              </w:rPr>
            </w:pPr>
            <w:r w:rsidRPr="005516CD">
              <w:rPr>
                <w:rFonts w:asciiTheme="majorHAnsi" w:hAnsiTheme="majorHAnsi" w:cstheme="majorHAnsi"/>
                <w:sz w:val="20"/>
                <w:szCs w:val="20"/>
              </w:rPr>
              <w:t>Participatory development of proposals for strengthening of governance mechanisms</w:t>
            </w:r>
          </w:p>
        </w:tc>
        <w:tc>
          <w:tcPr>
            <w:tcW w:w="388" w:type="dxa"/>
            <w:shd w:val="clear" w:color="auto" w:fill="auto"/>
          </w:tcPr>
          <w:p w14:paraId="6260C54A"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357DA251"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2FC8CFA0"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45D1EA91"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F2F2F2" w:themeFill="background1" w:themeFillShade="F2"/>
          </w:tcPr>
          <w:p w14:paraId="2120946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9EA9B3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852999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3DA869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1699E0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BDF55B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1E8470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6F93B3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261BA3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A31DF3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64E32C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0FDD8C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572FD4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76B473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998BCB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38C6BE2"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54A3F5C4" w14:textId="77777777" w:rsidTr="003B49EF">
        <w:tc>
          <w:tcPr>
            <w:tcW w:w="2169" w:type="dxa"/>
            <w:vMerge/>
          </w:tcPr>
          <w:p w14:paraId="714DC758" w14:textId="77777777" w:rsidR="005819D2" w:rsidRPr="005516CD" w:rsidRDefault="005819D2" w:rsidP="00D66519">
            <w:pPr>
              <w:pStyle w:val="ListParagraph"/>
              <w:numPr>
                <w:ilvl w:val="2"/>
                <w:numId w:val="47"/>
              </w:numPr>
              <w:pBdr>
                <w:top w:val="none" w:sz="0" w:space="0" w:color="auto"/>
                <w:left w:val="none" w:sz="0" w:space="0" w:color="auto"/>
                <w:bottom w:val="none" w:sz="0" w:space="0" w:color="auto"/>
                <w:right w:val="none" w:sz="0" w:space="0" w:color="auto"/>
                <w:between w:val="none" w:sz="0" w:space="0" w:color="auto"/>
                <w:bar w:val="none" w:sz="0" w:color="auto"/>
              </w:pBdr>
              <w:tabs>
                <w:tab w:val="left" w:pos="413"/>
              </w:tabs>
              <w:ind w:left="-107" w:firstLine="26"/>
              <w:contextualSpacing/>
              <w:rPr>
                <w:rFonts w:asciiTheme="majorHAnsi" w:hAnsiTheme="majorHAnsi" w:cstheme="majorHAnsi"/>
                <w:sz w:val="20"/>
                <w:szCs w:val="20"/>
              </w:rPr>
            </w:pPr>
          </w:p>
        </w:tc>
        <w:tc>
          <w:tcPr>
            <w:tcW w:w="4170" w:type="dxa"/>
          </w:tcPr>
          <w:p w14:paraId="4FE56F2F" w14:textId="77777777" w:rsidR="005819D2" w:rsidRPr="005516CD" w:rsidRDefault="005819D2" w:rsidP="007B146B">
            <w:pPr>
              <w:ind w:left="-55" w:right="-27"/>
              <w:rPr>
                <w:rFonts w:asciiTheme="majorHAnsi" w:hAnsiTheme="majorHAnsi" w:cstheme="majorHAnsi"/>
                <w:sz w:val="20"/>
                <w:szCs w:val="20"/>
              </w:rPr>
            </w:pPr>
            <w:r w:rsidRPr="005516CD">
              <w:rPr>
                <w:rFonts w:asciiTheme="majorHAnsi" w:hAnsiTheme="majorHAnsi" w:cstheme="majorHAnsi"/>
                <w:sz w:val="20"/>
                <w:szCs w:val="20"/>
              </w:rPr>
              <w:t>Facilitation of strengthening of governance mechanisms, including training</w:t>
            </w:r>
          </w:p>
        </w:tc>
        <w:tc>
          <w:tcPr>
            <w:tcW w:w="388" w:type="dxa"/>
            <w:shd w:val="clear" w:color="auto" w:fill="auto"/>
          </w:tcPr>
          <w:p w14:paraId="2FE72D6D"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52C66FC9"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21BB4CE9"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298246C9"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F2F2F2" w:themeFill="background1" w:themeFillShade="F2"/>
          </w:tcPr>
          <w:p w14:paraId="05E2531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699F9B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C0E887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496685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92EB2E5"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F91BF61"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567AAF5"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5162DC0"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EE61A2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C8650A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7D1656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72BB32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284A261"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5563A7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80D5E7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3EDCB7C"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14DFB926" w14:textId="77777777" w:rsidTr="003B49EF">
        <w:tc>
          <w:tcPr>
            <w:tcW w:w="2169" w:type="dxa"/>
            <w:vMerge/>
          </w:tcPr>
          <w:p w14:paraId="31183001" w14:textId="77777777" w:rsidR="005819D2" w:rsidRPr="005516CD" w:rsidRDefault="005819D2" w:rsidP="00D66519">
            <w:pPr>
              <w:pStyle w:val="ListParagraph"/>
              <w:numPr>
                <w:ilvl w:val="2"/>
                <w:numId w:val="47"/>
              </w:numPr>
              <w:pBdr>
                <w:top w:val="none" w:sz="0" w:space="0" w:color="auto"/>
                <w:left w:val="none" w:sz="0" w:space="0" w:color="auto"/>
                <w:bottom w:val="none" w:sz="0" w:space="0" w:color="auto"/>
                <w:right w:val="none" w:sz="0" w:space="0" w:color="auto"/>
                <w:between w:val="none" w:sz="0" w:space="0" w:color="auto"/>
                <w:bar w:val="none" w:sz="0" w:color="auto"/>
              </w:pBdr>
              <w:tabs>
                <w:tab w:val="left" w:pos="413"/>
              </w:tabs>
              <w:ind w:left="-107" w:firstLine="26"/>
              <w:contextualSpacing/>
              <w:rPr>
                <w:rFonts w:asciiTheme="majorHAnsi" w:hAnsiTheme="majorHAnsi" w:cstheme="majorHAnsi"/>
                <w:sz w:val="20"/>
                <w:szCs w:val="20"/>
              </w:rPr>
            </w:pPr>
          </w:p>
        </w:tc>
        <w:tc>
          <w:tcPr>
            <w:tcW w:w="4170" w:type="dxa"/>
          </w:tcPr>
          <w:p w14:paraId="07F65B00" w14:textId="77777777" w:rsidR="005819D2" w:rsidRPr="005516CD" w:rsidRDefault="005819D2" w:rsidP="007B146B">
            <w:pPr>
              <w:ind w:left="-55" w:right="-27"/>
              <w:rPr>
                <w:rFonts w:asciiTheme="majorHAnsi" w:hAnsiTheme="majorHAnsi" w:cstheme="majorHAnsi"/>
                <w:sz w:val="20"/>
                <w:szCs w:val="20"/>
              </w:rPr>
            </w:pPr>
            <w:r w:rsidRPr="005516CD">
              <w:rPr>
                <w:rFonts w:asciiTheme="majorHAnsi" w:hAnsiTheme="majorHAnsi" w:cstheme="majorHAnsi"/>
                <w:sz w:val="20"/>
                <w:szCs w:val="20"/>
              </w:rPr>
              <w:t xml:space="preserve">Follow-up participatory reviews of effectiveness of governance mechanisms </w:t>
            </w:r>
          </w:p>
        </w:tc>
        <w:tc>
          <w:tcPr>
            <w:tcW w:w="388" w:type="dxa"/>
            <w:shd w:val="clear" w:color="auto" w:fill="auto"/>
          </w:tcPr>
          <w:p w14:paraId="110DD12A"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5A1DFAA5"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4B25633C"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745CBFB9"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F2F2F2" w:themeFill="background1" w:themeFillShade="F2"/>
          </w:tcPr>
          <w:p w14:paraId="25340EA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921D1B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176244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C5B963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09F43B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8F62A4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6C1812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8854D7A"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CFA08A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F2AC58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6E7FA1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C716951"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5E22E0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10CA81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D989919"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23636C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r>
      <w:tr w:rsidR="005819D2" w:rsidRPr="005516CD" w14:paraId="5ED878E3" w14:textId="77777777" w:rsidTr="003B49EF">
        <w:tc>
          <w:tcPr>
            <w:tcW w:w="2169" w:type="dxa"/>
            <w:vMerge w:val="restart"/>
          </w:tcPr>
          <w:p w14:paraId="65CEA644" w14:textId="77777777" w:rsidR="005819D2" w:rsidRPr="005516CD" w:rsidRDefault="005819D2" w:rsidP="00D66519">
            <w:pPr>
              <w:pStyle w:val="ListParagraph"/>
              <w:numPr>
                <w:ilvl w:val="2"/>
                <w:numId w:val="47"/>
              </w:numPr>
              <w:pBdr>
                <w:top w:val="none" w:sz="0" w:space="0" w:color="auto"/>
                <w:left w:val="none" w:sz="0" w:space="0" w:color="auto"/>
                <w:bottom w:val="none" w:sz="0" w:space="0" w:color="auto"/>
                <w:right w:val="none" w:sz="0" w:space="0" w:color="auto"/>
                <w:between w:val="none" w:sz="0" w:space="0" w:color="auto"/>
                <w:bar w:val="none" w:sz="0" w:color="auto"/>
              </w:pBdr>
              <w:tabs>
                <w:tab w:val="left" w:pos="413"/>
              </w:tabs>
              <w:ind w:left="-107" w:firstLine="26"/>
              <w:contextualSpacing/>
              <w:rPr>
                <w:rFonts w:asciiTheme="majorHAnsi" w:hAnsiTheme="majorHAnsi" w:cstheme="majorHAnsi"/>
                <w:sz w:val="20"/>
                <w:szCs w:val="20"/>
              </w:rPr>
            </w:pPr>
            <w:r w:rsidRPr="005516CD">
              <w:rPr>
                <w:rFonts w:asciiTheme="majorHAnsi" w:hAnsiTheme="majorHAnsi" w:cstheme="majorHAnsi"/>
                <w:sz w:val="20"/>
                <w:szCs w:val="20"/>
              </w:rPr>
              <w:t xml:space="preserve">Community-based </w:t>
            </w:r>
            <w:proofErr w:type="spellStart"/>
            <w:r w:rsidRPr="005516CD">
              <w:rPr>
                <w:rFonts w:asciiTheme="majorHAnsi" w:hAnsiTheme="majorHAnsi" w:cstheme="majorHAnsi"/>
                <w:sz w:val="20"/>
                <w:szCs w:val="20"/>
              </w:rPr>
              <w:t>organisations</w:t>
            </w:r>
            <w:proofErr w:type="spellEnd"/>
            <w:r w:rsidRPr="005516CD">
              <w:rPr>
                <w:rFonts w:asciiTheme="majorHAnsi" w:hAnsiTheme="majorHAnsi" w:cstheme="majorHAnsi"/>
                <w:sz w:val="20"/>
                <w:szCs w:val="20"/>
              </w:rPr>
              <w:t xml:space="preserve"> strengthened to facilitate joint action in support of BD-friendly landscape and ecosystem management</w:t>
            </w:r>
          </w:p>
        </w:tc>
        <w:tc>
          <w:tcPr>
            <w:tcW w:w="4170" w:type="dxa"/>
          </w:tcPr>
          <w:p w14:paraId="43CD7923" w14:textId="77777777" w:rsidR="005819D2" w:rsidRPr="005516CD" w:rsidRDefault="005819D2" w:rsidP="007B146B">
            <w:pPr>
              <w:ind w:left="-55" w:right="-27"/>
              <w:rPr>
                <w:rFonts w:asciiTheme="majorHAnsi" w:hAnsiTheme="majorHAnsi" w:cstheme="majorHAnsi"/>
                <w:sz w:val="20"/>
                <w:szCs w:val="20"/>
              </w:rPr>
            </w:pPr>
            <w:r w:rsidRPr="005516CD">
              <w:rPr>
                <w:rFonts w:asciiTheme="majorHAnsi" w:hAnsiTheme="majorHAnsi" w:cstheme="majorHAnsi"/>
                <w:sz w:val="20"/>
                <w:szCs w:val="20"/>
              </w:rPr>
              <w:t>Participatory review of willingness and opportunities for carrying out community-based actions</w:t>
            </w:r>
          </w:p>
        </w:tc>
        <w:tc>
          <w:tcPr>
            <w:tcW w:w="388" w:type="dxa"/>
            <w:shd w:val="clear" w:color="auto" w:fill="auto"/>
          </w:tcPr>
          <w:p w14:paraId="3CAD05E9"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54C89F73"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2F99D685"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3BC77AB1"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F2F2F2" w:themeFill="background1" w:themeFillShade="F2"/>
          </w:tcPr>
          <w:p w14:paraId="6EBAB1FD"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B4B210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C3E2B5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81235E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DAA8B5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2B0CA8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3562D7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C1A8C8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18D619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7E6D70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DD4A96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2727C5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D185BA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A82391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0D6072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DDCE8B7"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14BF2E7B" w14:textId="77777777" w:rsidTr="003B49EF">
        <w:tc>
          <w:tcPr>
            <w:tcW w:w="2169" w:type="dxa"/>
            <w:vMerge/>
          </w:tcPr>
          <w:p w14:paraId="31A29673" w14:textId="77777777" w:rsidR="005819D2" w:rsidRPr="005516CD" w:rsidRDefault="005819D2" w:rsidP="00D66519">
            <w:pPr>
              <w:pStyle w:val="ListParagraph"/>
              <w:numPr>
                <w:ilvl w:val="2"/>
                <w:numId w:val="47"/>
              </w:numPr>
              <w:pBdr>
                <w:top w:val="none" w:sz="0" w:space="0" w:color="auto"/>
                <w:left w:val="none" w:sz="0" w:space="0" w:color="auto"/>
                <w:bottom w:val="none" w:sz="0" w:space="0" w:color="auto"/>
                <w:right w:val="none" w:sz="0" w:space="0" w:color="auto"/>
                <w:between w:val="none" w:sz="0" w:space="0" w:color="auto"/>
                <w:bar w:val="none" w:sz="0" w:color="auto"/>
              </w:pBdr>
              <w:tabs>
                <w:tab w:val="left" w:pos="413"/>
              </w:tabs>
              <w:ind w:left="-107" w:firstLine="26"/>
              <w:contextualSpacing/>
              <w:rPr>
                <w:rFonts w:asciiTheme="majorHAnsi" w:hAnsiTheme="majorHAnsi" w:cstheme="majorHAnsi"/>
                <w:sz w:val="20"/>
                <w:szCs w:val="20"/>
              </w:rPr>
            </w:pPr>
          </w:p>
        </w:tc>
        <w:tc>
          <w:tcPr>
            <w:tcW w:w="4170" w:type="dxa"/>
          </w:tcPr>
          <w:p w14:paraId="45728887" w14:textId="77777777" w:rsidR="005819D2" w:rsidRPr="005516CD" w:rsidRDefault="005819D2" w:rsidP="007B146B">
            <w:pPr>
              <w:ind w:left="-55" w:right="-27"/>
              <w:rPr>
                <w:rFonts w:asciiTheme="majorHAnsi" w:hAnsiTheme="majorHAnsi" w:cstheme="majorHAnsi"/>
                <w:sz w:val="20"/>
                <w:szCs w:val="20"/>
              </w:rPr>
            </w:pPr>
            <w:r w:rsidRPr="005516CD">
              <w:rPr>
                <w:rFonts w:asciiTheme="majorHAnsi" w:hAnsiTheme="majorHAnsi" w:cstheme="majorHAnsi"/>
                <w:sz w:val="20"/>
                <w:szCs w:val="20"/>
              </w:rPr>
              <w:t>Participatory planning of community-based actions</w:t>
            </w:r>
          </w:p>
        </w:tc>
        <w:tc>
          <w:tcPr>
            <w:tcW w:w="388" w:type="dxa"/>
            <w:shd w:val="clear" w:color="auto" w:fill="auto"/>
          </w:tcPr>
          <w:p w14:paraId="55EC7936"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6BF2E21C"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5FD92FAD"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2A06E215"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F2F2F2" w:themeFill="background1" w:themeFillShade="F2"/>
          </w:tcPr>
          <w:p w14:paraId="651BF81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D0ABBD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FD412C0"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5E010B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FEE027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8E15BBC"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889003B"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ADAB57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37094D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10B94B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454ED5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9214F8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DF41D9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91F40B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F0325D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6CF9620"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3FA6979A" w14:textId="77777777" w:rsidTr="003B49EF">
        <w:tc>
          <w:tcPr>
            <w:tcW w:w="2169" w:type="dxa"/>
            <w:vMerge/>
          </w:tcPr>
          <w:p w14:paraId="0566EB0C" w14:textId="77777777" w:rsidR="005819D2" w:rsidRPr="005516CD" w:rsidRDefault="005819D2" w:rsidP="00D66519">
            <w:pPr>
              <w:pStyle w:val="ListParagraph"/>
              <w:numPr>
                <w:ilvl w:val="2"/>
                <w:numId w:val="47"/>
              </w:numPr>
              <w:pBdr>
                <w:top w:val="none" w:sz="0" w:space="0" w:color="auto"/>
                <w:left w:val="none" w:sz="0" w:space="0" w:color="auto"/>
                <w:bottom w:val="none" w:sz="0" w:space="0" w:color="auto"/>
                <w:right w:val="none" w:sz="0" w:space="0" w:color="auto"/>
                <w:between w:val="none" w:sz="0" w:space="0" w:color="auto"/>
                <w:bar w:val="none" w:sz="0" w:color="auto"/>
              </w:pBdr>
              <w:tabs>
                <w:tab w:val="left" w:pos="413"/>
              </w:tabs>
              <w:ind w:left="-107" w:firstLine="26"/>
              <w:contextualSpacing/>
              <w:rPr>
                <w:rFonts w:asciiTheme="majorHAnsi" w:hAnsiTheme="majorHAnsi" w:cstheme="majorHAnsi"/>
                <w:sz w:val="20"/>
                <w:szCs w:val="20"/>
              </w:rPr>
            </w:pPr>
          </w:p>
        </w:tc>
        <w:tc>
          <w:tcPr>
            <w:tcW w:w="4170" w:type="dxa"/>
          </w:tcPr>
          <w:p w14:paraId="5853CDFA" w14:textId="77777777" w:rsidR="005819D2" w:rsidRPr="005516CD" w:rsidRDefault="005819D2" w:rsidP="007B146B">
            <w:pPr>
              <w:ind w:left="-55" w:right="-27"/>
              <w:rPr>
                <w:rFonts w:asciiTheme="majorHAnsi" w:hAnsiTheme="majorHAnsi" w:cstheme="majorHAnsi"/>
                <w:sz w:val="20"/>
                <w:szCs w:val="20"/>
              </w:rPr>
            </w:pPr>
            <w:r w:rsidRPr="005516CD">
              <w:rPr>
                <w:rFonts w:asciiTheme="majorHAnsi" w:hAnsiTheme="majorHAnsi" w:cstheme="majorHAnsi"/>
                <w:sz w:val="20"/>
                <w:szCs w:val="20"/>
              </w:rPr>
              <w:t>Implementation of community-based actions (facilitation and follow-up)</w:t>
            </w:r>
          </w:p>
        </w:tc>
        <w:tc>
          <w:tcPr>
            <w:tcW w:w="388" w:type="dxa"/>
            <w:shd w:val="clear" w:color="auto" w:fill="auto"/>
          </w:tcPr>
          <w:p w14:paraId="2211C684"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1EF96F80"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62374828"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auto"/>
          </w:tcPr>
          <w:p w14:paraId="7DD80B62" w14:textId="77777777" w:rsidR="005819D2" w:rsidRPr="005516CD" w:rsidRDefault="005819D2" w:rsidP="007B146B">
            <w:pPr>
              <w:ind w:left="-55" w:right="-27"/>
              <w:rPr>
                <w:rFonts w:asciiTheme="majorHAnsi" w:hAnsiTheme="majorHAnsi" w:cstheme="majorHAnsi"/>
                <w:sz w:val="20"/>
                <w:szCs w:val="20"/>
              </w:rPr>
            </w:pPr>
          </w:p>
        </w:tc>
        <w:tc>
          <w:tcPr>
            <w:tcW w:w="389" w:type="dxa"/>
            <w:shd w:val="clear" w:color="auto" w:fill="F2F2F2" w:themeFill="background1" w:themeFillShade="F2"/>
          </w:tcPr>
          <w:p w14:paraId="64399B2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102C87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2D1632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5D4EA6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430CC67"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F1E6F9A"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DAC14E1"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DA9BC79"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3B06BC4"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222F0C8"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17BF36F"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B36CDCE"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0822191"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B4E8753"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EAA5836"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8070062" w14:textId="77777777" w:rsidR="005819D2" w:rsidRPr="005516CD" w:rsidRDefault="00AF3CA9"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r>
      <w:tr w:rsidR="003B49EF" w:rsidRPr="005516CD" w14:paraId="6D5A10EE" w14:textId="77777777" w:rsidTr="003B49EF">
        <w:tc>
          <w:tcPr>
            <w:tcW w:w="14118" w:type="dxa"/>
            <w:gridSpan w:val="22"/>
            <w:shd w:val="clear" w:color="auto" w:fill="D9D9D9" w:themeFill="background1" w:themeFillShade="D9"/>
          </w:tcPr>
          <w:p w14:paraId="7512CD47" w14:textId="77777777" w:rsidR="003B49EF" w:rsidRPr="005516CD" w:rsidRDefault="003B49EF" w:rsidP="003C3AC2">
            <w:pPr>
              <w:ind w:left="-115" w:right="-164"/>
              <w:rPr>
                <w:rFonts w:asciiTheme="majorHAnsi" w:hAnsiTheme="majorHAnsi" w:cstheme="majorHAnsi"/>
                <w:sz w:val="20"/>
                <w:szCs w:val="20"/>
              </w:rPr>
            </w:pPr>
            <w:r w:rsidRPr="005516CD">
              <w:rPr>
                <w:rFonts w:asciiTheme="majorHAnsi" w:hAnsiTheme="majorHAnsi" w:cstheme="majorHAnsi"/>
                <w:b/>
                <w:i/>
                <w:sz w:val="20"/>
                <w:szCs w:val="20"/>
              </w:rPr>
              <w:t>Output 1.3 Market-based instruments to facilitate the delivery of environmental benefits</w:t>
            </w:r>
          </w:p>
        </w:tc>
      </w:tr>
      <w:tr w:rsidR="005819D2" w:rsidRPr="005516CD" w14:paraId="667CD7FD" w14:textId="77777777" w:rsidTr="003B49EF">
        <w:tc>
          <w:tcPr>
            <w:tcW w:w="2169" w:type="dxa"/>
            <w:vMerge w:val="restart"/>
          </w:tcPr>
          <w:p w14:paraId="33486948"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lang w:val="en-GB"/>
              </w:rPr>
            </w:pPr>
            <w:r w:rsidRPr="005516CD">
              <w:rPr>
                <w:rFonts w:asciiTheme="majorHAnsi" w:hAnsiTheme="majorHAnsi" w:cstheme="majorHAnsi"/>
                <w:sz w:val="20"/>
                <w:szCs w:val="20"/>
                <w:lang w:val="en-GB"/>
              </w:rPr>
              <w:t>Coherent framework for Government support to integrating producers into markets that favour sustainable production</w:t>
            </w:r>
          </w:p>
        </w:tc>
        <w:tc>
          <w:tcPr>
            <w:tcW w:w="4170" w:type="dxa"/>
          </w:tcPr>
          <w:p w14:paraId="7BFBBB81"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Updated review of Government provisions for supporting sustainable production</w:t>
            </w:r>
          </w:p>
        </w:tc>
        <w:tc>
          <w:tcPr>
            <w:tcW w:w="388" w:type="dxa"/>
            <w:shd w:val="clear" w:color="auto" w:fill="auto"/>
          </w:tcPr>
          <w:p w14:paraId="03554797"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9A82BE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3A9BBD4" w14:textId="77777777" w:rsidR="005819D2" w:rsidRPr="005516CD" w:rsidRDefault="00C84176"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61977C52" w14:textId="77777777" w:rsidR="005819D2" w:rsidRPr="005516CD" w:rsidRDefault="00C84176"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B893A7F"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A95D269"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0B5C96E"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8FD5F25"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B37F4A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CB12E7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451555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F44B67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A18B95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18BFF3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2CB10C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34EE7A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518B65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0184A4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EE6466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326E71B"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5A83A754" w14:textId="77777777" w:rsidTr="003B49EF">
        <w:tc>
          <w:tcPr>
            <w:tcW w:w="2169" w:type="dxa"/>
            <w:vMerge/>
          </w:tcPr>
          <w:p w14:paraId="5E76F54D"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rPr>
            </w:pPr>
          </w:p>
        </w:tc>
        <w:tc>
          <w:tcPr>
            <w:tcW w:w="4170" w:type="dxa"/>
          </w:tcPr>
          <w:p w14:paraId="14AD767F"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Facilitation and technical support to the formulation or improvement of frameworks for Government support</w:t>
            </w:r>
          </w:p>
        </w:tc>
        <w:tc>
          <w:tcPr>
            <w:tcW w:w="388" w:type="dxa"/>
            <w:shd w:val="clear" w:color="auto" w:fill="auto"/>
          </w:tcPr>
          <w:p w14:paraId="5DA7B2B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57FE26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61CA38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3B9D797"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6B90B77C"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9DC0503"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8B90C64"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E1D6364"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87AF853"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09571E1"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03E839B"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94B93FF"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3796A71"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3F52B7E"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F9274B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0935DB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07E8D1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1F7AF3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60A384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11E17CB"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53EFE43A" w14:textId="77777777" w:rsidTr="003B49EF">
        <w:tc>
          <w:tcPr>
            <w:tcW w:w="2169" w:type="dxa"/>
            <w:vMerge/>
          </w:tcPr>
          <w:p w14:paraId="07B72087"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rPr>
            </w:pPr>
          </w:p>
        </w:tc>
        <w:tc>
          <w:tcPr>
            <w:tcW w:w="4170" w:type="dxa"/>
          </w:tcPr>
          <w:p w14:paraId="17679ACF"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Generation of policy documents</w:t>
            </w:r>
          </w:p>
        </w:tc>
        <w:tc>
          <w:tcPr>
            <w:tcW w:w="388" w:type="dxa"/>
            <w:shd w:val="clear" w:color="auto" w:fill="auto"/>
          </w:tcPr>
          <w:p w14:paraId="7CAAC0C7"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DB27A5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30D4D8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06404AB"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0813D8B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C6C83C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A08005E"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0031441"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12CCFFE"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F33F699"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78835AF"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F8035D7"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49E6CF2"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CC652B5"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F5FDEF1"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BF8A0AF"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C39514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DF1279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788378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FC7ED86"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2BFB4051" w14:textId="77777777" w:rsidTr="003B49EF">
        <w:tc>
          <w:tcPr>
            <w:tcW w:w="2169" w:type="dxa"/>
            <w:vMerge/>
          </w:tcPr>
          <w:p w14:paraId="351367E7"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rPr>
            </w:pPr>
          </w:p>
        </w:tc>
        <w:tc>
          <w:tcPr>
            <w:tcW w:w="4170" w:type="dxa"/>
          </w:tcPr>
          <w:p w14:paraId="4485D2CC"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Communication of results</w:t>
            </w:r>
          </w:p>
        </w:tc>
        <w:tc>
          <w:tcPr>
            <w:tcW w:w="388" w:type="dxa"/>
            <w:shd w:val="clear" w:color="auto" w:fill="auto"/>
          </w:tcPr>
          <w:p w14:paraId="5CF4B9B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384B67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5597E34"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54B4B7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449BAF8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3A9EC4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8DAC4B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BB8DD8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E161C2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142641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B06F6D0"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5375A56"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79167BC"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04596FA"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8BDBC14"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1E51B24"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D4EFFAF"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AB39A9D"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73F6229"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5A592BE"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r>
      <w:tr w:rsidR="005819D2" w:rsidRPr="005516CD" w14:paraId="1E34F775" w14:textId="77777777" w:rsidTr="003B49EF">
        <w:tc>
          <w:tcPr>
            <w:tcW w:w="2169" w:type="dxa"/>
            <w:vMerge w:val="restart"/>
          </w:tcPr>
          <w:p w14:paraId="60DF2D3A" w14:textId="77777777" w:rsidR="005819D2" w:rsidRPr="005516CD" w:rsidRDefault="005819D2" w:rsidP="00C84176">
            <w:pPr>
              <w:pStyle w:val="ListParagraph"/>
              <w:widowControl w:val="0"/>
              <w:numPr>
                <w:ilvl w:val="2"/>
                <w:numId w:val="48"/>
              </w:numPr>
              <w:pBdr>
                <w:top w:val="none" w:sz="0" w:space="0" w:color="auto"/>
                <w:left w:val="none" w:sz="0" w:space="0" w:color="auto"/>
                <w:bottom w:val="none" w:sz="0" w:space="0" w:color="auto"/>
                <w:right w:val="none" w:sz="0" w:space="0" w:color="auto"/>
              </w:pBdr>
              <w:tabs>
                <w:tab w:val="left" w:pos="426"/>
              </w:tabs>
              <w:ind w:left="-119" w:right="96" w:firstLine="0"/>
              <w:rPr>
                <w:rFonts w:asciiTheme="majorHAnsi" w:hAnsiTheme="majorHAnsi" w:cstheme="majorHAnsi"/>
                <w:sz w:val="20"/>
                <w:szCs w:val="20"/>
                <w:lang w:val="fr-FR"/>
              </w:rPr>
            </w:pPr>
            <w:r w:rsidRPr="005516CD">
              <w:rPr>
                <w:rFonts w:asciiTheme="majorHAnsi" w:hAnsiTheme="majorHAnsi" w:cstheme="majorHAnsi"/>
                <w:sz w:val="20"/>
                <w:szCs w:val="20"/>
              </w:rPr>
              <w:t>Branding based on socio-cultural-</w:t>
            </w:r>
            <w:proofErr w:type="spellStart"/>
            <w:r w:rsidRPr="005516CD">
              <w:rPr>
                <w:rFonts w:asciiTheme="majorHAnsi" w:hAnsiTheme="majorHAnsi" w:cstheme="majorHAnsi"/>
                <w:sz w:val="20"/>
                <w:szCs w:val="20"/>
                <w:lang w:val="fr-FR"/>
              </w:rPr>
              <w:t>environmental</w:t>
            </w:r>
            <w:proofErr w:type="spellEnd"/>
            <w:r w:rsidRPr="005516CD">
              <w:rPr>
                <w:rFonts w:asciiTheme="majorHAnsi" w:hAnsiTheme="majorHAnsi" w:cstheme="majorHAnsi"/>
                <w:sz w:val="20"/>
                <w:szCs w:val="20"/>
              </w:rPr>
              <w:t xml:space="preserve"> factors</w:t>
            </w:r>
          </w:p>
        </w:tc>
        <w:tc>
          <w:tcPr>
            <w:tcW w:w="4170" w:type="dxa"/>
          </w:tcPr>
          <w:p w14:paraId="6CD7070C"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 xml:space="preserve">Market preference surveys in local and export markets </w:t>
            </w:r>
          </w:p>
        </w:tc>
        <w:tc>
          <w:tcPr>
            <w:tcW w:w="388" w:type="dxa"/>
            <w:shd w:val="clear" w:color="auto" w:fill="auto"/>
          </w:tcPr>
          <w:p w14:paraId="103656A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FA7829D"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84A861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E0818D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27AEF309"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DAE79CE"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983D65D"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1C37172"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1E3FD15"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270B9DD"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99725B5"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68E7A1B"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2EF201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AB0159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038EA8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28AA22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B7C5D5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D16511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C30A6F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181DE2A"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15ACB9C3" w14:textId="77777777" w:rsidTr="003B49EF">
        <w:tc>
          <w:tcPr>
            <w:tcW w:w="2169" w:type="dxa"/>
            <w:vMerge/>
          </w:tcPr>
          <w:p w14:paraId="71060344"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rPr>
            </w:pPr>
          </w:p>
        </w:tc>
        <w:tc>
          <w:tcPr>
            <w:tcW w:w="4170" w:type="dxa"/>
          </w:tcPr>
          <w:p w14:paraId="0EB837A6"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Advisory support for definition of product characteristics on which to base branding</w:t>
            </w:r>
          </w:p>
        </w:tc>
        <w:tc>
          <w:tcPr>
            <w:tcW w:w="388" w:type="dxa"/>
            <w:shd w:val="clear" w:color="auto" w:fill="auto"/>
          </w:tcPr>
          <w:p w14:paraId="4C3B9D2B"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609478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D08BAE9"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2F76C7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4907DED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DFC323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F1E976E"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3A44D0D"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12CA964"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96B279C"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EDB740C"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3FFCB2C"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7223685"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6925680"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70D193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C8DD72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883000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4A3F93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19D489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9F6A1DF"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45B77671" w14:textId="77777777" w:rsidTr="003B49EF">
        <w:tc>
          <w:tcPr>
            <w:tcW w:w="2169" w:type="dxa"/>
            <w:vMerge/>
          </w:tcPr>
          <w:p w14:paraId="1E5F27D6"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rPr>
            </w:pPr>
          </w:p>
        </w:tc>
        <w:tc>
          <w:tcPr>
            <w:tcW w:w="4170" w:type="dxa"/>
          </w:tcPr>
          <w:p w14:paraId="438806D9"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Development of marketing materials</w:t>
            </w:r>
          </w:p>
        </w:tc>
        <w:tc>
          <w:tcPr>
            <w:tcW w:w="388" w:type="dxa"/>
            <w:shd w:val="clear" w:color="auto" w:fill="auto"/>
          </w:tcPr>
          <w:p w14:paraId="547B7EF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0C26BD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DAF49E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8B405DB"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1D51669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6D9AC5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7B628C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2472E9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FD317AC"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03FD989"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C890B27"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07D9B5B"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DBDBF2A"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35B5E36"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33A210D"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812A4A0"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E424AB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03A32D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3BD377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D050C58"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0874C5C5" w14:textId="77777777" w:rsidTr="003B49EF">
        <w:tc>
          <w:tcPr>
            <w:tcW w:w="2169" w:type="dxa"/>
            <w:vMerge w:val="restart"/>
          </w:tcPr>
          <w:p w14:paraId="2A47AB3D"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lang w:val="en-GB"/>
              </w:rPr>
            </w:pPr>
            <w:r w:rsidRPr="005516CD">
              <w:rPr>
                <w:rFonts w:asciiTheme="majorHAnsi" w:hAnsiTheme="majorHAnsi" w:cstheme="majorHAnsi"/>
                <w:sz w:val="20"/>
                <w:szCs w:val="20"/>
                <w:lang w:val="en-GB"/>
              </w:rPr>
              <w:t>Local</w:t>
            </w:r>
            <w:r w:rsidRPr="005516CD">
              <w:rPr>
                <w:rFonts w:asciiTheme="majorHAnsi" w:hAnsiTheme="majorHAnsi" w:cstheme="majorHAnsi"/>
                <w:sz w:val="20"/>
                <w:szCs w:val="20"/>
              </w:rPr>
              <w:t xml:space="preserve"> and national value chains</w:t>
            </w:r>
          </w:p>
        </w:tc>
        <w:tc>
          <w:tcPr>
            <w:tcW w:w="4170" w:type="dxa"/>
          </w:tcPr>
          <w:p w14:paraId="1A810300" w14:textId="77777777" w:rsidR="005819D2" w:rsidRPr="005516CD" w:rsidRDefault="005819D2" w:rsidP="00DB26F9">
            <w:pPr>
              <w:ind w:left="-55" w:right="-30"/>
              <w:rPr>
                <w:rFonts w:asciiTheme="majorHAnsi" w:hAnsiTheme="majorHAnsi" w:cstheme="majorHAnsi"/>
                <w:sz w:val="20"/>
                <w:szCs w:val="20"/>
              </w:rPr>
            </w:pPr>
            <w:r w:rsidRPr="005516CD">
              <w:rPr>
                <w:rFonts w:asciiTheme="majorHAnsi" w:hAnsiTheme="majorHAnsi" w:cstheme="majorHAnsi"/>
                <w:sz w:val="20"/>
                <w:szCs w:val="20"/>
              </w:rPr>
              <w:t>Market surveys and analyses</w:t>
            </w:r>
          </w:p>
        </w:tc>
        <w:tc>
          <w:tcPr>
            <w:tcW w:w="388" w:type="dxa"/>
            <w:shd w:val="clear" w:color="auto" w:fill="auto"/>
          </w:tcPr>
          <w:p w14:paraId="625CE78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12BC9D1"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7EA163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A640EA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4B931D78"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5DE67A6"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03B2A17"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8CA8595"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C7354B6"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F858AB4"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1270B43"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1E7C415"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35A430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8CB397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767773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755910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8A8E89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2F0EF0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00DF1F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209AE69"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1308E539" w14:textId="77777777" w:rsidTr="003B49EF">
        <w:tc>
          <w:tcPr>
            <w:tcW w:w="2169" w:type="dxa"/>
            <w:vMerge/>
          </w:tcPr>
          <w:p w14:paraId="02D3BEF5"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lang w:val="fr-FR"/>
              </w:rPr>
            </w:pPr>
          </w:p>
        </w:tc>
        <w:tc>
          <w:tcPr>
            <w:tcW w:w="4170" w:type="dxa"/>
          </w:tcPr>
          <w:p w14:paraId="10516CD0" w14:textId="77777777" w:rsidR="005819D2" w:rsidRPr="005516CD" w:rsidRDefault="005819D2" w:rsidP="00DB26F9">
            <w:pPr>
              <w:ind w:left="-55" w:right="-30"/>
              <w:rPr>
                <w:rFonts w:asciiTheme="majorHAnsi" w:hAnsiTheme="majorHAnsi" w:cstheme="majorHAnsi"/>
                <w:sz w:val="20"/>
                <w:szCs w:val="20"/>
              </w:rPr>
            </w:pPr>
            <w:r w:rsidRPr="005516CD">
              <w:rPr>
                <w:rFonts w:asciiTheme="majorHAnsi" w:hAnsiTheme="majorHAnsi" w:cstheme="majorHAnsi"/>
                <w:sz w:val="20"/>
                <w:szCs w:val="20"/>
              </w:rPr>
              <w:t>Promotional meetings with value chain actors and marketing fairs</w:t>
            </w:r>
          </w:p>
        </w:tc>
        <w:tc>
          <w:tcPr>
            <w:tcW w:w="388" w:type="dxa"/>
            <w:shd w:val="clear" w:color="auto" w:fill="auto"/>
          </w:tcPr>
          <w:p w14:paraId="1EC816B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D1B7EC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2DCA45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59A639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0EEC8A7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38846C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E0F1FF2"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5496BD7"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CBB0AA5"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E94393A"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7644561"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CC675E0"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4A4F1D6"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6DE61F3"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C60A4DB"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2A14FE2"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182615A"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1DD81C7"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9C87F17"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BC0805B"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r>
      <w:tr w:rsidR="005819D2" w:rsidRPr="005516CD" w14:paraId="005F701E" w14:textId="77777777" w:rsidTr="003B49EF">
        <w:tc>
          <w:tcPr>
            <w:tcW w:w="2169" w:type="dxa"/>
            <w:vMerge/>
          </w:tcPr>
          <w:p w14:paraId="574E7E18"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lang w:val="fr-FR"/>
              </w:rPr>
            </w:pPr>
          </w:p>
        </w:tc>
        <w:tc>
          <w:tcPr>
            <w:tcW w:w="4170" w:type="dxa"/>
          </w:tcPr>
          <w:p w14:paraId="79483602" w14:textId="77777777" w:rsidR="005819D2" w:rsidRPr="005516CD" w:rsidRDefault="005819D2" w:rsidP="00DB26F9">
            <w:pPr>
              <w:ind w:left="-55" w:right="-30"/>
              <w:rPr>
                <w:rFonts w:asciiTheme="majorHAnsi" w:hAnsiTheme="majorHAnsi" w:cstheme="majorHAnsi"/>
                <w:sz w:val="20"/>
                <w:szCs w:val="20"/>
              </w:rPr>
            </w:pPr>
            <w:r w:rsidRPr="005516CD">
              <w:rPr>
                <w:rFonts w:asciiTheme="majorHAnsi" w:hAnsiTheme="majorHAnsi" w:cstheme="majorHAnsi"/>
                <w:sz w:val="20"/>
                <w:szCs w:val="20"/>
              </w:rPr>
              <w:t>Facilitation of contact and negotiations between producer organisations and private sector processors, retailers and exporters regarding supply agreements and contracts, and environmental and quality standards</w:t>
            </w:r>
          </w:p>
        </w:tc>
        <w:tc>
          <w:tcPr>
            <w:tcW w:w="388" w:type="dxa"/>
            <w:shd w:val="clear" w:color="auto" w:fill="auto"/>
          </w:tcPr>
          <w:p w14:paraId="624CDC04"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9A177D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2806781"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30F69E7"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515E729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F5E4FF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02E730C"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10075AB"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9AEE096"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4EAAE90"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A379C83"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27C0B08"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BC009A5"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13EF3AD"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71733E7"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02EE8BA"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2A3102B"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4B03157"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661A9C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BBB0298"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417F894E" w14:textId="77777777" w:rsidTr="003B49EF">
        <w:tc>
          <w:tcPr>
            <w:tcW w:w="2169" w:type="dxa"/>
            <w:vMerge/>
          </w:tcPr>
          <w:p w14:paraId="685CDBC7"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lang w:val="fr-FR"/>
              </w:rPr>
            </w:pPr>
          </w:p>
        </w:tc>
        <w:tc>
          <w:tcPr>
            <w:tcW w:w="4170" w:type="dxa"/>
          </w:tcPr>
          <w:p w14:paraId="4D6859EE" w14:textId="77777777" w:rsidR="005819D2" w:rsidRPr="005516CD" w:rsidRDefault="005819D2" w:rsidP="00DB26F9">
            <w:pPr>
              <w:ind w:left="-55" w:right="-30"/>
              <w:rPr>
                <w:rFonts w:asciiTheme="majorHAnsi" w:hAnsiTheme="majorHAnsi" w:cstheme="majorHAnsi"/>
                <w:sz w:val="20"/>
                <w:szCs w:val="20"/>
              </w:rPr>
            </w:pPr>
            <w:r w:rsidRPr="005516CD">
              <w:rPr>
                <w:rFonts w:asciiTheme="majorHAnsi" w:hAnsiTheme="majorHAnsi" w:cstheme="majorHAnsi"/>
                <w:sz w:val="20"/>
                <w:szCs w:val="20"/>
              </w:rPr>
              <w:t>Feasibility studies of PGS systems</w:t>
            </w:r>
          </w:p>
        </w:tc>
        <w:tc>
          <w:tcPr>
            <w:tcW w:w="388" w:type="dxa"/>
            <w:shd w:val="clear" w:color="auto" w:fill="auto"/>
          </w:tcPr>
          <w:p w14:paraId="374ED24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5E4FCCD"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CC3219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4ED2F0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1A329CE1"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2B91C16"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277423F"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43544F4"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AA304D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AFE129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01BD3D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69AC6A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AC3F5E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ABE1ED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AB33D6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9489EC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200B8E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0C3142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6E8A42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5EF89A0"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20F812AB" w14:textId="77777777" w:rsidTr="003B49EF">
        <w:tc>
          <w:tcPr>
            <w:tcW w:w="2169" w:type="dxa"/>
            <w:vMerge/>
          </w:tcPr>
          <w:p w14:paraId="54C3486E"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lang w:val="fr-FR"/>
              </w:rPr>
            </w:pPr>
          </w:p>
        </w:tc>
        <w:tc>
          <w:tcPr>
            <w:tcW w:w="4170" w:type="dxa"/>
          </w:tcPr>
          <w:p w14:paraId="62BE8EA8" w14:textId="77777777" w:rsidR="005819D2" w:rsidRPr="005516CD" w:rsidRDefault="005819D2" w:rsidP="00825FB9">
            <w:pPr>
              <w:ind w:left="-55" w:right="-30"/>
              <w:rPr>
                <w:rFonts w:asciiTheme="majorHAnsi" w:hAnsiTheme="majorHAnsi" w:cstheme="majorHAnsi"/>
                <w:sz w:val="20"/>
                <w:szCs w:val="20"/>
              </w:rPr>
            </w:pPr>
            <w:r w:rsidRPr="005516CD">
              <w:rPr>
                <w:rFonts w:asciiTheme="majorHAnsi" w:hAnsiTheme="majorHAnsi" w:cstheme="majorHAnsi"/>
                <w:sz w:val="20"/>
                <w:szCs w:val="20"/>
              </w:rPr>
              <w:t>Facilitation of establishment of PGS systems</w:t>
            </w:r>
          </w:p>
        </w:tc>
        <w:tc>
          <w:tcPr>
            <w:tcW w:w="388" w:type="dxa"/>
            <w:shd w:val="clear" w:color="auto" w:fill="auto"/>
          </w:tcPr>
          <w:p w14:paraId="4373B60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91BBD3B"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837563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DF3C817"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5C4FC5B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B61C40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0A9BDEB"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AE7D2F0"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A9410AF"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D50FF10"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755DB76"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3D0FEC1"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3CA177E"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AF40D78"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FB5A67C"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6C0C07B" w14:textId="77777777" w:rsidR="005819D2" w:rsidRPr="005516CD" w:rsidRDefault="00C84176"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BA51BE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82D4CD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CEA4DC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3B63ABC"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077A0358" w14:textId="77777777" w:rsidTr="003B49EF">
        <w:tc>
          <w:tcPr>
            <w:tcW w:w="2169" w:type="dxa"/>
          </w:tcPr>
          <w:p w14:paraId="67F0F1D3" w14:textId="77777777" w:rsidR="005819D2" w:rsidRPr="005516CD" w:rsidRDefault="005819D2" w:rsidP="00D66519">
            <w:pPr>
              <w:pStyle w:val="ListParagraph"/>
              <w:numPr>
                <w:ilvl w:val="2"/>
                <w:numId w:val="48"/>
              </w:numPr>
              <w:pBdr>
                <w:top w:val="none" w:sz="0" w:space="0" w:color="auto"/>
                <w:left w:val="none" w:sz="0" w:space="0" w:color="auto"/>
                <w:bottom w:val="none" w:sz="0" w:space="0" w:color="auto"/>
                <w:right w:val="none" w:sz="0" w:space="0" w:color="auto"/>
              </w:pBdr>
              <w:tabs>
                <w:tab w:val="left" w:pos="426"/>
              </w:tabs>
              <w:ind w:left="-117" w:right="96" w:firstLine="0"/>
              <w:rPr>
                <w:rFonts w:asciiTheme="majorHAnsi" w:hAnsiTheme="majorHAnsi" w:cstheme="majorHAnsi"/>
                <w:sz w:val="20"/>
                <w:szCs w:val="20"/>
                <w:lang w:val="en-GB"/>
              </w:rPr>
            </w:pPr>
            <w:r w:rsidRPr="005516CD">
              <w:rPr>
                <w:rFonts w:asciiTheme="majorHAnsi" w:hAnsiTheme="majorHAnsi" w:cstheme="majorHAnsi"/>
                <w:sz w:val="20"/>
                <w:szCs w:val="20"/>
                <w:lang w:val="en-GB"/>
              </w:rPr>
              <w:t>Increased involvement of chambers of commerce in support of sustainable production systems</w:t>
            </w:r>
          </w:p>
        </w:tc>
        <w:tc>
          <w:tcPr>
            <w:tcW w:w="4170" w:type="dxa"/>
          </w:tcPr>
          <w:p w14:paraId="217A2557"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Information events with chambers of commerce regarding supply and value chain options related to sustainable tree-based production systems, and facilitation of exchanges with producers</w:t>
            </w:r>
          </w:p>
        </w:tc>
        <w:tc>
          <w:tcPr>
            <w:tcW w:w="388" w:type="dxa"/>
            <w:shd w:val="clear" w:color="auto" w:fill="auto"/>
          </w:tcPr>
          <w:p w14:paraId="65F72D7B"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698AE5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A64ED3D"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CEE086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62C4A5E3" w14:textId="77777777" w:rsidR="005819D2" w:rsidRPr="005516CD" w:rsidRDefault="008B701E"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D1CF332" w14:textId="77777777" w:rsidR="005819D2" w:rsidRPr="005516CD" w:rsidRDefault="008B701E"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AAA970F" w14:textId="77777777" w:rsidR="005819D2" w:rsidRPr="005516CD" w:rsidRDefault="008B701E"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D7208BF" w14:textId="77777777" w:rsidR="005819D2" w:rsidRPr="005516CD" w:rsidRDefault="008B701E"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AC6493F" w14:textId="77777777" w:rsidR="005819D2" w:rsidRPr="005516CD" w:rsidRDefault="008B701E"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3F4E920" w14:textId="77777777" w:rsidR="005819D2" w:rsidRPr="005516CD" w:rsidRDefault="008B701E"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5A0588C" w14:textId="77777777" w:rsidR="005819D2" w:rsidRPr="005516CD" w:rsidRDefault="008B701E"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371F097" w14:textId="77777777" w:rsidR="005819D2" w:rsidRPr="005516CD" w:rsidRDefault="008B701E"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527A2E6"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CA14DC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331F80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F040BF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94CC9A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1E0859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D72236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EC6460C" w14:textId="77777777" w:rsidR="005819D2" w:rsidRPr="005516CD" w:rsidRDefault="005819D2" w:rsidP="007B146B">
            <w:pPr>
              <w:ind w:left="-232" w:right="-164"/>
              <w:jc w:val="center"/>
              <w:rPr>
                <w:rFonts w:asciiTheme="majorHAnsi" w:hAnsiTheme="majorHAnsi" w:cstheme="majorHAnsi"/>
                <w:sz w:val="20"/>
                <w:szCs w:val="20"/>
              </w:rPr>
            </w:pPr>
          </w:p>
        </w:tc>
      </w:tr>
      <w:tr w:rsidR="003B49EF" w:rsidRPr="005516CD" w14:paraId="7AC1FE84" w14:textId="77777777" w:rsidTr="003B49EF">
        <w:tc>
          <w:tcPr>
            <w:tcW w:w="14118" w:type="dxa"/>
            <w:gridSpan w:val="22"/>
            <w:shd w:val="clear" w:color="auto" w:fill="D9D9D9" w:themeFill="background1" w:themeFillShade="D9"/>
          </w:tcPr>
          <w:p w14:paraId="6EDEF74C" w14:textId="77777777" w:rsidR="003B49EF" w:rsidRPr="005516CD" w:rsidRDefault="003B49EF" w:rsidP="003C3AC2">
            <w:pPr>
              <w:keepNext/>
              <w:ind w:left="-113" w:right="-164"/>
              <w:rPr>
                <w:rFonts w:asciiTheme="majorHAnsi" w:hAnsiTheme="majorHAnsi" w:cstheme="majorHAnsi"/>
                <w:b/>
                <w:i/>
                <w:sz w:val="20"/>
                <w:szCs w:val="20"/>
              </w:rPr>
            </w:pPr>
            <w:r w:rsidRPr="005516CD">
              <w:rPr>
                <w:rFonts w:asciiTheme="majorHAnsi" w:hAnsiTheme="majorHAnsi" w:cstheme="majorHAnsi"/>
                <w:b/>
                <w:i/>
                <w:sz w:val="20"/>
                <w:szCs w:val="20"/>
              </w:rPr>
              <w:t>Output 2.1 Improved service delivery systems for technical assistance</w:t>
            </w:r>
          </w:p>
        </w:tc>
      </w:tr>
      <w:tr w:rsidR="005819D2" w:rsidRPr="005516CD" w14:paraId="5D22B852" w14:textId="77777777" w:rsidTr="003B49EF">
        <w:tc>
          <w:tcPr>
            <w:tcW w:w="2169" w:type="dxa"/>
            <w:vMerge w:val="restart"/>
          </w:tcPr>
          <w:p w14:paraId="7F4DFAF8" w14:textId="77777777" w:rsidR="005819D2" w:rsidRPr="005516CD" w:rsidRDefault="005819D2" w:rsidP="00484074">
            <w:pPr>
              <w:tabs>
                <w:tab w:val="left" w:pos="426"/>
              </w:tabs>
              <w:ind w:left="-113" w:right="96"/>
              <w:rPr>
                <w:rFonts w:asciiTheme="majorHAnsi" w:hAnsiTheme="majorHAnsi" w:cstheme="majorHAnsi"/>
                <w:sz w:val="20"/>
                <w:szCs w:val="20"/>
              </w:rPr>
            </w:pPr>
            <w:r w:rsidRPr="005516CD">
              <w:rPr>
                <w:rFonts w:asciiTheme="majorHAnsi" w:hAnsiTheme="majorHAnsi" w:cstheme="majorHAnsi"/>
                <w:sz w:val="20"/>
                <w:szCs w:val="20"/>
              </w:rPr>
              <w:t>2.1.1 Mechanisms for the generation and transfer of knowledge on the application of tree-based systems generating multiple environmental benefits</w:t>
            </w:r>
          </w:p>
        </w:tc>
        <w:tc>
          <w:tcPr>
            <w:tcW w:w="4170" w:type="dxa"/>
          </w:tcPr>
          <w:p w14:paraId="6DA20762"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Community-level participatory situation analyses and mapping, resulting in the prioritisation and spatial zoning of production systems to be supported by technical assistance</w:t>
            </w:r>
          </w:p>
        </w:tc>
        <w:tc>
          <w:tcPr>
            <w:tcW w:w="388" w:type="dxa"/>
            <w:shd w:val="clear" w:color="auto" w:fill="auto"/>
          </w:tcPr>
          <w:p w14:paraId="7C022E3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AB3D84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07E30EE" w14:textId="77777777" w:rsidR="005819D2" w:rsidRPr="005516CD" w:rsidRDefault="00EE001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6427F965" w14:textId="77777777" w:rsidR="005819D2" w:rsidRPr="005516CD" w:rsidRDefault="00EE001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C9776D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9B756E6"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98D76F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319D18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087DBD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708CE7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7E5C0D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424AE0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E3466C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B56E6C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FDF88D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D91EE0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264A24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9B1AE9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083D74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CE6CBBC"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649678BB" w14:textId="77777777" w:rsidTr="003B49EF">
        <w:tc>
          <w:tcPr>
            <w:tcW w:w="2169" w:type="dxa"/>
            <w:vMerge/>
          </w:tcPr>
          <w:p w14:paraId="18061781" w14:textId="77777777" w:rsidR="005819D2" w:rsidRPr="005516CD" w:rsidRDefault="005819D2" w:rsidP="00484074">
            <w:pPr>
              <w:tabs>
                <w:tab w:val="left" w:pos="426"/>
              </w:tabs>
              <w:ind w:left="-113" w:right="96"/>
              <w:rPr>
                <w:rFonts w:asciiTheme="majorHAnsi" w:hAnsiTheme="majorHAnsi" w:cstheme="majorHAnsi"/>
                <w:sz w:val="20"/>
                <w:szCs w:val="20"/>
                <w:lang w:val="fr-FR"/>
              </w:rPr>
            </w:pPr>
          </w:p>
        </w:tc>
        <w:tc>
          <w:tcPr>
            <w:tcW w:w="4170" w:type="dxa"/>
          </w:tcPr>
          <w:p w14:paraId="3CC0710D"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Support to farmers in prioritising productive options and preparing proposals for support by partner projects</w:t>
            </w:r>
          </w:p>
        </w:tc>
        <w:tc>
          <w:tcPr>
            <w:tcW w:w="388" w:type="dxa"/>
            <w:shd w:val="clear" w:color="auto" w:fill="auto"/>
          </w:tcPr>
          <w:p w14:paraId="3DBDDA9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778792D"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3CD796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CB75E41"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41A7A46D"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75BC80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714C978"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381EB24"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A26A94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839FE7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3E3C8A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494F1E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110F8D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3274CB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5B6BEA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EBCF30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1C3E54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34096B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FE19E0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D774B73"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3AEBCACB" w14:textId="77777777" w:rsidTr="003B49EF">
        <w:tc>
          <w:tcPr>
            <w:tcW w:w="2169" w:type="dxa"/>
            <w:vMerge/>
          </w:tcPr>
          <w:p w14:paraId="7BA284CF" w14:textId="77777777" w:rsidR="005819D2" w:rsidRPr="005516CD" w:rsidRDefault="005819D2" w:rsidP="00484074">
            <w:pPr>
              <w:tabs>
                <w:tab w:val="left" w:pos="426"/>
              </w:tabs>
              <w:ind w:left="-113" w:right="96"/>
              <w:rPr>
                <w:rFonts w:asciiTheme="majorHAnsi" w:hAnsiTheme="majorHAnsi" w:cstheme="majorHAnsi"/>
                <w:sz w:val="20"/>
                <w:szCs w:val="20"/>
                <w:lang w:val="fr-FR"/>
              </w:rPr>
            </w:pPr>
          </w:p>
        </w:tc>
        <w:tc>
          <w:tcPr>
            <w:tcW w:w="4170" w:type="dxa"/>
          </w:tcPr>
          <w:p w14:paraId="24CDE21A"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Training of service providers in technical aspects of sustainable tree-based production systems and businesses</w:t>
            </w:r>
          </w:p>
        </w:tc>
        <w:tc>
          <w:tcPr>
            <w:tcW w:w="388" w:type="dxa"/>
            <w:shd w:val="clear" w:color="auto" w:fill="auto"/>
          </w:tcPr>
          <w:p w14:paraId="0967BE5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BFCC5B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B3B238D"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6CFB91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69FD1553"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D280D2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48DA8F8"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998327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ED41F1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AB9DA4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6F7814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0265B9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A9402C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B3A4C4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68C1E8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87CBEE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4B42F8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F90543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EFC8E3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9E896BF"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132EE02F" w14:textId="77777777" w:rsidTr="003B49EF">
        <w:tc>
          <w:tcPr>
            <w:tcW w:w="2169" w:type="dxa"/>
            <w:vMerge/>
          </w:tcPr>
          <w:p w14:paraId="02CFAA70" w14:textId="77777777" w:rsidR="005819D2" w:rsidRPr="005516CD" w:rsidRDefault="005819D2" w:rsidP="00484074">
            <w:pPr>
              <w:tabs>
                <w:tab w:val="left" w:pos="426"/>
              </w:tabs>
              <w:ind w:left="-113" w:right="96"/>
              <w:rPr>
                <w:rFonts w:asciiTheme="majorHAnsi" w:hAnsiTheme="majorHAnsi" w:cstheme="majorHAnsi"/>
                <w:sz w:val="20"/>
                <w:szCs w:val="20"/>
                <w:lang w:val="fr-FR"/>
              </w:rPr>
            </w:pPr>
          </w:p>
        </w:tc>
        <w:tc>
          <w:tcPr>
            <w:tcW w:w="4170" w:type="dxa"/>
          </w:tcPr>
          <w:p w14:paraId="73CA323F"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Establishment and facilitation of Farmer Field Schools for producers supported directly with GEF resources</w:t>
            </w:r>
          </w:p>
        </w:tc>
        <w:tc>
          <w:tcPr>
            <w:tcW w:w="388" w:type="dxa"/>
            <w:shd w:val="clear" w:color="auto" w:fill="auto"/>
          </w:tcPr>
          <w:p w14:paraId="2EF6977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51EB03D"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55BEA7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23F2DB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7CCAFA0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1E6283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5A1D22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C08B60D"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53D094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199F30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A0D7EF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2CD2D6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454FBD4"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B4DBB4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0163C4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01447F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518A698"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DBBD7F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A598BF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85AEC7A"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6A05F68A" w14:textId="77777777" w:rsidTr="003B49EF">
        <w:tc>
          <w:tcPr>
            <w:tcW w:w="2169" w:type="dxa"/>
            <w:vMerge w:val="restart"/>
          </w:tcPr>
          <w:p w14:paraId="085B3914" w14:textId="77777777" w:rsidR="005819D2" w:rsidRPr="005516CD" w:rsidRDefault="005819D2" w:rsidP="00484074">
            <w:pPr>
              <w:tabs>
                <w:tab w:val="left" w:pos="426"/>
              </w:tabs>
              <w:ind w:left="-113" w:right="96"/>
              <w:rPr>
                <w:rFonts w:asciiTheme="majorHAnsi" w:hAnsiTheme="majorHAnsi" w:cstheme="majorHAnsi"/>
                <w:sz w:val="20"/>
                <w:szCs w:val="20"/>
              </w:rPr>
            </w:pPr>
            <w:r w:rsidRPr="005516CD">
              <w:rPr>
                <w:rFonts w:asciiTheme="majorHAnsi" w:hAnsiTheme="majorHAnsi" w:cstheme="majorHAnsi"/>
                <w:sz w:val="20"/>
                <w:szCs w:val="20"/>
              </w:rPr>
              <w:t>2.1.2 Technical guidelines and extension materials on the management of tree-based production systems.</w:t>
            </w:r>
          </w:p>
        </w:tc>
        <w:tc>
          <w:tcPr>
            <w:tcW w:w="4170" w:type="dxa"/>
          </w:tcPr>
          <w:p w14:paraId="2EA96B1D"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Formulation and production of technical guidelines and extension material</w:t>
            </w:r>
          </w:p>
        </w:tc>
        <w:tc>
          <w:tcPr>
            <w:tcW w:w="388" w:type="dxa"/>
            <w:shd w:val="clear" w:color="auto" w:fill="auto"/>
          </w:tcPr>
          <w:p w14:paraId="347F0FE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990E42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68CCB7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2654E6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737E4AB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F0450C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39AB7A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185779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84891C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30D373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D0B199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DE2421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C0E9D6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7B9A74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8540CD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B7E569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8CCFD0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B13E06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49436E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50BA000"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577C710B" w14:textId="77777777" w:rsidTr="003B49EF">
        <w:tc>
          <w:tcPr>
            <w:tcW w:w="2169" w:type="dxa"/>
            <w:vMerge/>
          </w:tcPr>
          <w:p w14:paraId="01D00479" w14:textId="77777777" w:rsidR="005819D2" w:rsidRPr="005516CD" w:rsidRDefault="005819D2" w:rsidP="00484074">
            <w:pPr>
              <w:tabs>
                <w:tab w:val="left" w:pos="426"/>
              </w:tabs>
              <w:ind w:left="-113" w:right="96"/>
              <w:rPr>
                <w:rFonts w:asciiTheme="majorHAnsi" w:hAnsiTheme="majorHAnsi" w:cstheme="majorHAnsi"/>
                <w:sz w:val="20"/>
                <w:szCs w:val="20"/>
                <w:lang w:val="fr-FR"/>
              </w:rPr>
            </w:pPr>
          </w:p>
        </w:tc>
        <w:tc>
          <w:tcPr>
            <w:tcW w:w="4170" w:type="dxa"/>
          </w:tcPr>
          <w:p w14:paraId="24483E7F"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Launching and distribution of materials</w:t>
            </w:r>
          </w:p>
        </w:tc>
        <w:tc>
          <w:tcPr>
            <w:tcW w:w="388" w:type="dxa"/>
            <w:shd w:val="clear" w:color="auto" w:fill="auto"/>
          </w:tcPr>
          <w:p w14:paraId="02924BE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175DAF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15F1D7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8FA2AE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504BF2F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CB5104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93D404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DD7427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61D1623"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4E706D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DFD726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F1B3B54"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2BFD1D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3E30F0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8C3A60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4C44BE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99FD69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3F7851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9B9AC5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314FEB7"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75E50757" w14:textId="77777777" w:rsidTr="003B49EF">
        <w:tc>
          <w:tcPr>
            <w:tcW w:w="2169" w:type="dxa"/>
            <w:vMerge/>
          </w:tcPr>
          <w:p w14:paraId="5C09A689" w14:textId="77777777" w:rsidR="005819D2" w:rsidRPr="005516CD" w:rsidRDefault="005819D2" w:rsidP="00484074">
            <w:pPr>
              <w:tabs>
                <w:tab w:val="left" w:pos="426"/>
              </w:tabs>
              <w:ind w:left="-113" w:right="96"/>
              <w:rPr>
                <w:rFonts w:asciiTheme="majorHAnsi" w:hAnsiTheme="majorHAnsi" w:cstheme="majorHAnsi"/>
                <w:sz w:val="20"/>
                <w:szCs w:val="20"/>
                <w:lang w:val="fr-FR"/>
              </w:rPr>
            </w:pPr>
          </w:p>
        </w:tc>
        <w:tc>
          <w:tcPr>
            <w:tcW w:w="4170" w:type="dxa"/>
          </w:tcPr>
          <w:p w14:paraId="7946CA0E"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Follow-up meetings for promotion of materials, orientation on their interpretation and use, and assessment of update and effectiveness</w:t>
            </w:r>
          </w:p>
        </w:tc>
        <w:tc>
          <w:tcPr>
            <w:tcW w:w="388" w:type="dxa"/>
            <w:shd w:val="clear" w:color="auto" w:fill="auto"/>
          </w:tcPr>
          <w:p w14:paraId="2BC277B1"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E769DD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7920119"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740D43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5D19AA9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CB2BC5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FF16DF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C14745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7BF549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21D06C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E9A365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D249CD4"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0A11AF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F94B7D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75EB1B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6D3985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E86F3B4"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A40148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760A4E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1A4448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r>
      <w:tr w:rsidR="003B49EF" w:rsidRPr="005516CD" w14:paraId="2EB5B4D0" w14:textId="77777777" w:rsidTr="003B49EF">
        <w:tc>
          <w:tcPr>
            <w:tcW w:w="14118" w:type="dxa"/>
            <w:gridSpan w:val="22"/>
            <w:shd w:val="clear" w:color="auto" w:fill="D9D9D9" w:themeFill="background1" w:themeFillShade="D9"/>
          </w:tcPr>
          <w:p w14:paraId="6E5785D2" w14:textId="77777777" w:rsidR="003B49EF" w:rsidRPr="005516CD" w:rsidRDefault="003B49EF" w:rsidP="003C3AC2">
            <w:pPr>
              <w:keepNext/>
              <w:ind w:left="-113" w:right="-164"/>
              <w:rPr>
                <w:rFonts w:asciiTheme="majorHAnsi" w:hAnsiTheme="majorHAnsi" w:cstheme="majorHAnsi"/>
                <w:b/>
                <w:i/>
                <w:sz w:val="20"/>
                <w:szCs w:val="20"/>
              </w:rPr>
            </w:pPr>
            <w:r w:rsidRPr="005516CD">
              <w:rPr>
                <w:rFonts w:asciiTheme="majorHAnsi" w:hAnsiTheme="majorHAnsi" w:cstheme="majorHAnsi"/>
                <w:b/>
                <w:i/>
                <w:sz w:val="20"/>
                <w:szCs w:val="20"/>
              </w:rPr>
              <w:t>Output 2.2 Improved financing mechanisms for tree-based production systems</w:t>
            </w:r>
          </w:p>
        </w:tc>
      </w:tr>
      <w:tr w:rsidR="005819D2" w:rsidRPr="005516CD" w14:paraId="552658B2" w14:textId="77777777" w:rsidTr="003B49EF">
        <w:tc>
          <w:tcPr>
            <w:tcW w:w="2169" w:type="dxa"/>
          </w:tcPr>
          <w:p w14:paraId="0BE65C38" w14:textId="77777777" w:rsidR="005819D2" w:rsidRPr="005516CD" w:rsidRDefault="005819D2" w:rsidP="00484074">
            <w:pPr>
              <w:tabs>
                <w:tab w:val="left" w:pos="426"/>
              </w:tabs>
              <w:ind w:left="-113" w:right="96"/>
              <w:rPr>
                <w:rFonts w:asciiTheme="majorHAnsi" w:hAnsiTheme="majorHAnsi" w:cstheme="majorHAnsi"/>
                <w:sz w:val="20"/>
                <w:szCs w:val="20"/>
              </w:rPr>
            </w:pPr>
            <w:r w:rsidRPr="005516CD">
              <w:rPr>
                <w:rFonts w:asciiTheme="majorHAnsi" w:hAnsiTheme="majorHAnsi" w:cstheme="majorHAnsi"/>
                <w:sz w:val="20"/>
                <w:szCs w:val="20"/>
              </w:rPr>
              <w:t>2.2.1 Analysis and guidance materials on creditworthiness of businesses related to tree-based production systems</w:t>
            </w:r>
          </w:p>
        </w:tc>
        <w:tc>
          <w:tcPr>
            <w:tcW w:w="4170" w:type="dxa"/>
          </w:tcPr>
          <w:p w14:paraId="1F6C7CDA"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Creditworthiness studies of selected businesses (business and financial management capacities, access to guarantees, profitability, markets).</w:t>
            </w:r>
          </w:p>
        </w:tc>
        <w:tc>
          <w:tcPr>
            <w:tcW w:w="388" w:type="dxa"/>
            <w:shd w:val="clear" w:color="auto" w:fill="auto"/>
          </w:tcPr>
          <w:p w14:paraId="1FFE8CF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3739EE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5A4BBD9"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BC72DD4"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4335E81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616B965"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0D2F9C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8C5604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70C1A0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64E5C6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73B8C3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27E3D8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00AEB9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DFDA6D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6F6B15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0FD4C3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061A10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C6AD16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8F0F43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ED53A31"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278660E5" w14:textId="77777777" w:rsidTr="003B49EF">
        <w:tc>
          <w:tcPr>
            <w:tcW w:w="2169" w:type="dxa"/>
            <w:vMerge w:val="restart"/>
          </w:tcPr>
          <w:p w14:paraId="3B2577E9" w14:textId="77777777" w:rsidR="005819D2" w:rsidRPr="005516CD" w:rsidRDefault="005819D2" w:rsidP="00484074">
            <w:pPr>
              <w:tabs>
                <w:tab w:val="left" w:pos="426"/>
              </w:tabs>
              <w:ind w:left="-113" w:right="96"/>
              <w:rPr>
                <w:rFonts w:asciiTheme="majorHAnsi" w:hAnsiTheme="majorHAnsi" w:cstheme="majorHAnsi"/>
                <w:sz w:val="20"/>
                <w:szCs w:val="20"/>
              </w:rPr>
            </w:pPr>
            <w:r w:rsidRPr="005516CD">
              <w:rPr>
                <w:rFonts w:asciiTheme="majorHAnsi" w:hAnsiTheme="majorHAnsi" w:cstheme="majorHAnsi"/>
                <w:sz w:val="20"/>
                <w:szCs w:val="20"/>
              </w:rPr>
              <w:t>2.2.2 Tree-based businesses with capacities to take on and manage finance</w:t>
            </w:r>
          </w:p>
        </w:tc>
        <w:tc>
          <w:tcPr>
            <w:tcW w:w="4170" w:type="dxa"/>
          </w:tcPr>
          <w:p w14:paraId="2775F7EB" w14:textId="77777777" w:rsidR="005819D2" w:rsidRPr="005516CD" w:rsidRDefault="005819D2" w:rsidP="000944D1">
            <w:pPr>
              <w:ind w:left="-55" w:right="-30"/>
              <w:rPr>
                <w:rFonts w:asciiTheme="majorHAnsi" w:hAnsiTheme="majorHAnsi" w:cstheme="majorHAnsi"/>
                <w:sz w:val="20"/>
                <w:szCs w:val="20"/>
                <w:lang w:val="en-US"/>
              </w:rPr>
            </w:pPr>
            <w:r w:rsidRPr="005516CD">
              <w:rPr>
                <w:rFonts w:asciiTheme="majorHAnsi" w:hAnsiTheme="majorHAnsi" w:cstheme="majorHAnsi"/>
                <w:sz w:val="20"/>
                <w:szCs w:val="20"/>
                <w:lang w:val="en-US"/>
              </w:rPr>
              <w:t>Facilitation of business planning in preparation for accessing finance</w:t>
            </w:r>
          </w:p>
        </w:tc>
        <w:tc>
          <w:tcPr>
            <w:tcW w:w="388" w:type="dxa"/>
            <w:shd w:val="clear" w:color="auto" w:fill="auto"/>
          </w:tcPr>
          <w:p w14:paraId="73B4B6C7"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6D4EA4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12C748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17FCEB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1F2B052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07055A5"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092890D"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0A07B5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7A75964"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A1D58E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2E8C36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69C26D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F8A242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19AB3A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6EBF22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4B68BA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A176CE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FB932A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ED929F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C2C38A8"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5D658B8E" w14:textId="77777777" w:rsidTr="003B49EF">
        <w:tc>
          <w:tcPr>
            <w:tcW w:w="2169" w:type="dxa"/>
            <w:vMerge/>
          </w:tcPr>
          <w:p w14:paraId="693FFF31" w14:textId="77777777" w:rsidR="005819D2" w:rsidRPr="005516CD" w:rsidRDefault="005819D2" w:rsidP="00484074">
            <w:pPr>
              <w:tabs>
                <w:tab w:val="left" w:pos="426"/>
              </w:tabs>
              <w:ind w:left="-113" w:right="96"/>
              <w:rPr>
                <w:rFonts w:asciiTheme="majorHAnsi" w:hAnsiTheme="majorHAnsi" w:cstheme="majorHAnsi"/>
                <w:sz w:val="20"/>
                <w:szCs w:val="20"/>
                <w:lang w:val="fr-FR"/>
              </w:rPr>
            </w:pPr>
          </w:p>
        </w:tc>
        <w:tc>
          <w:tcPr>
            <w:tcW w:w="4170" w:type="dxa"/>
          </w:tcPr>
          <w:p w14:paraId="572DD803" w14:textId="77777777" w:rsidR="005819D2" w:rsidRPr="005516CD" w:rsidRDefault="005819D2" w:rsidP="007B146B">
            <w:pPr>
              <w:ind w:left="-55" w:right="-30"/>
              <w:rPr>
                <w:rFonts w:asciiTheme="majorHAnsi" w:hAnsiTheme="majorHAnsi" w:cstheme="majorHAnsi"/>
                <w:sz w:val="20"/>
                <w:szCs w:val="20"/>
                <w:lang w:val="en-US"/>
              </w:rPr>
            </w:pPr>
            <w:r w:rsidRPr="005516CD">
              <w:rPr>
                <w:rFonts w:asciiTheme="majorHAnsi" w:hAnsiTheme="majorHAnsi" w:cstheme="majorHAnsi"/>
                <w:sz w:val="20"/>
                <w:szCs w:val="20"/>
                <w:lang w:val="en-US"/>
              </w:rPr>
              <w:t>Identification and selection of potential sources of finance</w:t>
            </w:r>
          </w:p>
        </w:tc>
        <w:tc>
          <w:tcPr>
            <w:tcW w:w="388" w:type="dxa"/>
            <w:shd w:val="clear" w:color="auto" w:fill="auto"/>
          </w:tcPr>
          <w:p w14:paraId="14C4C36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B8A32B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5FC89BED"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E12C03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206403A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7EBD336"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D12A065"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EA0447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56F7A25"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0ADD375"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795E634"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CAD234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92FE7B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DDA775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120D5C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3B58A8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690647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C69FF2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96DFBD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B63594B"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54C45FC7" w14:textId="77777777" w:rsidTr="003B49EF">
        <w:tc>
          <w:tcPr>
            <w:tcW w:w="2169" w:type="dxa"/>
            <w:vMerge/>
          </w:tcPr>
          <w:p w14:paraId="1BA7A36D" w14:textId="77777777" w:rsidR="005819D2" w:rsidRPr="005516CD" w:rsidRDefault="005819D2" w:rsidP="00484074">
            <w:pPr>
              <w:tabs>
                <w:tab w:val="left" w:pos="426"/>
              </w:tabs>
              <w:ind w:left="-113" w:right="96"/>
              <w:rPr>
                <w:rFonts w:asciiTheme="majorHAnsi" w:hAnsiTheme="majorHAnsi" w:cstheme="majorHAnsi"/>
                <w:sz w:val="20"/>
                <w:szCs w:val="20"/>
                <w:lang w:val="fr-FR"/>
              </w:rPr>
            </w:pPr>
          </w:p>
        </w:tc>
        <w:tc>
          <w:tcPr>
            <w:tcW w:w="4170" w:type="dxa"/>
          </w:tcPr>
          <w:p w14:paraId="0935421A"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lang w:val="en-US"/>
              </w:rPr>
              <w:t xml:space="preserve">Development of capacities (skills and systems) for </w:t>
            </w:r>
            <w:r w:rsidRPr="005516CD">
              <w:rPr>
                <w:rFonts w:asciiTheme="majorHAnsi" w:hAnsiTheme="majorHAnsi" w:cstheme="majorHAnsi"/>
                <w:sz w:val="20"/>
                <w:szCs w:val="20"/>
              </w:rPr>
              <w:t>business</w:t>
            </w:r>
            <w:r w:rsidRPr="005516CD">
              <w:rPr>
                <w:rFonts w:asciiTheme="majorHAnsi" w:hAnsiTheme="majorHAnsi" w:cstheme="majorHAnsi"/>
                <w:sz w:val="20"/>
                <w:szCs w:val="20"/>
                <w:lang w:val="en-US"/>
              </w:rPr>
              <w:t xml:space="preserve"> and financial management.</w:t>
            </w:r>
          </w:p>
        </w:tc>
        <w:tc>
          <w:tcPr>
            <w:tcW w:w="388" w:type="dxa"/>
            <w:shd w:val="clear" w:color="auto" w:fill="auto"/>
          </w:tcPr>
          <w:p w14:paraId="5B35871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F8C0DD7"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AFBC97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86BFA2D"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01694913"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F24FE46"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93B88E5"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BFF606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F21430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A14481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71D91A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46ADAC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25846A8"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F9B7B9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AE2150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E4E2D2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825EE3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23028F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CA0710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21D2FED"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2B018B65" w14:textId="77777777" w:rsidTr="003B49EF">
        <w:tc>
          <w:tcPr>
            <w:tcW w:w="2169" w:type="dxa"/>
            <w:vMerge w:val="restart"/>
          </w:tcPr>
          <w:p w14:paraId="0C9B367A" w14:textId="77777777" w:rsidR="005819D2" w:rsidRPr="005516CD" w:rsidRDefault="005819D2" w:rsidP="00484074">
            <w:pPr>
              <w:tabs>
                <w:tab w:val="left" w:pos="426"/>
              </w:tabs>
              <w:ind w:left="-113" w:right="96"/>
              <w:rPr>
                <w:rFonts w:asciiTheme="majorHAnsi" w:hAnsiTheme="majorHAnsi" w:cstheme="majorHAnsi"/>
                <w:sz w:val="20"/>
                <w:szCs w:val="20"/>
              </w:rPr>
            </w:pPr>
            <w:r w:rsidRPr="005516CD">
              <w:rPr>
                <w:rFonts w:asciiTheme="majorHAnsi" w:hAnsiTheme="majorHAnsi" w:cstheme="majorHAnsi"/>
                <w:sz w:val="20"/>
                <w:szCs w:val="20"/>
              </w:rPr>
              <w:t>2.2.3 Credit packages developed and offered by diverse financing sources</w:t>
            </w:r>
          </w:p>
        </w:tc>
        <w:tc>
          <w:tcPr>
            <w:tcW w:w="4170" w:type="dxa"/>
          </w:tcPr>
          <w:p w14:paraId="3985B05A"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Awareness raising materials and meetings/events with finance institutions</w:t>
            </w:r>
          </w:p>
        </w:tc>
        <w:tc>
          <w:tcPr>
            <w:tcW w:w="388" w:type="dxa"/>
            <w:shd w:val="clear" w:color="auto" w:fill="auto"/>
          </w:tcPr>
          <w:p w14:paraId="58CB31D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6446B24"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9CEE99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1E52C5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2FE1D1B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536BBA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FCA10F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5FACED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1DEF863"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1EBAA5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8F34E55"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910F49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A8409F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67E282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0D77CE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5E01CE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1C1F2C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88CBE2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A68890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75ECD95"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0F817B64" w14:textId="77777777" w:rsidTr="003B49EF">
        <w:tc>
          <w:tcPr>
            <w:tcW w:w="2169" w:type="dxa"/>
            <w:vMerge/>
          </w:tcPr>
          <w:p w14:paraId="754D795B" w14:textId="77777777" w:rsidR="005819D2" w:rsidRPr="005516CD" w:rsidRDefault="005819D2" w:rsidP="00484074">
            <w:pPr>
              <w:tabs>
                <w:tab w:val="left" w:pos="426"/>
              </w:tabs>
              <w:ind w:left="-113" w:right="96"/>
              <w:rPr>
                <w:rFonts w:asciiTheme="majorHAnsi" w:hAnsiTheme="majorHAnsi" w:cstheme="majorHAnsi"/>
                <w:sz w:val="20"/>
                <w:szCs w:val="20"/>
                <w:lang w:val="fr-FR"/>
              </w:rPr>
            </w:pPr>
          </w:p>
        </w:tc>
        <w:tc>
          <w:tcPr>
            <w:tcW w:w="4170" w:type="dxa"/>
          </w:tcPr>
          <w:p w14:paraId="383585D4"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Facilitation of strategic planning by finance institutions to make provision for including credit packages for businesses based on tree-based production systems</w:t>
            </w:r>
          </w:p>
        </w:tc>
        <w:tc>
          <w:tcPr>
            <w:tcW w:w="388" w:type="dxa"/>
            <w:shd w:val="clear" w:color="auto" w:fill="auto"/>
          </w:tcPr>
          <w:p w14:paraId="785BF3E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AA8AF3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457E4EB"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AF5EDE7"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37B48B4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4505D9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A233D2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4EEC09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65F2126"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A875C9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5F7BFA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C806FB8"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64A979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66A6936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F72F4C6"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825158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1B81F28"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F901B1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66B5DB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FF6860D"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2F2A3BD2" w14:textId="77777777" w:rsidTr="003B49EF">
        <w:tc>
          <w:tcPr>
            <w:tcW w:w="2169" w:type="dxa"/>
            <w:vMerge/>
          </w:tcPr>
          <w:p w14:paraId="7567568F" w14:textId="77777777" w:rsidR="005819D2" w:rsidRPr="005516CD" w:rsidRDefault="005819D2" w:rsidP="00484074">
            <w:pPr>
              <w:tabs>
                <w:tab w:val="left" w:pos="426"/>
              </w:tabs>
              <w:ind w:left="-113" w:right="96"/>
              <w:rPr>
                <w:rFonts w:asciiTheme="majorHAnsi" w:hAnsiTheme="majorHAnsi" w:cstheme="majorHAnsi"/>
                <w:sz w:val="20"/>
                <w:szCs w:val="20"/>
                <w:lang w:val="fr-FR"/>
              </w:rPr>
            </w:pPr>
          </w:p>
        </w:tc>
        <w:tc>
          <w:tcPr>
            <w:tcW w:w="4170" w:type="dxa"/>
          </w:tcPr>
          <w:p w14:paraId="1870A4BD"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Facilitation of discussions between finance institutions and potential beneficiaries</w:t>
            </w:r>
          </w:p>
        </w:tc>
        <w:tc>
          <w:tcPr>
            <w:tcW w:w="388" w:type="dxa"/>
            <w:shd w:val="clear" w:color="auto" w:fill="auto"/>
          </w:tcPr>
          <w:p w14:paraId="346C92A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4428F5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8810C4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9C1420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260E196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5F038C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BBE763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4CA12F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74678A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58F803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D36F794"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0C4BFA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6FA6B0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FE8A5D6"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2B2EE8B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1A2BCD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B33C12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B85B35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33EA11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4B7EDCA" w14:textId="77777777" w:rsidR="005819D2" w:rsidRPr="005516CD" w:rsidRDefault="005819D2" w:rsidP="007B146B">
            <w:pPr>
              <w:ind w:left="-232" w:right="-164"/>
              <w:jc w:val="center"/>
              <w:rPr>
                <w:rFonts w:asciiTheme="majorHAnsi" w:hAnsiTheme="majorHAnsi" w:cstheme="majorHAnsi"/>
                <w:sz w:val="20"/>
                <w:szCs w:val="20"/>
              </w:rPr>
            </w:pPr>
          </w:p>
        </w:tc>
      </w:tr>
      <w:tr w:rsidR="003B49EF" w:rsidRPr="005516CD" w14:paraId="4637A161" w14:textId="77777777" w:rsidTr="003B49EF">
        <w:tc>
          <w:tcPr>
            <w:tcW w:w="14118" w:type="dxa"/>
            <w:gridSpan w:val="22"/>
            <w:shd w:val="clear" w:color="auto" w:fill="D9D9D9" w:themeFill="background1" w:themeFillShade="D9"/>
          </w:tcPr>
          <w:p w14:paraId="0245AE2D" w14:textId="77777777" w:rsidR="003B49EF" w:rsidRPr="005516CD" w:rsidRDefault="003B49EF" w:rsidP="003C3AC2">
            <w:pPr>
              <w:keepNext/>
              <w:ind w:left="-113" w:right="-164"/>
              <w:rPr>
                <w:rFonts w:asciiTheme="majorHAnsi" w:hAnsiTheme="majorHAnsi" w:cstheme="majorHAnsi"/>
                <w:b/>
                <w:i/>
                <w:sz w:val="20"/>
                <w:szCs w:val="20"/>
              </w:rPr>
            </w:pPr>
            <w:r w:rsidRPr="005516CD">
              <w:rPr>
                <w:rFonts w:asciiTheme="majorHAnsi" w:hAnsiTheme="majorHAnsi" w:cstheme="majorHAnsi"/>
                <w:b/>
                <w:i/>
                <w:sz w:val="20"/>
                <w:szCs w:val="20"/>
              </w:rPr>
              <w:t>Output 2.3 Capacities for generating revenue from tree-based systems on farm</w:t>
            </w:r>
          </w:p>
        </w:tc>
      </w:tr>
      <w:tr w:rsidR="005819D2" w:rsidRPr="005516CD" w14:paraId="0BBB614C" w14:textId="77777777" w:rsidTr="003B49EF">
        <w:trPr>
          <w:trHeight w:val="2111"/>
        </w:trPr>
        <w:tc>
          <w:tcPr>
            <w:tcW w:w="2169" w:type="dxa"/>
          </w:tcPr>
          <w:p w14:paraId="5F36E672" w14:textId="77777777" w:rsidR="005819D2" w:rsidRPr="005516CD" w:rsidRDefault="005819D2" w:rsidP="00B54EF1">
            <w:pPr>
              <w:pBdr>
                <w:between w:val="nil"/>
                <w:bar w:val="nil"/>
              </w:pBdr>
              <w:tabs>
                <w:tab w:val="left" w:pos="426"/>
              </w:tabs>
              <w:ind w:left="-113" w:right="96"/>
              <w:rPr>
                <w:rFonts w:asciiTheme="majorHAnsi" w:hAnsiTheme="majorHAnsi" w:cstheme="majorHAnsi"/>
                <w:sz w:val="20"/>
                <w:szCs w:val="20"/>
              </w:rPr>
            </w:pPr>
            <w:r w:rsidRPr="005516CD">
              <w:rPr>
                <w:rFonts w:asciiTheme="majorHAnsi" w:hAnsiTheme="majorHAnsi" w:cstheme="majorHAnsi"/>
                <w:sz w:val="20"/>
                <w:szCs w:val="20"/>
              </w:rPr>
              <w:t>2.3.1 Producer organisations, businesses and cooperatives with strengthened capacities for identifying favourable market opportunities and gaining access to certification systems</w:t>
            </w:r>
          </w:p>
        </w:tc>
        <w:tc>
          <w:tcPr>
            <w:tcW w:w="4170" w:type="dxa"/>
          </w:tcPr>
          <w:p w14:paraId="58339CF2" w14:textId="77777777" w:rsidR="005819D2" w:rsidRPr="005516CD" w:rsidRDefault="005819D2" w:rsidP="00F5167D">
            <w:pPr>
              <w:ind w:left="-55" w:right="-30"/>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Capacity development of producer </w:t>
            </w:r>
            <w:proofErr w:type="spellStart"/>
            <w:r w:rsidRPr="005516CD">
              <w:rPr>
                <w:rFonts w:asciiTheme="majorHAnsi" w:hAnsiTheme="majorHAnsi" w:cstheme="majorHAnsi"/>
                <w:sz w:val="20"/>
                <w:szCs w:val="20"/>
                <w:lang w:val="en-US"/>
              </w:rPr>
              <w:t>organisations</w:t>
            </w:r>
            <w:proofErr w:type="spellEnd"/>
            <w:r w:rsidRPr="005516CD">
              <w:rPr>
                <w:rFonts w:asciiTheme="majorHAnsi" w:hAnsiTheme="majorHAnsi" w:cstheme="majorHAnsi"/>
                <w:sz w:val="20"/>
                <w:szCs w:val="20"/>
                <w:lang w:val="en-US"/>
              </w:rPr>
              <w:t xml:space="preserve"> on identification, scoping and selection of market options, product branding, presentation and promotion, contract negotiation, administrative procedures for sale and export, alternative options for third-party certification. </w:t>
            </w:r>
          </w:p>
          <w:p w14:paraId="4F18E194" w14:textId="77777777" w:rsidR="005819D2" w:rsidRPr="005516CD" w:rsidRDefault="005819D2" w:rsidP="007B146B">
            <w:pPr>
              <w:ind w:left="-55" w:right="-30"/>
              <w:rPr>
                <w:rFonts w:asciiTheme="majorHAnsi" w:hAnsiTheme="majorHAnsi" w:cstheme="majorHAnsi"/>
                <w:sz w:val="20"/>
                <w:szCs w:val="20"/>
              </w:rPr>
            </w:pPr>
          </w:p>
        </w:tc>
        <w:tc>
          <w:tcPr>
            <w:tcW w:w="388" w:type="dxa"/>
            <w:shd w:val="clear" w:color="auto" w:fill="auto"/>
          </w:tcPr>
          <w:p w14:paraId="0892D9A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4B4FBA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E2694D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929339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5CAD94ED"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A373D3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43416C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D5AF283"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5166F1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8B0CDF3"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1D9C223"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9F990E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638E61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FE05AC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D0723E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5F9948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2C32A8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44334B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14A28B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50A0054"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5D512FBC" w14:textId="77777777" w:rsidTr="003B49EF">
        <w:tc>
          <w:tcPr>
            <w:tcW w:w="2169" w:type="dxa"/>
            <w:vMerge w:val="restart"/>
          </w:tcPr>
          <w:p w14:paraId="2E905EBA" w14:textId="77777777" w:rsidR="005819D2" w:rsidRPr="005516CD" w:rsidRDefault="005819D2" w:rsidP="00484074">
            <w:pPr>
              <w:tabs>
                <w:tab w:val="left" w:pos="426"/>
              </w:tabs>
              <w:ind w:left="-113" w:right="96"/>
              <w:rPr>
                <w:rFonts w:asciiTheme="majorHAnsi" w:hAnsiTheme="majorHAnsi" w:cstheme="majorHAnsi"/>
                <w:sz w:val="20"/>
                <w:szCs w:val="20"/>
              </w:rPr>
            </w:pPr>
            <w:r w:rsidRPr="005516CD">
              <w:rPr>
                <w:rFonts w:asciiTheme="majorHAnsi" w:hAnsiTheme="majorHAnsi" w:cstheme="majorHAnsi"/>
                <w:sz w:val="20"/>
                <w:szCs w:val="20"/>
              </w:rPr>
              <w:t>2.3.2 Improved capacities for adding value to the products of trees and tree-based management systems</w:t>
            </w:r>
          </w:p>
        </w:tc>
        <w:tc>
          <w:tcPr>
            <w:tcW w:w="4170" w:type="dxa"/>
          </w:tcPr>
          <w:p w14:paraId="738ECF4C" w14:textId="77777777" w:rsidR="005819D2" w:rsidRPr="005516CD" w:rsidRDefault="005819D2" w:rsidP="00F5167D">
            <w:pPr>
              <w:ind w:left="-55" w:right="-30"/>
              <w:rPr>
                <w:rFonts w:asciiTheme="majorHAnsi" w:hAnsiTheme="majorHAnsi" w:cstheme="majorHAnsi"/>
                <w:sz w:val="20"/>
                <w:szCs w:val="20"/>
                <w:lang w:val="en-US"/>
              </w:rPr>
            </w:pPr>
            <w:r w:rsidRPr="005516CD">
              <w:rPr>
                <w:rFonts w:asciiTheme="majorHAnsi" w:hAnsiTheme="majorHAnsi" w:cstheme="majorHAnsi"/>
                <w:sz w:val="20"/>
                <w:szCs w:val="20"/>
                <w:lang w:val="en-US"/>
              </w:rPr>
              <w:t xml:space="preserve">Participatory identification with community members of potential value-added products </w:t>
            </w:r>
          </w:p>
        </w:tc>
        <w:tc>
          <w:tcPr>
            <w:tcW w:w="388" w:type="dxa"/>
            <w:shd w:val="clear" w:color="auto" w:fill="auto"/>
          </w:tcPr>
          <w:p w14:paraId="48B38C9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B268CE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0F824E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AAD7BF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7C7A048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00CAB1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10DBCA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70BE86D"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EE0848D"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649DEE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AF8266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CE6B80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A2FBB3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42D12E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03BFCE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8628FB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830899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91A745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6ED485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7FDC3E5"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68ED5561" w14:textId="77777777" w:rsidTr="003B49EF">
        <w:tc>
          <w:tcPr>
            <w:tcW w:w="2169" w:type="dxa"/>
            <w:vMerge/>
          </w:tcPr>
          <w:p w14:paraId="0EA12FC4" w14:textId="77777777" w:rsidR="005819D2" w:rsidRPr="005516CD" w:rsidRDefault="005819D2" w:rsidP="00484074">
            <w:pPr>
              <w:tabs>
                <w:tab w:val="left" w:pos="426"/>
              </w:tabs>
              <w:ind w:left="-113" w:right="96"/>
              <w:rPr>
                <w:rFonts w:asciiTheme="majorHAnsi" w:hAnsiTheme="majorHAnsi" w:cstheme="majorHAnsi"/>
                <w:sz w:val="20"/>
                <w:szCs w:val="20"/>
              </w:rPr>
            </w:pPr>
          </w:p>
        </w:tc>
        <w:tc>
          <w:tcPr>
            <w:tcW w:w="4170" w:type="dxa"/>
          </w:tcPr>
          <w:p w14:paraId="58B23E54"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Technical and financial feasibility studies of value-adding options</w:t>
            </w:r>
          </w:p>
        </w:tc>
        <w:tc>
          <w:tcPr>
            <w:tcW w:w="388" w:type="dxa"/>
            <w:shd w:val="clear" w:color="auto" w:fill="auto"/>
          </w:tcPr>
          <w:p w14:paraId="490E0B5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AD5AE8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294FAB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862DC2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23A49B5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CE7090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653326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0C09A6B"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7F0B2E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80CB61D"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AB36CB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05DD3A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A8DE2E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0473A2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78D8E8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CA2A88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727AA6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7C0A16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3FC0B6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74DA630"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7EDAD7FA" w14:textId="77777777" w:rsidTr="003B49EF">
        <w:tc>
          <w:tcPr>
            <w:tcW w:w="2169" w:type="dxa"/>
            <w:vMerge/>
          </w:tcPr>
          <w:p w14:paraId="73F15130" w14:textId="77777777" w:rsidR="005819D2" w:rsidRPr="005516CD" w:rsidRDefault="005819D2" w:rsidP="00484074">
            <w:pPr>
              <w:tabs>
                <w:tab w:val="left" w:pos="426"/>
              </w:tabs>
              <w:ind w:left="-113" w:right="96"/>
              <w:rPr>
                <w:rFonts w:asciiTheme="majorHAnsi" w:hAnsiTheme="majorHAnsi" w:cstheme="majorHAnsi"/>
                <w:sz w:val="20"/>
                <w:szCs w:val="20"/>
              </w:rPr>
            </w:pPr>
          </w:p>
        </w:tc>
        <w:tc>
          <w:tcPr>
            <w:tcW w:w="4170" w:type="dxa"/>
          </w:tcPr>
          <w:p w14:paraId="0BC48E4F"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Training of community members on value-adding practices, including organisational development</w:t>
            </w:r>
          </w:p>
        </w:tc>
        <w:tc>
          <w:tcPr>
            <w:tcW w:w="388" w:type="dxa"/>
            <w:shd w:val="clear" w:color="auto" w:fill="auto"/>
          </w:tcPr>
          <w:p w14:paraId="0E94278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4BCE35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D6A927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C82B85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7DE7209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6DA677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3C14BC7"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984E69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A8DF0E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260093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94F46E5"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15FA1F3"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CD4C13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9044D7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451BBD5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543AC163"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D19E18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14EF08B0"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12D046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70ED3AA"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49021C24" w14:textId="77777777" w:rsidTr="003B49EF">
        <w:tc>
          <w:tcPr>
            <w:tcW w:w="2169" w:type="dxa"/>
            <w:vMerge/>
          </w:tcPr>
          <w:p w14:paraId="2C9C8D01" w14:textId="77777777" w:rsidR="005819D2" w:rsidRPr="005516CD" w:rsidRDefault="005819D2" w:rsidP="00484074">
            <w:pPr>
              <w:tabs>
                <w:tab w:val="left" w:pos="426"/>
              </w:tabs>
              <w:ind w:left="-113" w:right="96"/>
              <w:rPr>
                <w:rFonts w:asciiTheme="majorHAnsi" w:hAnsiTheme="majorHAnsi" w:cstheme="majorHAnsi"/>
                <w:sz w:val="20"/>
                <w:szCs w:val="20"/>
              </w:rPr>
            </w:pPr>
          </w:p>
        </w:tc>
        <w:tc>
          <w:tcPr>
            <w:tcW w:w="4170" w:type="dxa"/>
          </w:tcPr>
          <w:p w14:paraId="0CDA2A85"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Investment in value-adding facilities</w:t>
            </w:r>
          </w:p>
        </w:tc>
        <w:tc>
          <w:tcPr>
            <w:tcW w:w="388" w:type="dxa"/>
            <w:shd w:val="clear" w:color="auto" w:fill="auto"/>
          </w:tcPr>
          <w:p w14:paraId="289DEAE9"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D49C82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28F91E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8DC09D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2C71E07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7BDC03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583457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80D818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92F364C"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7342A6B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5F01F77E"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9808E4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3DF8DD8"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2514C98"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3F434BD"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7A982879"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A55A6D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2EF3E5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F3718C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FBD375F"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24EB4985" w14:textId="77777777" w:rsidTr="003B49EF">
        <w:tc>
          <w:tcPr>
            <w:tcW w:w="2169" w:type="dxa"/>
            <w:vMerge/>
          </w:tcPr>
          <w:p w14:paraId="70FE68D1" w14:textId="77777777" w:rsidR="005819D2" w:rsidRPr="005516CD" w:rsidRDefault="005819D2" w:rsidP="00484074">
            <w:pPr>
              <w:tabs>
                <w:tab w:val="left" w:pos="426"/>
              </w:tabs>
              <w:ind w:left="-113" w:right="96"/>
              <w:rPr>
                <w:rFonts w:asciiTheme="majorHAnsi" w:hAnsiTheme="majorHAnsi" w:cstheme="majorHAnsi"/>
                <w:sz w:val="20"/>
                <w:szCs w:val="20"/>
              </w:rPr>
            </w:pPr>
          </w:p>
        </w:tc>
        <w:tc>
          <w:tcPr>
            <w:tcW w:w="4170" w:type="dxa"/>
          </w:tcPr>
          <w:p w14:paraId="6B080EA9"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Ongoing technical support and trouble-shooting</w:t>
            </w:r>
          </w:p>
        </w:tc>
        <w:tc>
          <w:tcPr>
            <w:tcW w:w="388" w:type="dxa"/>
            <w:shd w:val="clear" w:color="auto" w:fill="auto"/>
          </w:tcPr>
          <w:p w14:paraId="2F276999"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160AE45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AE64AE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2FD33D7B"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55EA63C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C03EB0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D5BEB1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A56CE1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F2DF29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0BFA22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2BDA211"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4FFF3A78"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D73002A"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0FD9F45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377EB5F2"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F2F2F2" w:themeFill="background1" w:themeFillShade="F2"/>
          </w:tcPr>
          <w:p w14:paraId="1316DBA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EF68916"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2F5F9E5"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3180850F"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2A7D5324" w14:textId="77777777" w:rsidR="005819D2" w:rsidRPr="005516CD" w:rsidRDefault="00EE001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r>
      <w:tr w:rsidR="003B49EF" w:rsidRPr="005516CD" w14:paraId="7BFC4CD2" w14:textId="77777777" w:rsidTr="00EE0012">
        <w:tc>
          <w:tcPr>
            <w:tcW w:w="14118" w:type="dxa"/>
            <w:gridSpan w:val="22"/>
            <w:shd w:val="clear" w:color="auto" w:fill="D9D9D9" w:themeFill="background1" w:themeFillShade="D9"/>
          </w:tcPr>
          <w:p w14:paraId="71704B0E" w14:textId="77777777" w:rsidR="003B49EF" w:rsidRPr="005516CD" w:rsidRDefault="003B49EF" w:rsidP="003C3AC2">
            <w:pPr>
              <w:keepNext/>
              <w:ind w:left="-113" w:right="-164"/>
              <w:rPr>
                <w:rFonts w:asciiTheme="majorHAnsi" w:hAnsiTheme="majorHAnsi" w:cstheme="majorHAnsi"/>
                <w:sz w:val="20"/>
                <w:szCs w:val="20"/>
              </w:rPr>
            </w:pPr>
            <w:r w:rsidRPr="005516CD">
              <w:rPr>
                <w:rFonts w:asciiTheme="majorHAnsi" w:hAnsiTheme="majorHAnsi" w:cstheme="majorHAnsi"/>
                <w:b/>
                <w:i/>
                <w:sz w:val="20"/>
                <w:szCs w:val="20"/>
              </w:rPr>
              <w:t>Output 3.1 Knowledge management and dissemination/scaling up strategy</w:t>
            </w:r>
          </w:p>
        </w:tc>
      </w:tr>
      <w:tr w:rsidR="005819D2" w:rsidRPr="005516CD" w14:paraId="63A4DB95" w14:textId="77777777" w:rsidTr="003B49EF">
        <w:tc>
          <w:tcPr>
            <w:tcW w:w="6339" w:type="dxa"/>
            <w:gridSpan w:val="2"/>
          </w:tcPr>
          <w:p w14:paraId="191C147E"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Formulation of knowledge management and dissemination/scaling up strategy</w:t>
            </w:r>
          </w:p>
        </w:tc>
        <w:tc>
          <w:tcPr>
            <w:tcW w:w="388" w:type="dxa"/>
            <w:shd w:val="clear" w:color="auto" w:fill="auto"/>
          </w:tcPr>
          <w:p w14:paraId="654AF785"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080689AE"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7DDC7BF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E8C0BC5"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2DAC4D0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613AB7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BA57DE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6DBA49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3460C0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14718F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F969C9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00164C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0841B0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70DDB9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9AE406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CE924E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73A87D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B79302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339DA4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D76DA63" w14:textId="77777777" w:rsidR="005819D2" w:rsidRPr="005516CD" w:rsidRDefault="005819D2" w:rsidP="007B146B">
            <w:pPr>
              <w:ind w:left="-232" w:right="-164"/>
              <w:jc w:val="center"/>
              <w:rPr>
                <w:rFonts w:asciiTheme="majorHAnsi" w:hAnsiTheme="majorHAnsi" w:cstheme="majorHAnsi"/>
                <w:sz w:val="20"/>
                <w:szCs w:val="20"/>
              </w:rPr>
            </w:pPr>
          </w:p>
        </w:tc>
      </w:tr>
      <w:tr w:rsidR="003B49EF" w:rsidRPr="005516CD" w14:paraId="0ADC98B2" w14:textId="77777777" w:rsidTr="00EE0012">
        <w:tc>
          <w:tcPr>
            <w:tcW w:w="14118" w:type="dxa"/>
            <w:gridSpan w:val="22"/>
            <w:shd w:val="clear" w:color="auto" w:fill="D9D9D9" w:themeFill="background1" w:themeFillShade="D9"/>
          </w:tcPr>
          <w:p w14:paraId="4688D83E" w14:textId="77777777" w:rsidR="003B49EF" w:rsidRPr="005516CD" w:rsidRDefault="003B49EF" w:rsidP="003C3AC2">
            <w:pPr>
              <w:keepNext/>
              <w:ind w:left="-113" w:right="-164"/>
              <w:rPr>
                <w:rFonts w:asciiTheme="majorHAnsi" w:hAnsiTheme="majorHAnsi" w:cstheme="majorHAnsi"/>
                <w:sz w:val="20"/>
                <w:szCs w:val="20"/>
              </w:rPr>
            </w:pPr>
            <w:r w:rsidRPr="005516CD">
              <w:rPr>
                <w:rFonts w:asciiTheme="majorHAnsi" w:hAnsiTheme="majorHAnsi" w:cstheme="majorHAnsi"/>
                <w:b/>
                <w:i/>
                <w:sz w:val="20"/>
                <w:szCs w:val="20"/>
              </w:rPr>
              <w:t>Output 3.2 Communication strategy to ensure that project objectives, concepts, principles and progress are effectively communicated to all key stakeholder categories</w:t>
            </w:r>
          </w:p>
        </w:tc>
      </w:tr>
      <w:tr w:rsidR="005819D2" w:rsidRPr="005516CD" w14:paraId="76037A35" w14:textId="77777777" w:rsidTr="003B49EF">
        <w:tc>
          <w:tcPr>
            <w:tcW w:w="6339" w:type="dxa"/>
            <w:gridSpan w:val="2"/>
          </w:tcPr>
          <w:p w14:paraId="4BDA93CB"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Formulation of communication strategy</w:t>
            </w:r>
          </w:p>
        </w:tc>
        <w:tc>
          <w:tcPr>
            <w:tcW w:w="388" w:type="dxa"/>
            <w:shd w:val="clear" w:color="auto" w:fill="auto"/>
          </w:tcPr>
          <w:p w14:paraId="1B64B641"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01B0977C"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6EB0288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71034B0"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43C22CC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B3C132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AB8732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1255AE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11E412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0B6C6E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EF9027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1E0EC01"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CCAC04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93E219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F9B0BC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A20739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9FE4F1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C2C7E1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1EE31A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9F42386"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7FCEACBF" w14:textId="77777777" w:rsidTr="003B49EF">
        <w:tc>
          <w:tcPr>
            <w:tcW w:w="6339" w:type="dxa"/>
            <w:gridSpan w:val="2"/>
          </w:tcPr>
          <w:p w14:paraId="7E743BBC"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Formulation and dissemination of communication materials</w:t>
            </w:r>
          </w:p>
        </w:tc>
        <w:tc>
          <w:tcPr>
            <w:tcW w:w="388" w:type="dxa"/>
            <w:shd w:val="clear" w:color="auto" w:fill="auto"/>
          </w:tcPr>
          <w:p w14:paraId="4C249E7F"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33E14A13"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64E38FDE"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913371B"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4135B92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50D362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6E280D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A7533F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D5824C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9871AF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F23470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769DA8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2F20D7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AFA870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81C309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C80675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509830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78F5224C"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F31ADA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FDEC23E" w14:textId="77777777" w:rsidR="005819D2" w:rsidRPr="005516CD" w:rsidRDefault="005819D2" w:rsidP="007B146B">
            <w:pPr>
              <w:ind w:left="-232" w:right="-164"/>
              <w:jc w:val="center"/>
              <w:rPr>
                <w:rFonts w:asciiTheme="majorHAnsi" w:hAnsiTheme="majorHAnsi" w:cstheme="majorHAnsi"/>
                <w:sz w:val="20"/>
                <w:szCs w:val="20"/>
              </w:rPr>
            </w:pPr>
          </w:p>
        </w:tc>
      </w:tr>
      <w:tr w:rsidR="003B49EF" w:rsidRPr="005516CD" w14:paraId="672BF80C" w14:textId="77777777" w:rsidTr="003B49EF">
        <w:tc>
          <w:tcPr>
            <w:tcW w:w="14118" w:type="dxa"/>
            <w:gridSpan w:val="22"/>
            <w:shd w:val="clear" w:color="auto" w:fill="D9D9D9" w:themeFill="background1" w:themeFillShade="D9"/>
          </w:tcPr>
          <w:p w14:paraId="36C60EA1" w14:textId="77777777" w:rsidR="003B49EF" w:rsidRPr="005516CD" w:rsidRDefault="003B49EF" w:rsidP="003B49EF">
            <w:pPr>
              <w:keepNext/>
              <w:ind w:left="-113" w:right="-164"/>
              <w:rPr>
                <w:rFonts w:asciiTheme="majorHAnsi" w:hAnsiTheme="majorHAnsi" w:cstheme="majorHAnsi"/>
                <w:sz w:val="20"/>
                <w:szCs w:val="20"/>
              </w:rPr>
            </w:pPr>
            <w:r w:rsidRPr="005516CD">
              <w:rPr>
                <w:rFonts w:asciiTheme="majorHAnsi" w:hAnsiTheme="majorHAnsi" w:cstheme="majorHAnsi"/>
                <w:b/>
                <w:i/>
                <w:sz w:val="20"/>
                <w:szCs w:val="20"/>
              </w:rPr>
              <w:t>Output 3.3 Monitoring and evaluation strategy</w:t>
            </w:r>
          </w:p>
        </w:tc>
      </w:tr>
      <w:tr w:rsidR="005819D2" w:rsidRPr="005516CD" w14:paraId="145CDC96" w14:textId="77777777" w:rsidTr="003B49EF">
        <w:tc>
          <w:tcPr>
            <w:tcW w:w="6339" w:type="dxa"/>
            <w:gridSpan w:val="2"/>
          </w:tcPr>
          <w:p w14:paraId="1CD7E217"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Project inception workshop</w:t>
            </w:r>
          </w:p>
        </w:tc>
        <w:tc>
          <w:tcPr>
            <w:tcW w:w="388" w:type="dxa"/>
            <w:shd w:val="clear" w:color="auto" w:fill="auto"/>
          </w:tcPr>
          <w:p w14:paraId="21095E41"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F71AB8A"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46CEDBB9"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8D01529"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31C88E4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606FF1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57562F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3623B08"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A7F563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21B00D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0FC7D9E"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16BE8C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3CCB2C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EF2D8B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5704C0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02116C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073F4F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4B8A4AD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36582B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854480D"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2F6F855D" w14:textId="77777777" w:rsidTr="003B49EF">
        <w:tc>
          <w:tcPr>
            <w:tcW w:w="6339" w:type="dxa"/>
            <w:gridSpan w:val="2"/>
          </w:tcPr>
          <w:p w14:paraId="4987335E" w14:textId="77777777" w:rsidR="005819D2" w:rsidRPr="005516CD" w:rsidRDefault="004F551A"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 xml:space="preserve">Environmental and Social Management Framework and </w:t>
            </w:r>
            <w:r w:rsidR="005819D2" w:rsidRPr="005516CD">
              <w:rPr>
                <w:rFonts w:asciiTheme="majorHAnsi" w:hAnsiTheme="majorHAnsi" w:cstheme="majorHAnsi"/>
                <w:sz w:val="20"/>
                <w:szCs w:val="20"/>
              </w:rPr>
              <w:t>Confirmation of baseline values of indicators</w:t>
            </w:r>
            <w:r w:rsidRPr="005516CD">
              <w:rPr>
                <w:rFonts w:asciiTheme="majorHAnsi" w:hAnsiTheme="majorHAnsi" w:cstheme="majorHAnsi"/>
                <w:sz w:val="20"/>
                <w:szCs w:val="20"/>
              </w:rPr>
              <w:t xml:space="preserve"> </w:t>
            </w:r>
          </w:p>
        </w:tc>
        <w:tc>
          <w:tcPr>
            <w:tcW w:w="388" w:type="dxa"/>
            <w:shd w:val="clear" w:color="auto" w:fill="auto"/>
          </w:tcPr>
          <w:p w14:paraId="62CA84EC"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0E5A4188"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3790B22F"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shd w:val="clear" w:color="auto" w:fill="auto"/>
          </w:tcPr>
          <w:p w14:paraId="45107C42"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247BB8E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97085D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CCAD3A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C27A6D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83907F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5EF236B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D29CA9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74EFBD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C1F7AC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EB54BA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C24241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188E80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C397F4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14D48583"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812A75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EAA89A6"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12A5FA99" w14:textId="77777777" w:rsidTr="003B49EF">
        <w:tc>
          <w:tcPr>
            <w:tcW w:w="6339" w:type="dxa"/>
            <w:gridSpan w:val="2"/>
          </w:tcPr>
          <w:p w14:paraId="645C1561" w14:textId="77777777" w:rsidR="005819D2" w:rsidRPr="005516CD" w:rsidRDefault="005819D2" w:rsidP="007B146B">
            <w:pPr>
              <w:ind w:left="-55" w:right="-30"/>
              <w:rPr>
                <w:rFonts w:asciiTheme="majorHAnsi" w:hAnsiTheme="majorHAnsi" w:cstheme="majorHAnsi"/>
                <w:sz w:val="20"/>
                <w:szCs w:val="20"/>
              </w:rPr>
            </w:pPr>
            <w:r w:rsidRPr="005516CD">
              <w:rPr>
                <w:rFonts w:asciiTheme="majorHAnsi" w:hAnsiTheme="majorHAnsi" w:cstheme="majorHAnsi"/>
                <w:sz w:val="20"/>
                <w:szCs w:val="20"/>
              </w:rPr>
              <w:t>First external review</w:t>
            </w:r>
          </w:p>
        </w:tc>
        <w:tc>
          <w:tcPr>
            <w:tcW w:w="388" w:type="dxa"/>
            <w:shd w:val="clear" w:color="auto" w:fill="auto"/>
          </w:tcPr>
          <w:p w14:paraId="3BAD06DA"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7ECA026"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4BC8D288"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auto"/>
          </w:tcPr>
          <w:p w14:paraId="724187A4" w14:textId="77777777" w:rsidR="005819D2" w:rsidRPr="005516CD" w:rsidRDefault="005819D2" w:rsidP="007B146B">
            <w:pPr>
              <w:ind w:left="-55" w:right="-30"/>
              <w:rPr>
                <w:rFonts w:asciiTheme="majorHAnsi" w:hAnsiTheme="majorHAnsi" w:cstheme="majorHAnsi"/>
                <w:sz w:val="20"/>
                <w:szCs w:val="20"/>
              </w:rPr>
            </w:pPr>
          </w:p>
        </w:tc>
        <w:tc>
          <w:tcPr>
            <w:tcW w:w="389" w:type="dxa"/>
            <w:shd w:val="clear" w:color="auto" w:fill="F2F2F2" w:themeFill="background1" w:themeFillShade="F2"/>
          </w:tcPr>
          <w:p w14:paraId="56FD8F6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873EAF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720AD40F"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4762FB9"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51191D0"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6E13CEF2" w14:textId="77777777" w:rsidR="005819D2" w:rsidRPr="005516CD" w:rsidRDefault="005819D2" w:rsidP="007B146B">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8F719D2"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AA6432B"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76B6CBD"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5F375744"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91BA5EA"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4B8F68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6D63777"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031AA055"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2F859706" w14:textId="77777777" w:rsidR="005819D2" w:rsidRPr="005516CD" w:rsidRDefault="005819D2" w:rsidP="007B146B">
            <w:pPr>
              <w:ind w:left="-232" w:right="-164"/>
              <w:jc w:val="center"/>
              <w:rPr>
                <w:rFonts w:asciiTheme="majorHAnsi" w:hAnsiTheme="majorHAnsi" w:cstheme="majorHAnsi"/>
                <w:sz w:val="20"/>
                <w:szCs w:val="20"/>
              </w:rPr>
            </w:pPr>
          </w:p>
        </w:tc>
        <w:tc>
          <w:tcPr>
            <w:tcW w:w="389" w:type="dxa"/>
          </w:tcPr>
          <w:p w14:paraId="32FF9939" w14:textId="77777777" w:rsidR="005819D2" w:rsidRPr="005516CD" w:rsidRDefault="005819D2" w:rsidP="007B146B">
            <w:pPr>
              <w:ind w:left="-232" w:right="-164"/>
              <w:jc w:val="center"/>
              <w:rPr>
                <w:rFonts w:asciiTheme="majorHAnsi" w:hAnsiTheme="majorHAnsi" w:cstheme="majorHAnsi"/>
                <w:sz w:val="20"/>
                <w:szCs w:val="20"/>
              </w:rPr>
            </w:pPr>
          </w:p>
        </w:tc>
      </w:tr>
      <w:tr w:rsidR="005819D2" w:rsidRPr="005516CD" w14:paraId="2D7F6EC9" w14:textId="77777777" w:rsidTr="003B49EF">
        <w:tc>
          <w:tcPr>
            <w:tcW w:w="6339" w:type="dxa"/>
            <w:gridSpan w:val="2"/>
          </w:tcPr>
          <w:p w14:paraId="048B7FB9" w14:textId="77777777" w:rsidR="005819D2" w:rsidRPr="005516CD" w:rsidRDefault="005819D2" w:rsidP="002C49DD">
            <w:pPr>
              <w:ind w:left="-55" w:right="-30"/>
              <w:rPr>
                <w:rFonts w:asciiTheme="majorHAnsi" w:hAnsiTheme="majorHAnsi" w:cstheme="majorHAnsi"/>
                <w:sz w:val="20"/>
                <w:szCs w:val="20"/>
              </w:rPr>
            </w:pPr>
            <w:r w:rsidRPr="005516CD">
              <w:rPr>
                <w:rFonts w:asciiTheme="majorHAnsi" w:hAnsiTheme="majorHAnsi" w:cstheme="majorHAnsi"/>
                <w:sz w:val="20"/>
                <w:szCs w:val="20"/>
              </w:rPr>
              <w:t>Second external review</w:t>
            </w:r>
          </w:p>
        </w:tc>
        <w:tc>
          <w:tcPr>
            <w:tcW w:w="388" w:type="dxa"/>
            <w:shd w:val="clear" w:color="auto" w:fill="auto"/>
          </w:tcPr>
          <w:p w14:paraId="76AFA243" w14:textId="77777777" w:rsidR="005819D2" w:rsidRPr="005516CD" w:rsidRDefault="005819D2" w:rsidP="002C49DD">
            <w:pPr>
              <w:ind w:left="-55" w:right="-30"/>
              <w:rPr>
                <w:rFonts w:asciiTheme="majorHAnsi" w:hAnsiTheme="majorHAnsi" w:cstheme="majorHAnsi"/>
                <w:sz w:val="20"/>
                <w:szCs w:val="20"/>
              </w:rPr>
            </w:pPr>
          </w:p>
        </w:tc>
        <w:tc>
          <w:tcPr>
            <w:tcW w:w="389" w:type="dxa"/>
            <w:shd w:val="clear" w:color="auto" w:fill="auto"/>
          </w:tcPr>
          <w:p w14:paraId="4AF0DE2C" w14:textId="77777777" w:rsidR="005819D2" w:rsidRPr="005516CD" w:rsidRDefault="005819D2" w:rsidP="002C49DD">
            <w:pPr>
              <w:ind w:left="-55" w:right="-30"/>
              <w:rPr>
                <w:rFonts w:asciiTheme="majorHAnsi" w:hAnsiTheme="majorHAnsi" w:cstheme="majorHAnsi"/>
                <w:sz w:val="20"/>
                <w:szCs w:val="20"/>
              </w:rPr>
            </w:pPr>
          </w:p>
        </w:tc>
        <w:tc>
          <w:tcPr>
            <w:tcW w:w="389" w:type="dxa"/>
            <w:shd w:val="clear" w:color="auto" w:fill="auto"/>
          </w:tcPr>
          <w:p w14:paraId="15882550" w14:textId="77777777" w:rsidR="005819D2" w:rsidRPr="005516CD" w:rsidRDefault="005819D2" w:rsidP="002C49DD">
            <w:pPr>
              <w:ind w:left="-55" w:right="-30"/>
              <w:rPr>
                <w:rFonts w:asciiTheme="majorHAnsi" w:hAnsiTheme="majorHAnsi" w:cstheme="majorHAnsi"/>
                <w:sz w:val="20"/>
                <w:szCs w:val="20"/>
              </w:rPr>
            </w:pPr>
          </w:p>
        </w:tc>
        <w:tc>
          <w:tcPr>
            <w:tcW w:w="389" w:type="dxa"/>
            <w:shd w:val="clear" w:color="auto" w:fill="auto"/>
          </w:tcPr>
          <w:p w14:paraId="230C340C" w14:textId="77777777" w:rsidR="005819D2" w:rsidRPr="005516CD" w:rsidRDefault="005819D2" w:rsidP="002C49DD">
            <w:pPr>
              <w:ind w:left="-55" w:right="-30"/>
              <w:rPr>
                <w:rFonts w:asciiTheme="majorHAnsi" w:hAnsiTheme="majorHAnsi" w:cstheme="majorHAnsi"/>
                <w:sz w:val="20"/>
                <w:szCs w:val="20"/>
              </w:rPr>
            </w:pPr>
          </w:p>
        </w:tc>
        <w:tc>
          <w:tcPr>
            <w:tcW w:w="389" w:type="dxa"/>
            <w:shd w:val="clear" w:color="auto" w:fill="F2F2F2" w:themeFill="background1" w:themeFillShade="F2"/>
          </w:tcPr>
          <w:p w14:paraId="26357CDD"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D03EF37"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4AFD1561"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A2A0294"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68B1C786"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07403EC4"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46B4ABEF"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1C34DBA6"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32DB3164"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E02AB1D"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676B2C95"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159A410C"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59BE38EF"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719AFEEA" w14:textId="77777777" w:rsidR="005819D2" w:rsidRPr="005516CD" w:rsidRDefault="005819D2" w:rsidP="002C49DD">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62324BE5"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3E9677D1" w14:textId="77777777" w:rsidR="005819D2" w:rsidRPr="005516CD" w:rsidRDefault="005819D2" w:rsidP="002C49DD">
            <w:pPr>
              <w:ind w:left="-232" w:right="-164"/>
              <w:jc w:val="center"/>
              <w:rPr>
                <w:rFonts w:asciiTheme="majorHAnsi" w:hAnsiTheme="majorHAnsi" w:cstheme="majorHAnsi"/>
                <w:sz w:val="20"/>
                <w:szCs w:val="20"/>
              </w:rPr>
            </w:pPr>
          </w:p>
        </w:tc>
      </w:tr>
      <w:tr w:rsidR="005819D2" w:rsidRPr="005516CD" w14:paraId="0B3B53DA" w14:textId="77777777" w:rsidTr="003B49EF">
        <w:tc>
          <w:tcPr>
            <w:tcW w:w="6339" w:type="dxa"/>
            <w:gridSpan w:val="2"/>
          </w:tcPr>
          <w:p w14:paraId="0CC9D10A" w14:textId="77777777" w:rsidR="005819D2" w:rsidRPr="005516CD" w:rsidRDefault="005819D2" w:rsidP="002C49DD">
            <w:pPr>
              <w:ind w:left="-55" w:right="-30"/>
              <w:rPr>
                <w:rFonts w:asciiTheme="majorHAnsi" w:hAnsiTheme="majorHAnsi" w:cstheme="majorHAnsi"/>
                <w:sz w:val="20"/>
                <w:szCs w:val="20"/>
              </w:rPr>
            </w:pPr>
            <w:r w:rsidRPr="005516CD">
              <w:rPr>
                <w:rFonts w:asciiTheme="majorHAnsi" w:hAnsiTheme="majorHAnsi" w:cstheme="majorHAnsi"/>
                <w:sz w:val="20"/>
                <w:szCs w:val="20"/>
              </w:rPr>
              <w:t>Final evaluation</w:t>
            </w:r>
          </w:p>
        </w:tc>
        <w:tc>
          <w:tcPr>
            <w:tcW w:w="388" w:type="dxa"/>
            <w:shd w:val="clear" w:color="auto" w:fill="auto"/>
          </w:tcPr>
          <w:p w14:paraId="35653311" w14:textId="77777777" w:rsidR="005819D2" w:rsidRPr="005516CD" w:rsidRDefault="005819D2" w:rsidP="002C49DD">
            <w:pPr>
              <w:ind w:left="-55" w:right="-30"/>
              <w:rPr>
                <w:rFonts w:asciiTheme="majorHAnsi" w:hAnsiTheme="majorHAnsi" w:cstheme="majorHAnsi"/>
                <w:sz w:val="20"/>
                <w:szCs w:val="20"/>
              </w:rPr>
            </w:pPr>
          </w:p>
        </w:tc>
        <w:tc>
          <w:tcPr>
            <w:tcW w:w="389" w:type="dxa"/>
            <w:shd w:val="clear" w:color="auto" w:fill="auto"/>
          </w:tcPr>
          <w:p w14:paraId="0664E321" w14:textId="77777777" w:rsidR="005819D2" w:rsidRPr="005516CD" w:rsidRDefault="005819D2" w:rsidP="002C49DD">
            <w:pPr>
              <w:ind w:left="-55" w:right="-30"/>
              <w:rPr>
                <w:rFonts w:asciiTheme="majorHAnsi" w:hAnsiTheme="majorHAnsi" w:cstheme="majorHAnsi"/>
                <w:sz w:val="20"/>
                <w:szCs w:val="20"/>
              </w:rPr>
            </w:pPr>
          </w:p>
        </w:tc>
        <w:tc>
          <w:tcPr>
            <w:tcW w:w="389" w:type="dxa"/>
            <w:shd w:val="clear" w:color="auto" w:fill="auto"/>
          </w:tcPr>
          <w:p w14:paraId="676A1532" w14:textId="77777777" w:rsidR="005819D2" w:rsidRPr="005516CD" w:rsidRDefault="005819D2" w:rsidP="002C49DD">
            <w:pPr>
              <w:ind w:left="-55" w:right="-30"/>
              <w:rPr>
                <w:rFonts w:asciiTheme="majorHAnsi" w:hAnsiTheme="majorHAnsi" w:cstheme="majorHAnsi"/>
                <w:sz w:val="20"/>
                <w:szCs w:val="20"/>
              </w:rPr>
            </w:pPr>
          </w:p>
        </w:tc>
        <w:tc>
          <w:tcPr>
            <w:tcW w:w="389" w:type="dxa"/>
            <w:shd w:val="clear" w:color="auto" w:fill="auto"/>
          </w:tcPr>
          <w:p w14:paraId="6BBBFF72" w14:textId="77777777" w:rsidR="005819D2" w:rsidRPr="005516CD" w:rsidRDefault="005819D2" w:rsidP="002C49DD">
            <w:pPr>
              <w:ind w:left="-55" w:right="-30"/>
              <w:rPr>
                <w:rFonts w:asciiTheme="majorHAnsi" w:hAnsiTheme="majorHAnsi" w:cstheme="majorHAnsi"/>
                <w:sz w:val="20"/>
                <w:szCs w:val="20"/>
              </w:rPr>
            </w:pPr>
          </w:p>
        </w:tc>
        <w:tc>
          <w:tcPr>
            <w:tcW w:w="389" w:type="dxa"/>
            <w:shd w:val="clear" w:color="auto" w:fill="F2F2F2" w:themeFill="background1" w:themeFillShade="F2"/>
          </w:tcPr>
          <w:p w14:paraId="2643A1EA"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BA75E42"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ED7D20F"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8A25940"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7746B0E2"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6DFCB6A0"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12F700F4"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28EC489D"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BAA7CD0"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2682FFDF"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A9ECC5B"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shd w:val="clear" w:color="auto" w:fill="F2F2F2" w:themeFill="background1" w:themeFillShade="F2"/>
          </w:tcPr>
          <w:p w14:paraId="09127755"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2478BB2B"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46B11871" w14:textId="77777777" w:rsidR="005819D2" w:rsidRPr="005516CD" w:rsidRDefault="005819D2" w:rsidP="002C49DD">
            <w:pPr>
              <w:ind w:left="-232" w:right="-164"/>
              <w:jc w:val="center"/>
              <w:rPr>
                <w:rFonts w:asciiTheme="majorHAnsi" w:hAnsiTheme="majorHAnsi" w:cstheme="majorHAnsi"/>
                <w:sz w:val="20"/>
                <w:szCs w:val="20"/>
              </w:rPr>
            </w:pPr>
          </w:p>
        </w:tc>
        <w:tc>
          <w:tcPr>
            <w:tcW w:w="389" w:type="dxa"/>
          </w:tcPr>
          <w:p w14:paraId="13038D42" w14:textId="77777777" w:rsidR="005819D2" w:rsidRPr="005516CD" w:rsidRDefault="00EE0012" w:rsidP="002C49DD">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c>
          <w:tcPr>
            <w:tcW w:w="389" w:type="dxa"/>
          </w:tcPr>
          <w:p w14:paraId="0A4EC72A" w14:textId="77777777" w:rsidR="005819D2" w:rsidRPr="005516CD" w:rsidRDefault="00EE0012" w:rsidP="002C49DD">
            <w:pPr>
              <w:ind w:left="-232" w:right="-164"/>
              <w:jc w:val="center"/>
              <w:rPr>
                <w:rFonts w:asciiTheme="majorHAnsi" w:hAnsiTheme="majorHAnsi" w:cstheme="majorHAnsi"/>
                <w:sz w:val="20"/>
                <w:szCs w:val="20"/>
              </w:rPr>
            </w:pPr>
            <w:r w:rsidRPr="005516CD">
              <w:rPr>
                <w:rFonts w:asciiTheme="majorHAnsi" w:hAnsiTheme="majorHAnsi" w:cstheme="majorHAnsi"/>
                <w:sz w:val="20"/>
                <w:szCs w:val="20"/>
              </w:rPr>
              <w:t>X</w:t>
            </w:r>
          </w:p>
        </w:tc>
      </w:tr>
    </w:tbl>
    <w:p w14:paraId="7E0C9182" w14:textId="77777777" w:rsidR="001771FE" w:rsidRPr="005516CD" w:rsidRDefault="001771FE" w:rsidP="007B146B">
      <w:pPr>
        <w:pStyle w:val="Body"/>
      </w:pPr>
    </w:p>
    <w:p w14:paraId="433714B9" w14:textId="77777777" w:rsidR="001771FE" w:rsidRPr="005516CD" w:rsidRDefault="001771FE" w:rsidP="007B146B">
      <w:pPr>
        <w:pStyle w:val="Body"/>
      </w:pPr>
    </w:p>
    <w:p w14:paraId="3322D7A6" w14:textId="77777777" w:rsidR="001771FE" w:rsidRPr="005516CD" w:rsidRDefault="001771FE" w:rsidP="007B146B">
      <w:pPr>
        <w:pStyle w:val="Body"/>
      </w:pPr>
    </w:p>
    <w:p w14:paraId="5AB7B7FF" w14:textId="77777777" w:rsidR="001771FE" w:rsidRPr="005516CD" w:rsidRDefault="00045B04" w:rsidP="00D66519">
      <w:pPr>
        <w:pStyle w:val="Heading2"/>
        <w:numPr>
          <w:ilvl w:val="0"/>
          <w:numId w:val="29"/>
        </w:numPr>
        <w:spacing w:after="0"/>
        <w:ind w:left="0" w:firstLine="0"/>
        <w:rPr>
          <w:rStyle w:val="None"/>
          <w:rFonts w:ascii="Calibri" w:eastAsia="Calibri" w:hAnsi="Calibri" w:cs="Calibri"/>
        </w:rPr>
      </w:pPr>
      <w:bookmarkStart w:id="99" w:name="_Toc8933107"/>
      <w:r w:rsidRPr="005516CD">
        <w:rPr>
          <w:rStyle w:val="None"/>
          <w:rFonts w:ascii="Calibri" w:eastAsia="Calibri" w:hAnsi="Calibri" w:cs="Calibri"/>
        </w:rPr>
        <w:t>Monitoring Plan</w:t>
      </w:r>
      <w:bookmarkEnd w:id="99"/>
    </w:p>
    <w:p w14:paraId="551A906C" w14:textId="77777777" w:rsidR="0095788D" w:rsidRPr="005516CD" w:rsidRDefault="0095788D" w:rsidP="0095788D">
      <w:pPr>
        <w:pStyle w:val="Body"/>
      </w:pPr>
    </w:p>
    <w:tbl>
      <w:tblPr>
        <w:tblStyle w:val="TableGrid"/>
        <w:tblW w:w="0" w:type="auto"/>
        <w:tblLook w:val="04A0" w:firstRow="1" w:lastRow="0" w:firstColumn="1" w:lastColumn="0" w:noHBand="0" w:noVBand="1"/>
      </w:tblPr>
      <w:tblGrid>
        <w:gridCol w:w="1555"/>
        <w:gridCol w:w="4110"/>
        <w:gridCol w:w="1650"/>
        <w:gridCol w:w="1044"/>
        <w:gridCol w:w="1842"/>
        <w:gridCol w:w="1985"/>
        <w:gridCol w:w="1764"/>
      </w:tblGrid>
      <w:tr w:rsidR="00A81719" w:rsidRPr="005516CD" w14:paraId="2D2EEDCA" w14:textId="77777777" w:rsidTr="00A81719">
        <w:trPr>
          <w:tblHeader/>
        </w:trPr>
        <w:tc>
          <w:tcPr>
            <w:tcW w:w="1555" w:type="dxa"/>
            <w:shd w:val="clear" w:color="auto" w:fill="D9D9D9" w:themeFill="background1" w:themeFillShade="D9"/>
            <w:vAlign w:val="center"/>
          </w:tcPr>
          <w:p w14:paraId="77235074" w14:textId="77777777" w:rsidR="00A81719" w:rsidRPr="005516CD" w:rsidRDefault="00A8171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pPr>
            <w:r w:rsidRPr="005516CD">
              <w:rPr>
                <w:rStyle w:val="None"/>
                <w:rFonts w:asciiTheme="majorHAnsi" w:hAnsiTheme="majorHAnsi" w:cstheme="majorHAnsi"/>
                <w:b/>
                <w:bCs/>
                <w:color w:val="auto"/>
                <w:sz w:val="19"/>
                <w:szCs w:val="19"/>
                <w:lang w:val="en-US"/>
              </w:rPr>
              <w:t>Monitoring</w:t>
            </w:r>
          </w:p>
        </w:tc>
        <w:tc>
          <w:tcPr>
            <w:tcW w:w="4110" w:type="dxa"/>
            <w:shd w:val="clear" w:color="auto" w:fill="D9D9D9" w:themeFill="background1" w:themeFillShade="D9"/>
            <w:vAlign w:val="center"/>
          </w:tcPr>
          <w:p w14:paraId="20D26E73" w14:textId="77777777" w:rsidR="00A81719" w:rsidRPr="005516CD" w:rsidRDefault="00A8171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pPr>
            <w:r w:rsidRPr="005516CD">
              <w:rPr>
                <w:rStyle w:val="None"/>
                <w:rFonts w:asciiTheme="majorHAnsi" w:hAnsiTheme="majorHAnsi" w:cstheme="majorHAnsi"/>
                <w:b/>
                <w:bCs/>
                <w:color w:val="auto"/>
                <w:sz w:val="19"/>
                <w:szCs w:val="19"/>
                <w:lang w:val="en-US"/>
              </w:rPr>
              <w:t>Indicator Description</w:t>
            </w:r>
          </w:p>
        </w:tc>
        <w:tc>
          <w:tcPr>
            <w:tcW w:w="1650" w:type="dxa"/>
            <w:shd w:val="clear" w:color="auto" w:fill="D9D9D9" w:themeFill="background1" w:themeFillShade="D9"/>
            <w:vAlign w:val="center"/>
          </w:tcPr>
          <w:p w14:paraId="43E3F271" w14:textId="77777777" w:rsidR="00A81719" w:rsidRPr="005516CD" w:rsidRDefault="00A8171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pPr>
            <w:r w:rsidRPr="005516CD">
              <w:rPr>
                <w:rStyle w:val="None"/>
                <w:rFonts w:asciiTheme="majorHAnsi" w:hAnsiTheme="majorHAnsi" w:cstheme="majorHAnsi"/>
                <w:b/>
                <w:bCs/>
                <w:color w:val="auto"/>
                <w:sz w:val="19"/>
                <w:szCs w:val="19"/>
                <w:lang w:val="en-US"/>
              </w:rPr>
              <w:t>Data source/Collection Methods</w:t>
            </w:r>
          </w:p>
        </w:tc>
        <w:tc>
          <w:tcPr>
            <w:tcW w:w="1044" w:type="dxa"/>
            <w:shd w:val="clear" w:color="auto" w:fill="D9D9D9" w:themeFill="background1" w:themeFillShade="D9"/>
            <w:vAlign w:val="center"/>
          </w:tcPr>
          <w:p w14:paraId="1AD8A987" w14:textId="77777777" w:rsidR="00A81719" w:rsidRPr="005516CD" w:rsidRDefault="00A8171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pPr>
            <w:r w:rsidRPr="005516CD">
              <w:rPr>
                <w:rStyle w:val="None"/>
                <w:rFonts w:asciiTheme="majorHAnsi" w:hAnsiTheme="majorHAnsi" w:cstheme="majorHAnsi"/>
                <w:b/>
                <w:bCs/>
                <w:color w:val="auto"/>
                <w:sz w:val="19"/>
                <w:szCs w:val="19"/>
                <w:lang w:val="en-US"/>
              </w:rPr>
              <w:t>Frequency</w:t>
            </w:r>
          </w:p>
        </w:tc>
        <w:tc>
          <w:tcPr>
            <w:tcW w:w="1842" w:type="dxa"/>
            <w:shd w:val="clear" w:color="auto" w:fill="D9D9D9" w:themeFill="background1" w:themeFillShade="D9"/>
            <w:vAlign w:val="center"/>
          </w:tcPr>
          <w:p w14:paraId="04EC56AB" w14:textId="77777777" w:rsidR="00A81719" w:rsidRPr="005516CD" w:rsidRDefault="00A8171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pPr>
            <w:r w:rsidRPr="005516CD">
              <w:rPr>
                <w:rStyle w:val="None"/>
                <w:rFonts w:asciiTheme="majorHAnsi" w:hAnsiTheme="majorHAnsi" w:cstheme="majorHAnsi"/>
                <w:b/>
                <w:bCs/>
                <w:color w:val="auto"/>
                <w:sz w:val="19"/>
                <w:szCs w:val="19"/>
                <w:lang w:val="en-US"/>
              </w:rPr>
              <w:t>Responsible for data collection</w:t>
            </w:r>
          </w:p>
        </w:tc>
        <w:tc>
          <w:tcPr>
            <w:tcW w:w="1985" w:type="dxa"/>
            <w:shd w:val="clear" w:color="auto" w:fill="D9D9D9" w:themeFill="background1" w:themeFillShade="D9"/>
            <w:vAlign w:val="center"/>
          </w:tcPr>
          <w:p w14:paraId="79C5A18E" w14:textId="77777777" w:rsidR="00A81719" w:rsidRPr="005516CD" w:rsidRDefault="00A8171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pPr>
            <w:r w:rsidRPr="005516CD">
              <w:rPr>
                <w:rStyle w:val="None"/>
                <w:rFonts w:asciiTheme="majorHAnsi" w:hAnsiTheme="majorHAnsi" w:cstheme="majorHAnsi"/>
                <w:b/>
                <w:bCs/>
                <w:color w:val="auto"/>
                <w:sz w:val="19"/>
                <w:szCs w:val="19"/>
                <w:lang w:val="en-US"/>
              </w:rPr>
              <w:t>Means of verification</w:t>
            </w:r>
          </w:p>
        </w:tc>
        <w:tc>
          <w:tcPr>
            <w:tcW w:w="1764" w:type="dxa"/>
            <w:shd w:val="clear" w:color="auto" w:fill="D9D9D9" w:themeFill="background1" w:themeFillShade="D9"/>
            <w:vAlign w:val="center"/>
          </w:tcPr>
          <w:p w14:paraId="2DD3B0B5" w14:textId="77777777" w:rsidR="00A81719" w:rsidRPr="005516CD" w:rsidRDefault="00A8171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pPr>
            <w:r w:rsidRPr="005516CD">
              <w:rPr>
                <w:rStyle w:val="None"/>
                <w:rFonts w:asciiTheme="majorHAnsi" w:hAnsiTheme="majorHAnsi" w:cstheme="majorHAnsi"/>
                <w:b/>
                <w:bCs/>
                <w:color w:val="auto"/>
                <w:sz w:val="19"/>
                <w:szCs w:val="19"/>
                <w:lang w:val="en-US"/>
              </w:rPr>
              <w:t>Assumptions and Risks</w:t>
            </w:r>
          </w:p>
        </w:tc>
      </w:tr>
      <w:tr w:rsidR="00503E0C" w:rsidRPr="005516CD" w14:paraId="2834749B" w14:textId="77777777" w:rsidTr="00A81719">
        <w:tc>
          <w:tcPr>
            <w:tcW w:w="1555" w:type="dxa"/>
            <w:vMerge w:val="restart"/>
          </w:tcPr>
          <w:p w14:paraId="7C6536A5" w14:textId="77777777" w:rsidR="00503E0C"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b/>
                <w:bCs/>
                <w:noProof/>
                <w:sz w:val="19"/>
                <w:szCs w:val="19"/>
              </w:rPr>
              <w:t xml:space="preserve">Objective: </w:t>
            </w:r>
            <w:r w:rsidRPr="005516CD">
              <w:rPr>
                <w:rFonts w:asciiTheme="majorHAnsi" w:hAnsiTheme="majorHAnsi" w:cstheme="majorHAnsi"/>
                <w:bCs/>
                <w:noProof/>
                <w:sz w:val="19"/>
                <w:szCs w:val="19"/>
              </w:rPr>
              <w:t>The generation of multiple environmental and social benefits through the integrated and sustainable management of wooded production landscapes in the Massif du Nord with globally significant biodiversity</w:t>
            </w:r>
          </w:p>
        </w:tc>
        <w:tc>
          <w:tcPr>
            <w:tcW w:w="4110" w:type="dxa"/>
          </w:tcPr>
          <w:p w14:paraId="51EE5718" w14:textId="77777777" w:rsidR="00503E0C" w:rsidRPr="005516CD" w:rsidRDefault="00503E0C" w:rsidP="00A81719">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firstLine="0"/>
            </w:pPr>
            <w:r w:rsidRPr="005516CD">
              <w:rPr>
                <w:rFonts w:asciiTheme="majorHAnsi" w:hAnsiTheme="majorHAnsi" w:cstheme="majorHAnsi"/>
                <w:bCs/>
                <w:noProof/>
                <w:sz w:val="19"/>
                <w:szCs w:val="19"/>
              </w:rPr>
              <w:t xml:space="preserve">Area of deforested land restored to forest, and forested land with improved tree cover, favouring the delivery of multiple environmental benefits </w:t>
            </w:r>
          </w:p>
        </w:tc>
        <w:tc>
          <w:tcPr>
            <w:tcW w:w="1650" w:type="dxa"/>
          </w:tcPr>
          <w:p w14:paraId="3F901700"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Field inspections and review of registers of restoration activities held by field teams</w:t>
            </w:r>
          </w:p>
        </w:tc>
        <w:tc>
          <w:tcPr>
            <w:tcW w:w="1044" w:type="dxa"/>
          </w:tcPr>
          <w:p w14:paraId="15CF2854"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Annual</w:t>
            </w:r>
          </w:p>
        </w:tc>
        <w:tc>
          <w:tcPr>
            <w:tcW w:w="1842" w:type="dxa"/>
          </w:tcPr>
          <w:p w14:paraId="474AE360"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Field technicians</w:t>
            </w:r>
          </w:p>
        </w:tc>
        <w:tc>
          <w:tcPr>
            <w:tcW w:w="1985" w:type="dxa"/>
          </w:tcPr>
          <w:p w14:paraId="1F01B0F2"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Reports of technicians</w:t>
            </w:r>
          </w:p>
        </w:tc>
        <w:tc>
          <w:tcPr>
            <w:tcW w:w="1764" w:type="dxa"/>
          </w:tcPr>
          <w:p w14:paraId="1EEDE9F1"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None</w:t>
            </w:r>
          </w:p>
        </w:tc>
      </w:tr>
      <w:tr w:rsidR="00503E0C" w:rsidRPr="005516CD" w14:paraId="12D468C8" w14:textId="77777777" w:rsidTr="00A81719">
        <w:tc>
          <w:tcPr>
            <w:tcW w:w="1555" w:type="dxa"/>
            <w:vMerge/>
          </w:tcPr>
          <w:p w14:paraId="7F6A1EAB"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25278773" w14:textId="77777777" w:rsidR="00503E0C" w:rsidRPr="005516CD" w:rsidRDefault="00503E0C" w:rsidP="00A81719">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firstLine="0"/>
            </w:pPr>
            <w:r w:rsidRPr="005516CD">
              <w:rPr>
                <w:rFonts w:asciiTheme="majorHAnsi" w:hAnsiTheme="majorHAnsi" w:cstheme="majorHAnsi"/>
                <w:bCs/>
                <w:noProof/>
                <w:sz w:val="19"/>
                <w:szCs w:val="19"/>
              </w:rPr>
              <w:t>Area of cacao plantations in project target communities with improved management that favours BD habitat and connectivity (e.g. increased diversity of structure and composition), increases overall economic viability, contributes to food security, and responds to provisions of spatial plans that provide for BD connectivity and ecosystem services</w:t>
            </w:r>
          </w:p>
        </w:tc>
        <w:tc>
          <w:tcPr>
            <w:tcW w:w="1650" w:type="dxa"/>
          </w:tcPr>
          <w:p w14:paraId="78840E08"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Field inspections of a sample of plantations</w:t>
            </w:r>
          </w:p>
        </w:tc>
        <w:tc>
          <w:tcPr>
            <w:tcW w:w="1044" w:type="dxa"/>
          </w:tcPr>
          <w:p w14:paraId="7D1B3F24"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Annual</w:t>
            </w:r>
          </w:p>
        </w:tc>
        <w:tc>
          <w:tcPr>
            <w:tcW w:w="1842" w:type="dxa"/>
          </w:tcPr>
          <w:p w14:paraId="19523A32"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Field technicians</w:t>
            </w:r>
          </w:p>
        </w:tc>
        <w:tc>
          <w:tcPr>
            <w:tcW w:w="1985" w:type="dxa"/>
          </w:tcPr>
          <w:p w14:paraId="028F5C38"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Reports of technicians</w:t>
            </w:r>
          </w:p>
        </w:tc>
        <w:tc>
          <w:tcPr>
            <w:tcW w:w="1764" w:type="dxa"/>
          </w:tcPr>
          <w:p w14:paraId="50D191D5"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Willingness of farmers to permit farm inspections</w:t>
            </w:r>
          </w:p>
        </w:tc>
      </w:tr>
      <w:tr w:rsidR="00503E0C" w:rsidRPr="005516CD" w14:paraId="1A5DA453" w14:textId="77777777" w:rsidTr="00A81719">
        <w:tc>
          <w:tcPr>
            <w:tcW w:w="1555" w:type="dxa"/>
            <w:vMerge/>
          </w:tcPr>
          <w:p w14:paraId="79C4874F"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0387ECEC" w14:textId="77777777" w:rsidR="00503E0C" w:rsidRPr="005516CD" w:rsidRDefault="00503E0C" w:rsidP="00A81719">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firstLine="0"/>
            </w:pPr>
            <w:r w:rsidRPr="005516CD">
              <w:rPr>
                <w:rFonts w:asciiTheme="majorHAnsi" w:hAnsiTheme="majorHAnsi" w:cstheme="majorHAnsi"/>
                <w:bCs/>
                <w:noProof/>
                <w:sz w:val="19"/>
                <w:szCs w:val="19"/>
              </w:rPr>
              <w:t>Area of coffee plantations in project target communities with improved management that favours BD habitat and connectivity (e.g. increased diversity of structure and composition), increases overall economic viability, contributes to food security, and responds to provisions of spatial plans that provide for BD connectivity and ecosystem services</w:t>
            </w:r>
          </w:p>
        </w:tc>
        <w:tc>
          <w:tcPr>
            <w:tcW w:w="1650" w:type="dxa"/>
          </w:tcPr>
          <w:p w14:paraId="1098B9BB"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Field inspections of a sample of plantations</w:t>
            </w:r>
          </w:p>
        </w:tc>
        <w:tc>
          <w:tcPr>
            <w:tcW w:w="1044" w:type="dxa"/>
          </w:tcPr>
          <w:p w14:paraId="4E1A03EA"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Annual</w:t>
            </w:r>
          </w:p>
        </w:tc>
        <w:tc>
          <w:tcPr>
            <w:tcW w:w="1842" w:type="dxa"/>
          </w:tcPr>
          <w:p w14:paraId="5714FEB3"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Field technicians (FAO)</w:t>
            </w:r>
          </w:p>
        </w:tc>
        <w:tc>
          <w:tcPr>
            <w:tcW w:w="1985" w:type="dxa"/>
          </w:tcPr>
          <w:p w14:paraId="5B7BF8EF"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Reports of technicians</w:t>
            </w:r>
          </w:p>
        </w:tc>
        <w:tc>
          <w:tcPr>
            <w:tcW w:w="1764" w:type="dxa"/>
          </w:tcPr>
          <w:p w14:paraId="3E09D5D8"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Willingness of farmers to permit farm inspections</w:t>
            </w:r>
          </w:p>
        </w:tc>
      </w:tr>
      <w:tr w:rsidR="00503E0C" w:rsidRPr="005516CD" w14:paraId="5DAA6BCB" w14:textId="77777777" w:rsidTr="00A81719">
        <w:tc>
          <w:tcPr>
            <w:tcW w:w="1555" w:type="dxa"/>
            <w:vMerge/>
          </w:tcPr>
          <w:p w14:paraId="1575CA5D"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62E10CD4" w14:textId="77777777" w:rsidR="00503E0C" w:rsidRPr="005516CD" w:rsidRDefault="00503E0C" w:rsidP="00A81719">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firstLine="0"/>
            </w:pPr>
            <w:r w:rsidRPr="005516CD">
              <w:rPr>
                <w:rFonts w:asciiTheme="majorHAnsi" w:hAnsiTheme="majorHAnsi" w:cstheme="majorHAnsi"/>
                <w:bCs/>
                <w:noProof/>
                <w:sz w:val="19"/>
                <w:szCs w:val="19"/>
              </w:rPr>
              <w:t>Area of home gardens, annual cropping and grazing areas with agroforestry with improved management that favours BD habitat and connectivity (e.g. increased diversity of structure and composition), increases overall economic viability, contributes to food security, and responds to provisions of spatial plans that provide for BD connectivity and ecosystem services</w:t>
            </w:r>
          </w:p>
        </w:tc>
        <w:tc>
          <w:tcPr>
            <w:tcW w:w="1650" w:type="dxa"/>
          </w:tcPr>
          <w:p w14:paraId="6EB5FFF2"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Field inspections of a sample of farms</w:t>
            </w:r>
          </w:p>
        </w:tc>
        <w:tc>
          <w:tcPr>
            <w:tcW w:w="1044" w:type="dxa"/>
          </w:tcPr>
          <w:p w14:paraId="5728EC6F"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Annual</w:t>
            </w:r>
          </w:p>
        </w:tc>
        <w:tc>
          <w:tcPr>
            <w:tcW w:w="1842" w:type="dxa"/>
          </w:tcPr>
          <w:p w14:paraId="58035289"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Field technicians (FAO)</w:t>
            </w:r>
          </w:p>
        </w:tc>
        <w:tc>
          <w:tcPr>
            <w:tcW w:w="1985" w:type="dxa"/>
          </w:tcPr>
          <w:p w14:paraId="12824769"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Reports of technicians</w:t>
            </w:r>
          </w:p>
        </w:tc>
        <w:tc>
          <w:tcPr>
            <w:tcW w:w="1764" w:type="dxa"/>
          </w:tcPr>
          <w:p w14:paraId="2AFA415E"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Willingness of farmers to permit farm inspections</w:t>
            </w:r>
          </w:p>
        </w:tc>
      </w:tr>
      <w:tr w:rsidR="00503E0C" w:rsidRPr="005516CD" w14:paraId="4C42C4E9" w14:textId="77777777" w:rsidTr="00A81719">
        <w:tc>
          <w:tcPr>
            <w:tcW w:w="1555" w:type="dxa"/>
            <w:vMerge/>
          </w:tcPr>
          <w:p w14:paraId="6DF630DF"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18BDCAF5" w14:textId="77777777" w:rsidR="00503E0C" w:rsidRPr="005516CD" w:rsidRDefault="00503E0C" w:rsidP="00A81719">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firstLine="0"/>
            </w:pPr>
            <w:r w:rsidRPr="005516CD">
              <w:rPr>
                <w:rFonts w:asciiTheme="majorHAnsi" w:hAnsiTheme="majorHAnsi" w:cstheme="majorHAnsi"/>
                <w:bCs/>
                <w:noProof/>
                <w:sz w:val="19"/>
                <w:szCs w:val="19"/>
              </w:rPr>
              <w:t>Area of cacao plantations in the overall project area certified under certification schemes with requirements that coincide with those of target BD</w:t>
            </w:r>
          </w:p>
        </w:tc>
        <w:tc>
          <w:tcPr>
            <w:tcW w:w="1650" w:type="dxa"/>
          </w:tcPr>
          <w:p w14:paraId="441FDADE"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Registers of cooperatives and certification entities</w:t>
            </w:r>
          </w:p>
        </w:tc>
        <w:tc>
          <w:tcPr>
            <w:tcW w:w="1044" w:type="dxa"/>
          </w:tcPr>
          <w:p w14:paraId="151C4387"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Annual</w:t>
            </w:r>
          </w:p>
        </w:tc>
        <w:tc>
          <w:tcPr>
            <w:tcW w:w="1842" w:type="dxa"/>
          </w:tcPr>
          <w:p w14:paraId="78575374" w14:textId="1B71DD25"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 xml:space="preserve">Field technicians </w:t>
            </w:r>
          </w:p>
        </w:tc>
        <w:tc>
          <w:tcPr>
            <w:tcW w:w="1985" w:type="dxa"/>
          </w:tcPr>
          <w:p w14:paraId="492978EF"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Reports of technicians</w:t>
            </w:r>
          </w:p>
        </w:tc>
        <w:tc>
          <w:tcPr>
            <w:tcW w:w="1764" w:type="dxa"/>
          </w:tcPr>
          <w:p w14:paraId="571142F6"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color w:val="auto"/>
                <w:sz w:val="19"/>
                <w:szCs w:val="19"/>
              </w:rPr>
              <w:t>Willingness of cooperatives and certification entities to share data</w:t>
            </w:r>
          </w:p>
        </w:tc>
      </w:tr>
      <w:tr w:rsidR="00503E0C" w:rsidRPr="005516CD" w14:paraId="3DFEDAF4" w14:textId="77777777" w:rsidTr="00A81719">
        <w:tc>
          <w:tcPr>
            <w:tcW w:w="1555" w:type="dxa"/>
            <w:vMerge/>
          </w:tcPr>
          <w:p w14:paraId="38890DEA"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7CE799BA" w14:textId="77777777" w:rsidR="00503E0C" w:rsidRPr="005516CD" w:rsidRDefault="00503E0C" w:rsidP="00A81719">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firstLine="0"/>
              <w:rPr>
                <w:rFonts w:asciiTheme="majorHAnsi" w:hAnsiTheme="majorHAnsi" w:cstheme="majorHAnsi"/>
                <w:bCs/>
                <w:noProof/>
                <w:sz w:val="19"/>
                <w:szCs w:val="19"/>
              </w:rPr>
            </w:pPr>
            <w:r w:rsidRPr="005516CD">
              <w:rPr>
                <w:rFonts w:asciiTheme="majorHAnsi" w:hAnsiTheme="majorHAnsi" w:cstheme="majorHAnsi"/>
                <w:bCs/>
                <w:noProof/>
                <w:sz w:val="19"/>
                <w:szCs w:val="19"/>
              </w:rPr>
              <w:t xml:space="preserve">Area of coffee plantations in the overall project area certified under certification schemes with requirements that coincide with those of target BD </w:t>
            </w:r>
          </w:p>
        </w:tc>
        <w:tc>
          <w:tcPr>
            <w:tcW w:w="1650" w:type="dxa"/>
          </w:tcPr>
          <w:p w14:paraId="5C017EF6"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Registers of cooperatives and certification entities</w:t>
            </w:r>
          </w:p>
        </w:tc>
        <w:tc>
          <w:tcPr>
            <w:tcW w:w="1044" w:type="dxa"/>
          </w:tcPr>
          <w:p w14:paraId="40709017"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Annual</w:t>
            </w:r>
          </w:p>
        </w:tc>
        <w:tc>
          <w:tcPr>
            <w:tcW w:w="1842" w:type="dxa"/>
          </w:tcPr>
          <w:p w14:paraId="39548B56" w14:textId="7A3D8C1C"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Field technicians </w:t>
            </w:r>
          </w:p>
        </w:tc>
        <w:tc>
          <w:tcPr>
            <w:tcW w:w="1985" w:type="dxa"/>
          </w:tcPr>
          <w:p w14:paraId="7B7238EE"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Reports of technicians</w:t>
            </w:r>
          </w:p>
        </w:tc>
        <w:tc>
          <w:tcPr>
            <w:tcW w:w="1764" w:type="dxa"/>
          </w:tcPr>
          <w:p w14:paraId="67FF08BB"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Willingness of cooperatives and certification entities to share data</w:t>
            </w:r>
          </w:p>
        </w:tc>
      </w:tr>
      <w:tr w:rsidR="00503E0C" w:rsidRPr="005516CD" w14:paraId="76F78718" w14:textId="77777777" w:rsidTr="00A81719">
        <w:tc>
          <w:tcPr>
            <w:tcW w:w="1555" w:type="dxa"/>
            <w:vMerge/>
          </w:tcPr>
          <w:p w14:paraId="7522A77E"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4D807958" w14:textId="77777777" w:rsidR="00503E0C" w:rsidRPr="005516CD" w:rsidRDefault="00503E0C" w:rsidP="00A81719">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firstLine="0"/>
              <w:rPr>
                <w:rFonts w:asciiTheme="majorHAnsi" w:hAnsiTheme="majorHAnsi" w:cstheme="majorHAnsi"/>
                <w:bCs/>
                <w:noProof/>
                <w:sz w:val="19"/>
                <w:szCs w:val="19"/>
              </w:rPr>
            </w:pPr>
            <w:r w:rsidRPr="005516CD">
              <w:rPr>
                <w:rFonts w:asciiTheme="majorHAnsi" w:hAnsiTheme="majorHAnsi" w:cstheme="majorHAnsi"/>
                <w:bCs/>
                <w:noProof/>
                <w:sz w:val="19"/>
                <w:szCs w:val="19"/>
              </w:rPr>
              <w:t>Total area of land in target communities with improved tree cover, delivering SLM benefits</w:t>
            </w:r>
          </w:p>
        </w:tc>
        <w:tc>
          <w:tcPr>
            <w:tcW w:w="1650" w:type="dxa"/>
          </w:tcPr>
          <w:p w14:paraId="54BC0673"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Sum of indicators O1, O2, O3 and O4</w:t>
            </w:r>
          </w:p>
        </w:tc>
        <w:tc>
          <w:tcPr>
            <w:tcW w:w="1044" w:type="dxa"/>
          </w:tcPr>
          <w:p w14:paraId="4C504FAE"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Annual</w:t>
            </w:r>
          </w:p>
        </w:tc>
        <w:tc>
          <w:tcPr>
            <w:tcW w:w="1842" w:type="dxa"/>
          </w:tcPr>
          <w:p w14:paraId="400DA140" w14:textId="5C38ED69" w:rsidR="00503E0C" w:rsidRPr="005516CD" w:rsidRDefault="00503E0C" w:rsidP="00A91C16">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Project </w:t>
            </w:r>
            <w:r w:rsidR="00800518">
              <w:rPr>
                <w:rFonts w:asciiTheme="majorHAnsi" w:hAnsiTheme="majorHAnsi" w:cstheme="majorHAnsi"/>
                <w:color w:val="auto"/>
                <w:sz w:val="19"/>
                <w:szCs w:val="19"/>
              </w:rPr>
              <w:t>Officer</w:t>
            </w:r>
            <w:r w:rsidR="00800518" w:rsidRPr="005516CD">
              <w:rPr>
                <w:rFonts w:asciiTheme="majorHAnsi" w:hAnsiTheme="majorHAnsi" w:cstheme="majorHAnsi"/>
                <w:color w:val="auto"/>
                <w:sz w:val="19"/>
                <w:szCs w:val="19"/>
              </w:rPr>
              <w:t xml:space="preserve"> </w:t>
            </w:r>
            <w:r w:rsidRPr="005516CD">
              <w:rPr>
                <w:rFonts w:asciiTheme="majorHAnsi" w:hAnsiTheme="majorHAnsi" w:cstheme="majorHAnsi"/>
                <w:color w:val="auto"/>
                <w:sz w:val="19"/>
                <w:szCs w:val="19"/>
              </w:rPr>
              <w:t>(UNDP)</w:t>
            </w:r>
          </w:p>
        </w:tc>
        <w:tc>
          <w:tcPr>
            <w:tcW w:w="1985" w:type="dxa"/>
          </w:tcPr>
          <w:p w14:paraId="65EFE253" w14:textId="78DBC2FF"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Report of </w:t>
            </w:r>
            <w:r w:rsidR="007F6480">
              <w:rPr>
                <w:rFonts w:asciiTheme="majorHAnsi" w:eastAsia="Times New Roman" w:hAnsiTheme="majorHAnsi" w:cstheme="majorHAnsi"/>
                <w:sz w:val="18"/>
                <w:szCs w:val="18"/>
                <w:lang w:eastAsia="fr-FR"/>
              </w:rPr>
              <w:t>Project</w:t>
            </w:r>
            <w:r w:rsidR="007F6480">
              <w:rPr>
                <w:rFonts w:asciiTheme="majorHAnsi" w:hAnsiTheme="majorHAnsi" w:cstheme="majorHAnsi"/>
                <w:color w:val="auto"/>
                <w:sz w:val="19"/>
                <w:szCs w:val="19"/>
              </w:rPr>
              <w:t xml:space="preserve"> </w:t>
            </w:r>
            <w:r w:rsidRPr="005516CD">
              <w:rPr>
                <w:rFonts w:asciiTheme="majorHAnsi" w:hAnsiTheme="majorHAnsi" w:cstheme="majorHAnsi"/>
                <w:color w:val="auto"/>
                <w:sz w:val="19"/>
                <w:szCs w:val="19"/>
              </w:rPr>
              <w:t xml:space="preserve"> </w:t>
            </w:r>
            <w:r w:rsidR="00800518">
              <w:rPr>
                <w:rFonts w:asciiTheme="majorHAnsi" w:hAnsiTheme="majorHAnsi" w:cstheme="majorHAnsi"/>
                <w:color w:val="auto"/>
                <w:sz w:val="19"/>
                <w:szCs w:val="19"/>
              </w:rPr>
              <w:t>Officer</w:t>
            </w:r>
          </w:p>
        </w:tc>
        <w:tc>
          <w:tcPr>
            <w:tcW w:w="1764" w:type="dxa"/>
          </w:tcPr>
          <w:p w14:paraId="3ECA6E55"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None</w:t>
            </w:r>
          </w:p>
        </w:tc>
      </w:tr>
      <w:tr w:rsidR="00503E0C" w:rsidRPr="005516CD" w14:paraId="2A4DD155" w14:textId="77777777" w:rsidTr="00A81719">
        <w:tc>
          <w:tcPr>
            <w:tcW w:w="1555" w:type="dxa"/>
            <w:vMerge/>
          </w:tcPr>
          <w:p w14:paraId="1106AA38"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47BCDB9E" w14:textId="77777777" w:rsidR="00503E0C" w:rsidRPr="005516CD" w:rsidRDefault="00503E0C" w:rsidP="00A81719">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firstLine="0"/>
              <w:rPr>
                <w:rFonts w:asciiTheme="majorHAnsi" w:hAnsiTheme="majorHAnsi" w:cstheme="majorHAnsi"/>
                <w:bCs/>
                <w:noProof/>
                <w:sz w:val="19"/>
                <w:szCs w:val="19"/>
              </w:rPr>
            </w:pPr>
            <w:r w:rsidRPr="005516CD">
              <w:rPr>
                <w:rFonts w:asciiTheme="majorHAnsi" w:hAnsiTheme="majorHAnsi" w:cstheme="majorHAnsi"/>
                <w:bCs/>
                <w:noProof/>
                <w:sz w:val="19"/>
                <w:szCs w:val="19"/>
              </w:rPr>
              <w:t>Net carbon balance as a result of reduced loss of tree-rich production systems, and enrichment of tree cover on agricultural and forest lands</w:t>
            </w:r>
          </w:p>
        </w:tc>
        <w:tc>
          <w:tcPr>
            <w:tcW w:w="1650" w:type="dxa"/>
          </w:tcPr>
          <w:p w14:paraId="33421BDC"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Ex-ACT based on values of indicators O1, O2, O3 and O4</w:t>
            </w:r>
          </w:p>
        </w:tc>
        <w:tc>
          <w:tcPr>
            <w:tcW w:w="1044" w:type="dxa"/>
          </w:tcPr>
          <w:p w14:paraId="0A338A23"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Annual</w:t>
            </w:r>
          </w:p>
        </w:tc>
        <w:tc>
          <w:tcPr>
            <w:tcW w:w="1842" w:type="dxa"/>
          </w:tcPr>
          <w:p w14:paraId="76471191" w14:textId="72A83230"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Project </w:t>
            </w:r>
            <w:r w:rsidR="00800518">
              <w:rPr>
                <w:rFonts w:asciiTheme="majorHAnsi" w:hAnsiTheme="majorHAnsi" w:cstheme="majorHAnsi"/>
                <w:color w:val="auto"/>
                <w:sz w:val="19"/>
                <w:szCs w:val="19"/>
              </w:rPr>
              <w:t>Officer</w:t>
            </w:r>
            <w:r w:rsidR="00800518" w:rsidRPr="005516CD">
              <w:rPr>
                <w:rFonts w:asciiTheme="majorHAnsi" w:hAnsiTheme="majorHAnsi" w:cstheme="majorHAnsi"/>
                <w:color w:val="auto"/>
                <w:sz w:val="19"/>
                <w:szCs w:val="19"/>
              </w:rPr>
              <w:t xml:space="preserve"> </w:t>
            </w:r>
            <w:r w:rsidRPr="005516CD">
              <w:rPr>
                <w:rFonts w:asciiTheme="majorHAnsi" w:hAnsiTheme="majorHAnsi" w:cstheme="majorHAnsi"/>
                <w:color w:val="auto"/>
                <w:sz w:val="19"/>
                <w:szCs w:val="19"/>
              </w:rPr>
              <w:t>(UNDP)</w:t>
            </w:r>
            <w:r w:rsidR="00B72408" w:rsidRPr="005516CD">
              <w:rPr>
                <w:rFonts w:asciiTheme="majorHAnsi" w:hAnsiTheme="majorHAnsi" w:cstheme="majorHAnsi"/>
                <w:color w:val="auto"/>
                <w:sz w:val="19"/>
                <w:szCs w:val="19"/>
              </w:rPr>
              <w:t xml:space="preserve"> based on inputs from </w:t>
            </w:r>
            <w:r w:rsidR="00800518">
              <w:rPr>
                <w:rFonts w:asciiTheme="majorHAnsi" w:hAnsiTheme="majorHAnsi" w:cstheme="majorHAnsi"/>
                <w:color w:val="auto"/>
                <w:sz w:val="19"/>
                <w:szCs w:val="19"/>
              </w:rPr>
              <w:t>NGO/CSO</w:t>
            </w:r>
          </w:p>
        </w:tc>
        <w:tc>
          <w:tcPr>
            <w:tcW w:w="1985" w:type="dxa"/>
          </w:tcPr>
          <w:p w14:paraId="1F79D200" w14:textId="6F700EB4"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Report of </w:t>
            </w:r>
            <w:r w:rsidR="007F6480">
              <w:rPr>
                <w:rFonts w:asciiTheme="majorHAnsi" w:eastAsia="Times New Roman" w:hAnsiTheme="majorHAnsi" w:cstheme="majorHAnsi"/>
                <w:sz w:val="18"/>
                <w:szCs w:val="18"/>
                <w:lang w:eastAsia="fr-FR"/>
              </w:rPr>
              <w:t>Project</w:t>
            </w:r>
            <w:r w:rsidR="007F6480" w:rsidRPr="001A6709">
              <w:rPr>
                <w:rFonts w:asciiTheme="majorHAnsi" w:eastAsia="Times New Roman" w:hAnsiTheme="majorHAnsi" w:cstheme="majorHAnsi"/>
                <w:sz w:val="18"/>
                <w:szCs w:val="18"/>
                <w:lang w:eastAsia="fr-FR"/>
              </w:rPr>
              <w:t xml:space="preserve"> </w:t>
            </w:r>
            <w:r w:rsidR="00800518">
              <w:rPr>
                <w:rFonts w:asciiTheme="majorHAnsi" w:hAnsiTheme="majorHAnsi" w:cstheme="majorHAnsi"/>
                <w:color w:val="auto"/>
                <w:sz w:val="19"/>
                <w:szCs w:val="19"/>
              </w:rPr>
              <w:t>Officer</w:t>
            </w:r>
          </w:p>
        </w:tc>
        <w:tc>
          <w:tcPr>
            <w:tcW w:w="1764" w:type="dxa"/>
          </w:tcPr>
          <w:p w14:paraId="1F7A1A40"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Style w:val="None"/>
                <w:rFonts w:asciiTheme="majorHAnsi" w:hAnsiTheme="majorHAnsi" w:cstheme="majorHAnsi"/>
                <w:iCs/>
                <w:color w:val="auto"/>
                <w:sz w:val="19"/>
                <w:szCs w:val="19"/>
                <w:lang w:val="en-US"/>
              </w:rPr>
              <w:t>None</w:t>
            </w:r>
          </w:p>
        </w:tc>
      </w:tr>
      <w:tr w:rsidR="00503E0C" w:rsidRPr="005516CD" w14:paraId="5CE6A9B1" w14:textId="77777777" w:rsidTr="00A81719">
        <w:tc>
          <w:tcPr>
            <w:tcW w:w="1555" w:type="dxa"/>
            <w:vMerge/>
          </w:tcPr>
          <w:p w14:paraId="066479AE"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579CCCD8" w14:textId="77777777" w:rsidR="00503E0C" w:rsidRPr="005516CD" w:rsidRDefault="00503E0C" w:rsidP="00A81719">
            <w:pPr>
              <w:pStyle w:val="ListParagraph"/>
              <w:numPr>
                <w:ilvl w:val="0"/>
                <w:numId w:val="39"/>
              </w:numPr>
              <w:pBdr>
                <w:top w:val="none" w:sz="0" w:space="0" w:color="auto"/>
                <w:left w:val="none" w:sz="0" w:space="0" w:color="auto"/>
                <w:bottom w:val="none" w:sz="0" w:space="0" w:color="auto"/>
                <w:right w:val="none" w:sz="0" w:space="0" w:color="auto"/>
                <w:between w:val="none" w:sz="0" w:space="0" w:color="auto"/>
                <w:bar w:val="none" w:sz="0" w:color="auto"/>
              </w:pBdr>
              <w:tabs>
                <w:tab w:val="left" w:pos="451"/>
              </w:tabs>
              <w:ind w:left="0" w:firstLine="0"/>
              <w:rPr>
                <w:rFonts w:asciiTheme="majorHAnsi" w:hAnsiTheme="majorHAnsi" w:cstheme="majorHAnsi"/>
                <w:bCs/>
                <w:noProof/>
                <w:sz w:val="19"/>
                <w:szCs w:val="19"/>
              </w:rPr>
            </w:pPr>
            <w:r w:rsidRPr="005516CD">
              <w:rPr>
                <w:rFonts w:asciiTheme="majorHAnsi" w:hAnsiTheme="majorHAnsi" w:cstheme="majorHAnsi"/>
                <w:bCs/>
                <w:noProof/>
                <w:color w:val="auto"/>
                <w:sz w:val="19"/>
                <w:szCs w:val="19"/>
              </w:rPr>
              <w:t>Number of families and people (men and women) with increased levels of household income as a result of the integrated and sustainable management of wooded production landscapes</w:t>
            </w:r>
          </w:p>
        </w:tc>
        <w:tc>
          <w:tcPr>
            <w:tcW w:w="1650" w:type="dxa"/>
          </w:tcPr>
          <w:p w14:paraId="356B62FF"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Questionnaires and focus groups</w:t>
            </w:r>
          </w:p>
        </w:tc>
        <w:tc>
          <w:tcPr>
            <w:tcW w:w="1044" w:type="dxa"/>
          </w:tcPr>
          <w:p w14:paraId="73C19305"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Every two years</w:t>
            </w:r>
          </w:p>
        </w:tc>
        <w:tc>
          <w:tcPr>
            <w:tcW w:w="1842" w:type="dxa"/>
          </w:tcPr>
          <w:p w14:paraId="64322478" w14:textId="38F112D1"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Field technicians under guidance of FAO participation and gender specialist</w:t>
            </w:r>
          </w:p>
        </w:tc>
        <w:tc>
          <w:tcPr>
            <w:tcW w:w="1985" w:type="dxa"/>
          </w:tcPr>
          <w:p w14:paraId="72AE00F5"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Reports of technicians</w:t>
            </w:r>
          </w:p>
        </w:tc>
        <w:tc>
          <w:tcPr>
            <w:tcW w:w="1764" w:type="dxa"/>
          </w:tcPr>
          <w:p w14:paraId="1867B064" w14:textId="77777777" w:rsidR="00503E0C" w:rsidRPr="005516CD" w:rsidRDefault="00503E0C"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Willingness of community members to participate and share information</w:t>
            </w:r>
          </w:p>
        </w:tc>
      </w:tr>
      <w:tr w:rsidR="008849B9" w:rsidRPr="005516CD" w14:paraId="7B9284E7" w14:textId="77777777" w:rsidTr="00A81719">
        <w:tc>
          <w:tcPr>
            <w:tcW w:w="1555" w:type="dxa"/>
            <w:vMerge w:val="restart"/>
          </w:tcPr>
          <w:p w14:paraId="1808E271" w14:textId="77777777" w:rsidR="008849B9" w:rsidRPr="005516CD" w:rsidRDefault="008849B9" w:rsidP="008849B9">
            <w:pPr>
              <w:widowControl w:val="0"/>
              <w:rPr>
                <w:rFonts w:asciiTheme="majorHAnsi" w:hAnsiTheme="majorHAnsi" w:cstheme="majorHAnsi"/>
                <w:b/>
                <w:bCs/>
                <w:noProof/>
                <w:sz w:val="19"/>
                <w:szCs w:val="19"/>
              </w:rPr>
            </w:pPr>
            <w:r w:rsidRPr="005516CD">
              <w:rPr>
                <w:rFonts w:asciiTheme="majorHAnsi" w:hAnsiTheme="majorHAnsi" w:cstheme="majorHAnsi"/>
                <w:b/>
                <w:bCs/>
                <w:noProof/>
                <w:sz w:val="19"/>
                <w:szCs w:val="19"/>
              </w:rPr>
              <w:t>Component 1: </w:t>
            </w:r>
          </w:p>
          <w:p w14:paraId="27E3B52F" w14:textId="77777777" w:rsidR="008849B9" w:rsidRPr="005516CD" w:rsidRDefault="008849B9" w:rsidP="008849B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bCs/>
                <w:noProof/>
                <w:sz w:val="19"/>
                <w:szCs w:val="19"/>
              </w:rPr>
              <w:t>Creation of enabling conditions for application and scaling-up of landscape management model</w:t>
            </w:r>
          </w:p>
        </w:tc>
        <w:tc>
          <w:tcPr>
            <w:tcW w:w="4110" w:type="dxa"/>
          </w:tcPr>
          <w:p w14:paraId="65AAA563" w14:textId="77777777" w:rsidR="008849B9" w:rsidRPr="005516CD" w:rsidRDefault="008849B9" w:rsidP="00A81719">
            <w:pPr>
              <w:pStyle w:val="ListParagraph"/>
              <w:numPr>
                <w:ilvl w:val="1"/>
                <w:numId w:val="112"/>
              </w:numPr>
              <w:pBdr>
                <w:top w:val="none" w:sz="0" w:space="0" w:color="auto"/>
                <w:left w:val="none" w:sz="0" w:space="0" w:color="auto"/>
                <w:bottom w:val="none" w:sz="0" w:space="0" w:color="auto"/>
                <w:right w:val="none" w:sz="0" w:space="0" w:color="auto"/>
                <w:between w:val="none" w:sz="0" w:space="0" w:color="auto"/>
                <w:bar w:val="none" w:sz="0" w:color="auto"/>
              </w:pBdr>
              <w:tabs>
                <w:tab w:val="left" w:pos="416"/>
              </w:tabs>
              <w:ind w:left="0" w:firstLine="0"/>
              <w:rPr>
                <w:rFonts w:asciiTheme="majorHAnsi" w:hAnsiTheme="majorHAnsi" w:cstheme="majorHAnsi"/>
                <w:bCs/>
                <w:noProof/>
                <w:color w:val="auto"/>
                <w:sz w:val="19"/>
                <w:szCs w:val="19"/>
              </w:rPr>
            </w:pPr>
            <w:r w:rsidRPr="005516CD">
              <w:rPr>
                <w:rFonts w:asciiTheme="majorHAnsi" w:hAnsiTheme="majorHAnsi" w:cstheme="majorHAnsi"/>
                <w:bCs/>
                <w:noProof/>
                <w:sz w:val="19"/>
                <w:szCs w:val="19"/>
              </w:rPr>
              <w:t>Area prioritised in land use plans (produced through inter-sector processes and accords) across the project area for production systems on the basis of their importance for connectivity</w:t>
            </w:r>
          </w:p>
        </w:tc>
        <w:tc>
          <w:tcPr>
            <w:tcW w:w="1650" w:type="dxa"/>
          </w:tcPr>
          <w:p w14:paraId="5E97B495"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Review of land use plans</w:t>
            </w:r>
          </w:p>
        </w:tc>
        <w:tc>
          <w:tcPr>
            <w:tcW w:w="1044" w:type="dxa"/>
          </w:tcPr>
          <w:p w14:paraId="7CF7AE5D"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Annual</w:t>
            </w:r>
          </w:p>
        </w:tc>
        <w:tc>
          <w:tcPr>
            <w:tcW w:w="1842" w:type="dxa"/>
          </w:tcPr>
          <w:p w14:paraId="44E917C0" w14:textId="136BA67C" w:rsidR="008849B9" w:rsidRPr="005516CD" w:rsidRDefault="00800518"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Project </w:t>
            </w:r>
            <w:r>
              <w:rPr>
                <w:rFonts w:asciiTheme="majorHAnsi" w:hAnsiTheme="majorHAnsi" w:cstheme="majorHAnsi"/>
                <w:color w:val="auto"/>
                <w:sz w:val="19"/>
                <w:szCs w:val="19"/>
              </w:rPr>
              <w:t>Officer</w:t>
            </w:r>
            <w:r w:rsidRPr="005516CD">
              <w:rPr>
                <w:rFonts w:asciiTheme="majorHAnsi" w:hAnsiTheme="majorHAnsi" w:cstheme="majorHAnsi"/>
                <w:color w:val="auto"/>
                <w:sz w:val="19"/>
                <w:szCs w:val="19"/>
              </w:rPr>
              <w:t xml:space="preserve"> (UNDP) based on inputs from </w:t>
            </w:r>
            <w:r>
              <w:rPr>
                <w:rFonts w:asciiTheme="majorHAnsi" w:hAnsiTheme="majorHAnsi" w:cstheme="majorHAnsi"/>
                <w:color w:val="auto"/>
                <w:sz w:val="19"/>
                <w:szCs w:val="19"/>
              </w:rPr>
              <w:t>NGO/CSO</w:t>
            </w:r>
          </w:p>
        </w:tc>
        <w:tc>
          <w:tcPr>
            <w:tcW w:w="1985" w:type="dxa"/>
          </w:tcPr>
          <w:p w14:paraId="3D41053B" w14:textId="2BB79612"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Report of </w:t>
            </w:r>
            <w:r w:rsidR="00800518">
              <w:rPr>
                <w:rFonts w:asciiTheme="majorHAnsi" w:hAnsiTheme="majorHAnsi" w:cstheme="majorHAnsi"/>
                <w:color w:val="auto"/>
                <w:sz w:val="19"/>
                <w:szCs w:val="19"/>
              </w:rPr>
              <w:t>NGO/CSO</w:t>
            </w:r>
          </w:p>
        </w:tc>
        <w:tc>
          <w:tcPr>
            <w:tcW w:w="1764" w:type="dxa"/>
          </w:tcPr>
          <w:p w14:paraId="0272722B"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sz w:val="19"/>
                <w:szCs w:val="19"/>
              </w:rPr>
              <w:t>None</w:t>
            </w:r>
          </w:p>
        </w:tc>
      </w:tr>
      <w:tr w:rsidR="008849B9" w:rsidRPr="005516CD" w14:paraId="38420D38" w14:textId="77777777" w:rsidTr="00A81719">
        <w:tc>
          <w:tcPr>
            <w:tcW w:w="1555" w:type="dxa"/>
            <w:vMerge/>
          </w:tcPr>
          <w:p w14:paraId="3F019558"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3ACB3273" w14:textId="77777777" w:rsidR="008849B9" w:rsidRPr="005516CD" w:rsidRDefault="008849B9" w:rsidP="00A81719">
            <w:pPr>
              <w:pStyle w:val="ListParagraph"/>
              <w:numPr>
                <w:ilvl w:val="1"/>
                <w:numId w:val="112"/>
              </w:numPr>
              <w:pBdr>
                <w:top w:val="none" w:sz="0" w:space="0" w:color="auto"/>
                <w:left w:val="none" w:sz="0" w:space="0" w:color="auto"/>
                <w:bottom w:val="none" w:sz="0" w:space="0" w:color="auto"/>
                <w:right w:val="none" w:sz="0" w:space="0" w:color="auto"/>
                <w:between w:val="none" w:sz="0" w:space="0" w:color="auto"/>
                <w:bar w:val="none" w:sz="0" w:color="auto"/>
              </w:pBdr>
              <w:tabs>
                <w:tab w:val="left" w:pos="416"/>
              </w:tabs>
              <w:ind w:left="0" w:firstLine="0"/>
              <w:rPr>
                <w:rFonts w:asciiTheme="majorHAnsi" w:hAnsiTheme="majorHAnsi" w:cstheme="majorHAnsi"/>
                <w:bCs/>
                <w:noProof/>
                <w:sz w:val="19"/>
                <w:szCs w:val="19"/>
              </w:rPr>
            </w:pPr>
            <w:r w:rsidRPr="005516CD">
              <w:rPr>
                <w:rFonts w:asciiTheme="majorHAnsi" w:hAnsiTheme="majorHAnsi" w:cstheme="majorHAnsi"/>
                <w:bCs/>
                <w:noProof/>
                <w:color w:val="auto"/>
                <w:sz w:val="19"/>
                <w:szCs w:val="19"/>
              </w:rPr>
              <w:t xml:space="preserve">Area prioritised in land use plans across the project area for </w:t>
            </w:r>
            <w:r w:rsidRPr="005516CD">
              <w:rPr>
                <w:rFonts w:asciiTheme="majorHAnsi" w:hAnsiTheme="majorHAnsi" w:cstheme="majorHAnsi"/>
                <w:bCs/>
                <w:noProof/>
                <w:sz w:val="19"/>
                <w:szCs w:val="19"/>
              </w:rPr>
              <w:t>protective</w:t>
            </w:r>
            <w:r w:rsidRPr="005516CD">
              <w:rPr>
                <w:rFonts w:asciiTheme="majorHAnsi" w:hAnsiTheme="majorHAnsi" w:cstheme="majorHAnsi"/>
                <w:bCs/>
                <w:noProof/>
                <w:color w:val="auto"/>
                <w:sz w:val="19"/>
                <w:szCs w:val="19"/>
              </w:rPr>
              <w:t xml:space="preserve"> management and restoration as forest cover</w:t>
            </w:r>
          </w:p>
        </w:tc>
        <w:tc>
          <w:tcPr>
            <w:tcW w:w="1650" w:type="dxa"/>
          </w:tcPr>
          <w:p w14:paraId="205B4BAF"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Review of land use plans</w:t>
            </w:r>
          </w:p>
        </w:tc>
        <w:tc>
          <w:tcPr>
            <w:tcW w:w="1044" w:type="dxa"/>
          </w:tcPr>
          <w:p w14:paraId="69732D3F"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Annual</w:t>
            </w:r>
          </w:p>
        </w:tc>
        <w:tc>
          <w:tcPr>
            <w:tcW w:w="1842" w:type="dxa"/>
          </w:tcPr>
          <w:p w14:paraId="029BBE54" w14:textId="3D04FF10" w:rsidR="008849B9" w:rsidRPr="005516CD" w:rsidRDefault="00800518"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Project </w:t>
            </w:r>
            <w:r>
              <w:rPr>
                <w:rFonts w:asciiTheme="majorHAnsi" w:hAnsiTheme="majorHAnsi" w:cstheme="majorHAnsi"/>
                <w:color w:val="auto"/>
                <w:sz w:val="19"/>
                <w:szCs w:val="19"/>
              </w:rPr>
              <w:t>Officer</w:t>
            </w:r>
            <w:r w:rsidRPr="005516CD">
              <w:rPr>
                <w:rFonts w:asciiTheme="majorHAnsi" w:hAnsiTheme="majorHAnsi" w:cstheme="majorHAnsi"/>
                <w:color w:val="auto"/>
                <w:sz w:val="19"/>
                <w:szCs w:val="19"/>
              </w:rPr>
              <w:t xml:space="preserve"> (UNDP) based on inputs from </w:t>
            </w:r>
            <w:r>
              <w:rPr>
                <w:rFonts w:asciiTheme="majorHAnsi" w:hAnsiTheme="majorHAnsi" w:cstheme="majorHAnsi"/>
                <w:color w:val="auto"/>
                <w:sz w:val="19"/>
                <w:szCs w:val="19"/>
              </w:rPr>
              <w:t>NGO/CSO</w:t>
            </w:r>
          </w:p>
        </w:tc>
        <w:tc>
          <w:tcPr>
            <w:tcW w:w="1985" w:type="dxa"/>
          </w:tcPr>
          <w:p w14:paraId="2BE15A55" w14:textId="03B9F071"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Report of </w:t>
            </w:r>
            <w:r w:rsidR="00800518">
              <w:rPr>
                <w:rFonts w:asciiTheme="majorHAnsi" w:hAnsiTheme="majorHAnsi" w:cstheme="majorHAnsi"/>
                <w:color w:val="auto"/>
                <w:sz w:val="19"/>
                <w:szCs w:val="19"/>
              </w:rPr>
              <w:t>CS0/NGO</w:t>
            </w:r>
          </w:p>
        </w:tc>
        <w:tc>
          <w:tcPr>
            <w:tcW w:w="1764" w:type="dxa"/>
          </w:tcPr>
          <w:p w14:paraId="7F534319"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sz w:val="19"/>
                <w:szCs w:val="19"/>
              </w:rPr>
            </w:pPr>
            <w:r w:rsidRPr="005516CD">
              <w:rPr>
                <w:rFonts w:asciiTheme="majorHAnsi" w:hAnsiTheme="majorHAnsi" w:cstheme="majorHAnsi"/>
                <w:sz w:val="19"/>
                <w:szCs w:val="19"/>
              </w:rPr>
              <w:t>None</w:t>
            </w:r>
          </w:p>
        </w:tc>
      </w:tr>
      <w:tr w:rsidR="008849B9" w:rsidRPr="005516CD" w14:paraId="3B05DC63" w14:textId="77777777" w:rsidTr="00A81719">
        <w:tc>
          <w:tcPr>
            <w:tcW w:w="1555" w:type="dxa"/>
            <w:vMerge/>
          </w:tcPr>
          <w:p w14:paraId="5901EFFD"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3A60A429" w14:textId="77777777" w:rsidR="008849B9" w:rsidRPr="005516CD" w:rsidRDefault="008849B9" w:rsidP="00A81719">
            <w:pPr>
              <w:pStyle w:val="ListParagraph"/>
              <w:numPr>
                <w:ilvl w:val="1"/>
                <w:numId w:val="112"/>
              </w:numPr>
              <w:pBdr>
                <w:top w:val="none" w:sz="0" w:space="0" w:color="auto"/>
                <w:left w:val="none" w:sz="0" w:space="0" w:color="auto"/>
                <w:bottom w:val="none" w:sz="0" w:space="0" w:color="auto"/>
                <w:right w:val="none" w:sz="0" w:space="0" w:color="auto"/>
                <w:between w:val="none" w:sz="0" w:space="0" w:color="auto"/>
                <w:bar w:val="none" w:sz="0" w:color="auto"/>
              </w:pBdr>
              <w:tabs>
                <w:tab w:val="left" w:pos="416"/>
              </w:tabs>
              <w:ind w:left="0" w:firstLine="0"/>
              <w:rPr>
                <w:rFonts w:asciiTheme="majorHAnsi" w:hAnsiTheme="majorHAnsi" w:cstheme="majorHAnsi"/>
                <w:bCs/>
                <w:noProof/>
                <w:color w:val="auto"/>
                <w:sz w:val="19"/>
                <w:szCs w:val="19"/>
              </w:rPr>
            </w:pPr>
            <w:r w:rsidRPr="005516CD">
              <w:rPr>
                <w:rFonts w:asciiTheme="majorHAnsi" w:hAnsiTheme="majorHAnsi" w:cstheme="majorHAnsi"/>
                <w:bCs/>
                <w:noProof/>
                <w:color w:val="auto"/>
                <w:sz w:val="19"/>
                <w:szCs w:val="19"/>
              </w:rPr>
              <w:t xml:space="preserve">Number of communities with improved </w:t>
            </w:r>
            <w:r w:rsidRPr="005516CD">
              <w:rPr>
                <w:rFonts w:asciiTheme="majorHAnsi" w:hAnsiTheme="majorHAnsi" w:cstheme="majorHAnsi"/>
                <w:bCs/>
                <w:noProof/>
                <w:sz w:val="19"/>
                <w:szCs w:val="19"/>
              </w:rPr>
              <w:t>mechanisms</w:t>
            </w:r>
            <w:r w:rsidRPr="005516CD">
              <w:rPr>
                <w:rFonts w:asciiTheme="majorHAnsi" w:hAnsiTheme="majorHAnsi" w:cstheme="majorHAnsi"/>
                <w:bCs/>
                <w:noProof/>
                <w:color w:val="auto"/>
                <w:sz w:val="19"/>
                <w:szCs w:val="19"/>
              </w:rPr>
              <w:t xml:space="preserve"> for natural resource governance </w:t>
            </w:r>
          </w:p>
        </w:tc>
        <w:tc>
          <w:tcPr>
            <w:tcW w:w="1650" w:type="dxa"/>
          </w:tcPr>
          <w:p w14:paraId="28869E46"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bCs/>
                <w:noProof/>
                <w:sz w:val="19"/>
                <w:szCs w:val="19"/>
              </w:rPr>
              <w:t xml:space="preserve">Focus </w:t>
            </w:r>
            <w:r w:rsidRPr="005516CD">
              <w:rPr>
                <w:rFonts w:asciiTheme="majorHAnsi" w:hAnsiTheme="majorHAnsi" w:cstheme="majorHAnsi"/>
                <w:color w:val="auto"/>
                <w:sz w:val="19"/>
                <w:szCs w:val="19"/>
              </w:rPr>
              <w:t>groups</w:t>
            </w:r>
            <w:r w:rsidRPr="005516CD">
              <w:rPr>
                <w:rFonts w:asciiTheme="majorHAnsi" w:hAnsiTheme="majorHAnsi" w:cstheme="majorHAnsi"/>
                <w:bCs/>
                <w:noProof/>
                <w:sz w:val="19"/>
                <w:szCs w:val="19"/>
              </w:rPr>
              <w:t>, interviews with community members</w:t>
            </w:r>
          </w:p>
        </w:tc>
        <w:tc>
          <w:tcPr>
            <w:tcW w:w="1044" w:type="dxa"/>
          </w:tcPr>
          <w:p w14:paraId="4F72B40D"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Every two years</w:t>
            </w:r>
          </w:p>
        </w:tc>
        <w:tc>
          <w:tcPr>
            <w:tcW w:w="1842" w:type="dxa"/>
          </w:tcPr>
          <w:p w14:paraId="7E7241A4" w14:textId="0F49DA8C"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Field technicians under guidance of FAO participation and gender specialist</w:t>
            </w:r>
          </w:p>
        </w:tc>
        <w:tc>
          <w:tcPr>
            <w:tcW w:w="1985" w:type="dxa"/>
          </w:tcPr>
          <w:p w14:paraId="004D3881"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Reports of technicians</w:t>
            </w:r>
          </w:p>
        </w:tc>
        <w:tc>
          <w:tcPr>
            <w:tcW w:w="1764" w:type="dxa"/>
          </w:tcPr>
          <w:p w14:paraId="2D7D4D29"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sz w:val="19"/>
                <w:szCs w:val="19"/>
              </w:rPr>
            </w:pPr>
            <w:r w:rsidRPr="005516CD">
              <w:rPr>
                <w:rFonts w:asciiTheme="majorHAnsi" w:hAnsiTheme="majorHAnsi" w:cstheme="majorHAnsi"/>
                <w:color w:val="auto"/>
                <w:sz w:val="19"/>
                <w:szCs w:val="19"/>
              </w:rPr>
              <w:t>Willingness of community members to participate and share information</w:t>
            </w:r>
          </w:p>
        </w:tc>
      </w:tr>
      <w:tr w:rsidR="008849B9" w:rsidRPr="005516CD" w14:paraId="097C3EB1" w14:textId="77777777" w:rsidTr="00A81719">
        <w:tc>
          <w:tcPr>
            <w:tcW w:w="1555" w:type="dxa"/>
            <w:vMerge/>
          </w:tcPr>
          <w:p w14:paraId="6AE4968E"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5E70C88F" w14:textId="77777777" w:rsidR="008849B9" w:rsidRPr="005516CD" w:rsidRDefault="008849B9" w:rsidP="00A81719">
            <w:pPr>
              <w:pStyle w:val="ListParagraph"/>
              <w:numPr>
                <w:ilvl w:val="1"/>
                <w:numId w:val="112"/>
              </w:numPr>
              <w:pBdr>
                <w:top w:val="none" w:sz="0" w:space="0" w:color="auto"/>
                <w:left w:val="none" w:sz="0" w:space="0" w:color="auto"/>
                <w:bottom w:val="none" w:sz="0" w:space="0" w:color="auto"/>
                <w:right w:val="none" w:sz="0" w:space="0" w:color="auto"/>
                <w:between w:val="none" w:sz="0" w:space="0" w:color="auto"/>
                <w:bar w:val="none" w:sz="0" w:color="auto"/>
              </w:pBdr>
              <w:tabs>
                <w:tab w:val="left" w:pos="416"/>
              </w:tabs>
              <w:ind w:left="0" w:firstLine="0"/>
              <w:rPr>
                <w:rFonts w:asciiTheme="majorHAnsi" w:hAnsiTheme="majorHAnsi" w:cstheme="majorHAnsi"/>
                <w:bCs/>
                <w:noProof/>
                <w:color w:val="auto"/>
                <w:sz w:val="19"/>
                <w:szCs w:val="19"/>
              </w:rPr>
            </w:pPr>
            <w:r w:rsidRPr="005516CD">
              <w:rPr>
                <w:rFonts w:asciiTheme="majorHAnsi" w:hAnsiTheme="majorHAnsi" w:cstheme="majorHAnsi"/>
                <w:bCs/>
                <w:noProof/>
                <w:color w:val="auto"/>
                <w:sz w:val="19"/>
                <w:szCs w:val="19"/>
              </w:rPr>
              <w:t xml:space="preserve">Number of value chains, based on products of </w:t>
            </w:r>
            <w:r w:rsidRPr="005516CD">
              <w:rPr>
                <w:rFonts w:asciiTheme="majorHAnsi" w:hAnsiTheme="majorHAnsi" w:cstheme="majorHAnsi"/>
                <w:bCs/>
                <w:noProof/>
                <w:sz w:val="19"/>
                <w:szCs w:val="19"/>
              </w:rPr>
              <w:t>sustainable</w:t>
            </w:r>
            <w:r w:rsidRPr="005516CD">
              <w:rPr>
                <w:rFonts w:asciiTheme="majorHAnsi" w:hAnsiTheme="majorHAnsi" w:cstheme="majorHAnsi"/>
                <w:bCs/>
                <w:noProof/>
                <w:color w:val="auto"/>
                <w:sz w:val="19"/>
                <w:szCs w:val="19"/>
              </w:rPr>
              <w:t xml:space="preserve"> production systems, functioning consistently and generating equitable benefits for producers (producers receive at least 80% of the final sale price in the case of crops and 70% in the case of value-added products)</w:t>
            </w:r>
          </w:p>
        </w:tc>
        <w:tc>
          <w:tcPr>
            <w:tcW w:w="1650" w:type="dxa"/>
          </w:tcPr>
          <w:p w14:paraId="27CB0345"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bCs/>
                <w:noProof/>
                <w:sz w:val="19"/>
                <w:szCs w:val="19"/>
              </w:rPr>
            </w:pPr>
            <w:r w:rsidRPr="005516CD">
              <w:rPr>
                <w:rFonts w:asciiTheme="majorHAnsi" w:hAnsiTheme="majorHAnsi" w:cstheme="majorHAnsi"/>
                <w:bCs/>
                <w:noProof/>
                <w:sz w:val="19"/>
                <w:szCs w:val="19"/>
              </w:rPr>
              <w:t>Focus groups, interviews with value chain actors</w:t>
            </w:r>
          </w:p>
        </w:tc>
        <w:tc>
          <w:tcPr>
            <w:tcW w:w="1044" w:type="dxa"/>
          </w:tcPr>
          <w:p w14:paraId="3249486E"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Annual</w:t>
            </w:r>
          </w:p>
        </w:tc>
        <w:tc>
          <w:tcPr>
            <w:tcW w:w="1842" w:type="dxa"/>
          </w:tcPr>
          <w:p w14:paraId="406C800C" w14:textId="1F51E8E1"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Community-level value chain facilitator </w:t>
            </w:r>
          </w:p>
        </w:tc>
        <w:tc>
          <w:tcPr>
            <w:tcW w:w="1985" w:type="dxa"/>
          </w:tcPr>
          <w:p w14:paraId="1D792F44"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Reports of community-level value chain facilitator</w:t>
            </w:r>
          </w:p>
        </w:tc>
        <w:tc>
          <w:tcPr>
            <w:tcW w:w="1764" w:type="dxa"/>
          </w:tcPr>
          <w:p w14:paraId="4D17148D"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Willingness of value chain actors to participate and share information</w:t>
            </w:r>
          </w:p>
        </w:tc>
      </w:tr>
      <w:tr w:rsidR="008849B9" w:rsidRPr="005516CD" w14:paraId="1D237080" w14:textId="77777777" w:rsidTr="00A81719">
        <w:tc>
          <w:tcPr>
            <w:tcW w:w="1555" w:type="dxa"/>
            <w:vMerge w:val="restart"/>
          </w:tcPr>
          <w:p w14:paraId="7E7DBB21"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b/>
                <w:bCs/>
                <w:noProof/>
                <w:sz w:val="19"/>
                <w:szCs w:val="19"/>
              </w:rPr>
              <w:t xml:space="preserve">Component 2: </w:t>
            </w:r>
            <w:r w:rsidRPr="005516CD">
              <w:rPr>
                <w:rFonts w:asciiTheme="majorHAnsi" w:hAnsiTheme="majorHAnsi" w:cstheme="majorHAnsi"/>
                <w:bCs/>
                <w:noProof/>
                <w:sz w:val="19"/>
                <w:szCs w:val="19"/>
              </w:rPr>
              <w:t>Conservation compatible tree-based production systems as part of sustainable landscape mosaics</w:t>
            </w:r>
          </w:p>
        </w:tc>
        <w:tc>
          <w:tcPr>
            <w:tcW w:w="4110" w:type="dxa"/>
          </w:tcPr>
          <w:p w14:paraId="3880CEFC" w14:textId="77777777" w:rsidR="008849B9" w:rsidRPr="005516CD" w:rsidRDefault="008849B9" w:rsidP="00A8171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16"/>
              </w:tabs>
              <w:ind w:left="0"/>
              <w:rPr>
                <w:rFonts w:asciiTheme="majorHAnsi" w:hAnsiTheme="majorHAnsi" w:cstheme="majorHAnsi"/>
                <w:bCs/>
                <w:noProof/>
                <w:color w:val="auto"/>
                <w:sz w:val="19"/>
                <w:szCs w:val="19"/>
              </w:rPr>
            </w:pPr>
            <w:r w:rsidRPr="005516CD">
              <w:rPr>
                <w:rFonts w:asciiTheme="majorHAnsi" w:hAnsiTheme="majorHAnsi" w:cstheme="majorHAnsi"/>
                <w:b/>
                <w:bCs/>
                <w:noProof/>
                <w:sz w:val="19"/>
                <w:szCs w:val="19"/>
              </w:rPr>
              <w:t>2.1</w:t>
            </w:r>
            <w:r w:rsidRPr="005516CD">
              <w:rPr>
                <w:rFonts w:asciiTheme="majorHAnsi" w:hAnsiTheme="majorHAnsi" w:cstheme="majorHAnsi"/>
                <w:bCs/>
                <w:noProof/>
                <w:sz w:val="19"/>
                <w:szCs w:val="19"/>
              </w:rPr>
              <w:t xml:space="preserve"> Number of farming families with improved access to reliable sources of technical support for the application of sustainable production systems</w:t>
            </w:r>
          </w:p>
        </w:tc>
        <w:tc>
          <w:tcPr>
            <w:tcW w:w="1650" w:type="dxa"/>
          </w:tcPr>
          <w:p w14:paraId="409165E6"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bCs/>
                <w:noProof/>
                <w:sz w:val="19"/>
                <w:szCs w:val="19"/>
              </w:rPr>
            </w:pPr>
            <w:r w:rsidRPr="005516CD">
              <w:rPr>
                <w:rFonts w:asciiTheme="majorHAnsi" w:hAnsiTheme="majorHAnsi" w:cstheme="majorHAnsi"/>
                <w:bCs/>
                <w:noProof/>
                <w:sz w:val="19"/>
                <w:szCs w:val="19"/>
              </w:rPr>
              <w:t>Farmer interviews, reviews of extension systems</w:t>
            </w:r>
          </w:p>
        </w:tc>
        <w:tc>
          <w:tcPr>
            <w:tcW w:w="1044" w:type="dxa"/>
          </w:tcPr>
          <w:p w14:paraId="24FF05EB"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Every two years</w:t>
            </w:r>
          </w:p>
        </w:tc>
        <w:tc>
          <w:tcPr>
            <w:tcW w:w="1842" w:type="dxa"/>
          </w:tcPr>
          <w:p w14:paraId="6692C848" w14:textId="245FC62C"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Field technicians under guidance of FAO participation and gender specialist</w:t>
            </w:r>
          </w:p>
        </w:tc>
        <w:tc>
          <w:tcPr>
            <w:tcW w:w="1985" w:type="dxa"/>
          </w:tcPr>
          <w:p w14:paraId="281A700A"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Reports of technicians</w:t>
            </w:r>
          </w:p>
        </w:tc>
        <w:tc>
          <w:tcPr>
            <w:tcW w:w="1764" w:type="dxa"/>
          </w:tcPr>
          <w:p w14:paraId="1948E91B"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Willingness of farmers to participate and share information</w:t>
            </w:r>
          </w:p>
        </w:tc>
      </w:tr>
      <w:tr w:rsidR="008849B9" w:rsidRPr="005516CD" w14:paraId="5571BF61" w14:textId="77777777" w:rsidTr="00A81719">
        <w:tc>
          <w:tcPr>
            <w:tcW w:w="1555" w:type="dxa"/>
            <w:vMerge/>
          </w:tcPr>
          <w:p w14:paraId="739FA11C"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4DF49B5E" w14:textId="77777777" w:rsidR="008849B9" w:rsidRPr="005516CD" w:rsidRDefault="008849B9" w:rsidP="00A8171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16"/>
              </w:tabs>
              <w:ind w:left="0"/>
              <w:rPr>
                <w:rFonts w:asciiTheme="majorHAnsi" w:hAnsiTheme="majorHAnsi" w:cstheme="majorHAnsi"/>
                <w:bCs/>
                <w:noProof/>
                <w:color w:val="auto"/>
                <w:sz w:val="19"/>
                <w:szCs w:val="19"/>
              </w:rPr>
            </w:pPr>
            <w:r w:rsidRPr="005516CD">
              <w:rPr>
                <w:rFonts w:asciiTheme="majorHAnsi" w:hAnsiTheme="majorHAnsi" w:cstheme="majorHAnsi"/>
                <w:b/>
                <w:bCs/>
                <w:noProof/>
                <w:sz w:val="19"/>
                <w:szCs w:val="19"/>
              </w:rPr>
              <w:t>2.2</w:t>
            </w:r>
            <w:r w:rsidRPr="005516CD">
              <w:rPr>
                <w:rFonts w:asciiTheme="majorHAnsi" w:hAnsiTheme="majorHAnsi" w:cstheme="majorHAnsi"/>
                <w:bCs/>
                <w:noProof/>
                <w:sz w:val="19"/>
                <w:szCs w:val="19"/>
              </w:rPr>
              <w:t xml:space="preserve"> Number of farmers who have applied and maintained modifications to their farms as a result of knowledge gained through participation in Farmer Field Schools </w:t>
            </w:r>
          </w:p>
        </w:tc>
        <w:tc>
          <w:tcPr>
            <w:tcW w:w="1650" w:type="dxa"/>
          </w:tcPr>
          <w:p w14:paraId="3BF94A14"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bCs/>
                <w:noProof/>
                <w:sz w:val="19"/>
                <w:szCs w:val="19"/>
              </w:rPr>
            </w:pPr>
            <w:r w:rsidRPr="005516CD">
              <w:rPr>
                <w:rFonts w:asciiTheme="majorHAnsi" w:hAnsiTheme="majorHAnsi" w:cstheme="majorHAnsi"/>
                <w:bCs/>
                <w:noProof/>
                <w:sz w:val="19"/>
                <w:szCs w:val="19"/>
              </w:rPr>
              <w:t>Field visit, farmer interviews</w:t>
            </w:r>
          </w:p>
        </w:tc>
        <w:tc>
          <w:tcPr>
            <w:tcW w:w="1044" w:type="dxa"/>
          </w:tcPr>
          <w:p w14:paraId="659BAE71"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Annual</w:t>
            </w:r>
          </w:p>
        </w:tc>
        <w:tc>
          <w:tcPr>
            <w:tcW w:w="1842" w:type="dxa"/>
          </w:tcPr>
          <w:p w14:paraId="20800257" w14:textId="094255F0"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Field technicians </w:t>
            </w:r>
          </w:p>
        </w:tc>
        <w:tc>
          <w:tcPr>
            <w:tcW w:w="1985" w:type="dxa"/>
          </w:tcPr>
          <w:p w14:paraId="69E67C8C"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Reports of technicians</w:t>
            </w:r>
          </w:p>
        </w:tc>
        <w:tc>
          <w:tcPr>
            <w:tcW w:w="1764" w:type="dxa"/>
          </w:tcPr>
          <w:p w14:paraId="4A4508DC"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Willingness of farmers to participate and permit farm inspections</w:t>
            </w:r>
          </w:p>
        </w:tc>
      </w:tr>
      <w:tr w:rsidR="008849B9" w:rsidRPr="005516CD" w14:paraId="6298BCA8" w14:textId="77777777" w:rsidTr="00A81719">
        <w:tc>
          <w:tcPr>
            <w:tcW w:w="1555" w:type="dxa"/>
            <w:vMerge/>
          </w:tcPr>
          <w:p w14:paraId="07C7D5D1"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186263C8" w14:textId="77777777" w:rsidR="008849B9" w:rsidRPr="005516CD" w:rsidRDefault="008849B9" w:rsidP="00A8171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16"/>
              </w:tabs>
              <w:ind w:left="0"/>
              <w:rPr>
                <w:rFonts w:asciiTheme="majorHAnsi" w:hAnsiTheme="majorHAnsi" w:cstheme="majorHAnsi"/>
                <w:bCs/>
                <w:noProof/>
                <w:color w:val="auto"/>
                <w:sz w:val="19"/>
                <w:szCs w:val="19"/>
              </w:rPr>
            </w:pPr>
            <w:r w:rsidRPr="005516CD">
              <w:rPr>
                <w:rFonts w:asciiTheme="majorHAnsi" w:hAnsiTheme="majorHAnsi" w:cstheme="majorHAnsi"/>
                <w:b/>
                <w:bCs/>
                <w:noProof/>
                <w:sz w:val="19"/>
                <w:szCs w:val="19"/>
              </w:rPr>
              <w:t>2.3</w:t>
            </w:r>
            <w:r w:rsidRPr="005516CD">
              <w:rPr>
                <w:rFonts w:asciiTheme="majorHAnsi" w:hAnsiTheme="majorHAnsi" w:cstheme="majorHAnsi"/>
                <w:bCs/>
                <w:noProof/>
                <w:sz w:val="19"/>
                <w:szCs w:val="19"/>
              </w:rPr>
              <w:t xml:space="preserve"> Number of families with businesses based on sustainable production systems, with improved access to reliable sources of financial support</w:t>
            </w:r>
          </w:p>
        </w:tc>
        <w:tc>
          <w:tcPr>
            <w:tcW w:w="1650" w:type="dxa"/>
          </w:tcPr>
          <w:p w14:paraId="119AB39F"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bCs/>
                <w:noProof/>
                <w:sz w:val="19"/>
                <w:szCs w:val="19"/>
              </w:rPr>
            </w:pPr>
            <w:r w:rsidRPr="005516CD">
              <w:rPr>
                <w:rFonts w:asciiTheme="majorHAnsi" w:hAnsiTheme="majorHAnsi" w:cstheme="majorHAnsi"/>
                <w:bCs/>
                <w:noProof/>
                <w:sz w:val="19"/>
                <w:szCs w:val="19"/>
              </w:rPr>
              <w:t>Farmer interviews, review of financial institutions’ credit packages</w:t>
            </w:r>
          </w:p>
        </w:tc>
        <w:tc>
          <w:tcPr>
            <w:tcW w:w="1044" w:type="dxa"/>
          </w:tcPr>
          <w:p w14:paraId="76E98492"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Annual</w:t>
            </w:r>
          </w:p>
        </w:tc>
        <w:tc>
          <w:tcPr>
            <w:tcW w:w="1842" w:type="dxa"/>
          </w:tcPr>
          <w:p w14:paraId="778FBC83" w14:textId="50E78465"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Field technicians under guidance of FAO participation and gender specialist</w:t>
            </w:r>
          </w:p>
        </w:tc>
        <w:tc>
          <w:tcPr>
            <w:tcW w:w="1985" w:type="dxa"/>
          </w:tcPr>
          <w:p w14:paraId="603FE7F2"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Reports of technicians</w:t>
            </w:r>
          </w:p>
        </w:tc>
        <w:tc>
          <w:tcPr>
            <w:tcW w:w="1764" w:type="dxa"/>
          </w:tcPr>
          <w:p w14:paraId="0EB22095"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Willingness of farmers and credit institutions to share information</w:t>
            </w:r>
          </w:p>
        </w:tc>
      </w:tr>
      <w:tr w:rsidR="00B17F59" w:rsidRPr="005516CD" w14:paraId="0557F1D7" w14:textId="77777777" w:rsidTr="00FB5829">
        <w:trPr>
          <w:trHeight w:val="285"/>
        </w:trPr>
        <w:tc>
          <w:tcPr>
            <w:tcW w:w="1555" w:type="dxa"/>
            <w:vMerge w:val="restart"/>
          </w:tcPr>
          <w:p w14:paraId="188A72A5" w14:textId="77777777" w:rsidR="00B17F59" w:rsidRPr="005516CD" w:rsidRDefault="00B17F5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r w:rsidRPr="005516CD">
              <w:rPr>
                <w:rFonts w:asciiTheme="majorHAnsi" w:hAnsiTheme="majorHAnsi" w:cstheme="majorHAnsi"/>
                <w:b/>
                <w:bCs/>
                <w:noProof/>
                <w:sz w:val="19"/>
                <w:szCs w:val="19"/>
              </w:rPr>
              <w:t xml:space="preserve">Component 3: </w:t>
            </w:r>
            <w:r w:rsidRPr="005516CD">
              <w:rPr>
                <w:rFonts w:asciiTheme="majorHAnsi" w:hAnsiTheme="majorHAnsi" w:cstheme="majorHAnsi"/>
                <w:bCs/>
                <w:noProof/>
                <w:sz w:val="19"/>
                <w:szCs w:val="19"/>
              </w:rPr>
              <w:t>Knowledge management and learning</w:t>
            </w:r>
          </w:p>
        </w:tc>
        <w:tc>
          <w:tcPr>
            <w:tcW w:w="4110" w:type="dxa"/>
          </w:tcPr>
          <w:p w14:paraId="125CCFDA" w14:textId="77777777" w:rsidR="00B17F59" w:rsidRPr="005516CD" w:rsidRDefault="00B17F59" w:rsidP="00B17F5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16"/>
              </w:tabs>
              <w:ind w:left="0"/>
              <w:rPr>
                <w:rFonts w:asciiTheme="majorHAnsi" w:hAnsiTheme="majorHAnsi" w:cstheme="majorHAnsi"/>
                <w:b/>
                <w:bCs/>
                <w:strike/>
                <w:noProof/>
                <w:sz w:val="19"/>
                <w:szCs w:val="19"/>
              </w:rPr>
            </w:pPr>
            <w:r w:rsidRPr="005516CD">
              <w:rPr>
                <w:rFonts w:asciiTheme="majorHAnsi" w:hAnsiTheme="majorHAnsi" w:cstheme="majorHAnsi"/>
                <w:b/>
                <w:bCs/>
                <w:noProof/>
                <w:sz w:val="19"/>
                <w:szCs w:val="19"/>
              </w:rPr>
              <w:t>3.1</w:t>
            </w:r>
            <w:r w:rsidRPr="005516CD">
              <w:rPr>
                <w:rFonts w:asciiTheme="majorHAnsi" w:hAnsiTheme="majorHAnsi" w:cstheme="majorHAnsi"/>
                <w:bCs/>
                <w:noProof/>
                <w:sz w:val="19"/>
                <w:szCs w:val="19"/>
              </w:rPr>
              <w:t xml:space="preserve"> Number of other projects incorporating project approaches in their operations</w:t>
            </w:r>
          </w:p>
        </w:tc>
        <w:tc>
          <w:tcPr>
            <w:tcW w:w="1650" w:type="dxa"/>
          </w:tcPr>
          <w:p w14:paraId="0D9EA29C" w14:textId="77777777" w:rsidR="00B17F59" w:rsidRPr="005516CD" w:rsidRDefault="00B17F59" w:rsidP="00B17F5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bCs/>
                <w:strike/>
                <w:noProof/>
                <w:sz w:val="19"/>
                <w:szCs w:val="19"/>
              </w:rPr>
            </w:pPr>
            <w:r w:rsidRPr="005516CD">
              <w:rPr>
                <w:rFonts w:asciiTheme="majorHAnsi" w:hAnsiTheme="majorHAnsi" w:cstheme="majorHAnsi"/>
                <w:bCs/>
                <w:noProof/>
                <w:sz w:val="19"/>
                <w:szCs w:val="19"/>
              </w:rPr>
              <w:t>Interviews with staff of other projects</w:t>
            </w:r>
          </w:p>
        </w:tc>
        <w:tc>
          <w:tcPr>
            <w:tcW w:w="1044" w:type="dxa"/>
          </w:tcPr>
          <w:p w14:paraId="19D0E7EE" w14:textId="77777777" w:rsidR="00B17F59" w:rsidRPr="005516CD" w:rsidRDefault="00B17F59" w:rsidP="00B17F5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strike/>
                <w:color w:val="auto"/>
                <w:sz w:val="19"/>
                <w:szCs w:val="19"/>
              </w:rPr>
            </w:pPr>
            <w:r w:rsidRPr="005516CD">
              <w:rPr>
                <w:rFonts w:asciiTheme="majorHAnsi" w:hAnsiTheme="majorHAnsi" w:cstheme="majorHAnsi"/>
                <w:color w:val="auto"/>
                <w:sz w:val="19"/>
                <w:szCs w:val="19"/>
              </w:rPr>
              <w:t>Annual</w:t>
            </w:r>
          </w:p>
        </w:tc>
        <w:tc>
          <w:tcPr>
            <w:tcW w:w="1842" w:type="dxa"/>
          </w:tcPr>
          <w:p w14:paraId="7E5E6435" w14:textId="0AE597F6" w:rsidR="00B17F59" w:rsidRPr="005516CD" w:rsidRDefault="00B17F59" w:rsidP="00B17F5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strike/>
                <w:color w:val="auto"/>
                <w:sz w:val="19"/>
                <w:szCs w:val="19"/>
              </w:rPr>
            </w:pPr>
            <w:r w:rsidRPr="005516CD">
              <w:rPr>
                <w:rFonts w:asciiTheme="majorHAnsi" w:hAnsiTheme="majorHAnsi" w:cstheme="majorHAnsi"/>
                <w:color w:val="auto"/>
                <w:sz w:val="19"/>
                <w:szCs w:val="19"/>
              </w:rPr>
              <w:t xml:space="preserve">Project </w:t>
            </w:r>
            <w:r w:rsidR="00800518">
              <w:rPr>
                <w:rFonts w:asciiTheme="majorHAnsi" w:hAnsiTheme="majorHAnsi" w:cstheme="majorHAnsi"/>
                <w:color w:val="auto"/>
                <w:sz w:val="19"/>
                <w:szCs w:val="19"/>
              </w:rPr>
              <w:t>Officer</w:t>
            </w:r>
            <w:r w:rsidR="00800518" w:rsidRPr="005516CD">
              <w:rPr>
                <w:rFonts w:asciiTheme="majorHAnsi" w:hAnsiTheme="majorHAnsi" w:cstheme="majorHAnsi"/>
                <w:color w:val="auto"/>
                <w:sz w:val="19"/>
                <w:szCs w:val="19"/>
              </w:rPr>
              <w:t xml:space="preserve"> </w:t>
            </w:r>
            <w:r w:rsidRPr="005516CD">
              <w:rPr>
                <w:rFonts w:asciiTheme="majorHAnsi" w:hAnsiTheme="majorHAnsi" w:cstheme="majorHAnsi"/>
                <w:color w:val="auto"/>
                <w:sz w:val="19"/>
                <w:szCs w:val="19"/>
              </w:rPr>
              <w:t>(UNDP)</w:t>
            </w:r>
            <w:r w:rsidR="00800518">
              <w:rPr>
                <w:rFonts w:asciiTheme="majorHAnsi" w:hAnsiTheme="majorHAnsi" w:cstheme="majorHAnsi"/>
                <w:color w:val="auto"/>
                <w:sz w:val="19"/>
                <w:szCs w:val="19"/>
              </w:rPr>
              <w:t xml:space="preserve"> based on data from NGO/CSO</w:t>
            </w:r>
          </w:p>
        </w:tc>
        <w:tc>
          <w:tcPr>
            <w:tcW w:w="1985" w:type="dxa"/>
          </w:tcPr>
          <w:p w14:paraId="063741CA" w14:textId="0DDD1FB3" w:rsidR="00B17F59" w:rsidRPr="005516CD" w:rsidRDefault="00B17F59" w:rsidP="00B17F5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strike/>
                <w:color w:val="auto"/>
                <w:sz w:val="19"/>
                <w:szCs w:val="19"/>
              </w:rPr>
            </w:pPr>
            <w:r w:rsidRPr="005516CD">
              <w:rPr>
                <w:rFonts w:asciiTheme="majorHAnsi" w:hAnsiTheme="majorHAnsi" w:cstheme="majorHAnsi"/>
                <w:color w:val="auto"/>
                <w:sz w:val="19"/>
                <w:szCs w:val="19"/>
              </w:rPr>
              <w:t xml:space="preserve">Report of project </w:t>
            </w:r>
            <w:r w:rsidR="00800518">
              <w:rPr>
                <w:rFonts w:asciiTheme="majorHAnsi" w:hAnsiTheme="majorHAnsi" w:cstheme="majorHAnsi"/>
                <w:color w:val="auto"/>
                <w:sz w:val="19"/>
                <w:szCs w:val="19"/>
              </w:rPr>
              <w:t>Officer</w:t>
            </w:r>
          </w:p>
        </w:tc>
        <w:tc>
          <w:tcPr>
            <w:tcW w:w="1764" w:type="dxa"/>
          </w:tcPr>
          <w:p w14:paraId="10E391AA" w14:textId="77777777" w:rsidR="00B17F59" w:rsidRPr="005516CD" w:rsidRDefault="00B17F5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strike/>
                <w:color w:val="auto"/>
                <w:sz w:val="19"/>
                <w:szCs w:val="19"/>
              </w:rPr>
            </w:pPr>
            <w:r w:rsidRPr="005516CD">
              <w:rPr>
                <w:rFonts w:asciiTheme="majorHAnsi" w:hAnsiTheme="majorHAnsi" w:cstheme="majorHAnsi"/>
                <w:iCs/>
                <w:color w:val="auto"/>
                <w:sz w:val="19"/>
                <w:szCs w:val="19"/>
                <w:lang w:val="en-US"/>
              </w:rPr>
              <w:t>Willingness of project representatives to share information</w:t>
            </w:r>
          </w:p>
        </w:tc>
      </w:tr>
      <w:tr w:rsidR="008849B9" w:rsidRPr="005516CD" w14:paraId="0B0DBEA5" w14:textId="77777777" w:rsidTr="00A81719">
        <w:tc>
          <w:tcPr>
            <w:tcW w:w="1555" w:type="dxa"/>
            <w:vMerge/>
          </w:tcPr>
          <w:p w14:paraId="19E578BC"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pPr>
          </w:p>
        </w:tc>
        <w:tc>
          <w:tcPr>
            <w:tcW w:w="4110" w:type="dxa"/>
          </w:tcPr>
          <w:p w14:paraId="13557D8C" w14:textId="77777777" w:rsidR="008849B9" w:rsidRPr="005516CD" w:rsidRDefault="008849B9" w:rsidP="00A8171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16"/>
              </w:tabs>
              <w:ind w:left="0"/>
              <w:rPr>
                <w:rFonts w:asciiTheme="majorHAnsi" w:hAnsiTheme="majorHAnsi" w:cstheme="majorHAnsi"/>
                <w:b/>
                <w:bCs/>
                <w:noProof/>
                <w:sz w:val="19"/>
                <w:szCs w:val="19"/>
              </w:rPr>
            </w:pPr>
            <w:r w:rsidRPr="005516CD">
              <w:rPr>
                <w:rFonts w:asciiTheme="majorHAnsi" w:hAnsiTheme="majorHAnsi" w:cstheme="majorHAnsi"/>
                <w:b/>
                <w:bCs/>
                <w:noProof/>
                <w:sz w:val="19"/>
                <w:szCs w:val="19"/>
              </w:rPr>
              <w:t>3.</w:t>
            </w:r>
            <w:r w:rsidR="00B17F59" w:rsidRPr="005516CD">
              <w:rPr>
                <w:rFonts w:asciiTheme="majorHAnsi" w:hAnsiTheme="majorHAnsi" w:cstheme="majorHAnsi"/>
                <w:b/>
                <w:bCs/>
                <w:noProof/>
                <w:sz w:val="19"/>
                <w:szCs w:val="19"/>
              </w:rPr>
              <w:t>2</w:t>
            </w:r>
            <w:r w:rsidRPr="005516CD">
              <w:rPr>
                <w:rFonts w:asciiTheme="majorHAnsi" w:hAnsiTheme="majorHAnsi" w:cstheme="majorHAnsi"/>
                <w:bCs/>
                <w:noProof/>
                <w:sz w:val="19"/>
                <w:szCs w:val="19"/>
              </w:rPr>
              <w:t xml:space="preserve"> Proportion of members in key stakeholder categories with adequate knowledge and understanding of project objectives, concepts, principles and progress</w:t>
            </w:r>
          </w:p>
        </w:tc>
        <w:tc>
          <w:tcPr>
            <w:tcW w:w="1650" w:type="dxa"/>
          </w:tcPr>
          <w:p w14:paraId="51BE0EA5"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bCs/>
                <w:noProof/>
                <w:sz w:val="19"/>
                <w:szCs w:val="19"/>
              </w:rPr>
            </w:pPr>
            <w:r w:rsidRPr="005516CD">
              <w:rPr>
                <w:rFonts w:asciiTheme="majorHAnsi" w:hAnsiTheme="majorHAnsi" w:cstheme="majorHAnsi"/>
                <w:bCs/>
                <w:noProof/>
                <w:sz w:val="19"/>
                <w:szCs w:val="19"/>
              </w:rPr>
              <w:t>Interviews and questionnaires</w:t>
            </w:r>
          </w:p>
        </w:tc>
        <w:tc>
          <w:tcPr>
            <w:tcW w:w="1044" w:type="dxa"/>
          </w:tcPr>
          <w:p w14:paraId="03449EEB"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Annual</w:t>
            </w:r>
          </w:p>
        </w:tc>
        <w:tc>
          <w:tcPr>
            <w:tcW w:w="1842" w:type="dxa"/>
          </w:tcPr>
          <w:p w14:paraId="7A916214" w14:textId="185EFCDE"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Project </w:t>
            </w:r>
            <w:r w:rsidR="00800518">
              <w:rPr>
                <w:rFonts w:asciiTheme="majorHAnsi" w:hAnsiTheme="majorHAnsi" w:cstheme="majorHAnsi"/>
                <w:color w:val="auto"/>
                <w:sz w:val="19"/>
                <w:szCs w:val="19"/>
              </w:rPr>
              <w:t>Officer</w:t>
            </w:r>
            <w:r w:rsidR="00800518" w:rsidRPr="005516CD">
              <w:rPr>
                <w:rFonts w:asciiTheme="majorHAnsi" w:hAnsiTheme="majorHAnsi" w:cstheme="majorHAnsi"/>
                <w:color w:val="auto"/>
                <w:sz w:val="19"/>
                <w:szCs w:val="19"/>
              </w:rPr>
              <w:t xml:space="preserve"> </w:t>
            </w:r>
            <w:r w:rsidRPr="005516CD">
              <w:rPr>
                <w:rFonts w:asciiTheme="majorHAnsi" w:hAnsiTheme="majorHAnsi" w:cstheme="majorHAnsi"/>
                <w:color w:val="auto"/>
                <w:sz w:val="19"/>
                <w:szCs w:val="19"/>
              </w:rPr>
              <w:t>(UNDP)</w:t>
            </w:r>
          </w:p>
        </w:tc>
        <w:tc>
          <w:tcPr>
            <w:tcW w:w="1985" w:type="dxa"/>
          </w:tcPr>
          <w:p w14:paraId="366C88C3" w14:textId="1667F7F4"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color w:val="auto"/>
                <w:sz w:val="19"/>
                <w:szCs w:val="19"/>
              </w:rPr>
            </w:pPr>
            <w:r w:rsidRPr="005516CD">
              <w:rPr>
                <w:rFonts w:asciiTheme="majorHAnsi" w:hAnsiTheme="majorHAnsi" w:cstheme="majorHAnsi"/>
                <w:color w:val="auto"/>
                <w:sz w:val="19"/>
                <w:szCs w:val="19"/>
              </w:rPr>
              <w:t xml:space="preserve">Report of project </w:t>
            </w:r>
            <w:r w:rsidR="00800518">
              <w:rPr>
                <w:rFonts w:asciiTheme="majorHAnsi" w:hAnsiTheme="majorHAnsi" w:cstheme="majorHAnsi"/>
                <w:color w:val="auto"/>
                <w:sz w:val="19"/>
                <w:szCs w:val="19"/>
              </w:rPr>
              <w:t>Officer</w:t>
            </w:r>
          </w:p>
        </w:tc>
        <w:tc>
          <w:tcPr>
            <w:tcW w:w="1764" w:type="dxa"/>
          </w:tcPr>
          <w:p w14:paraId="7CC7762E" w14:textId="77777777" w:rsidR="008849B9" w:rsidRPr="005516CD" w:rsidRDefault="008849B9" w:rsidP="00A81719">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left"/>
              <w:rPr>
                <w:rFonts w:asciiTheme="majorHAnsi" w:hAnsiTheme="majorHAnsi" w:cstheme="majorHAnsi"/>
                <w:iCs/>
                <w:color w:val="auto"/>
                <w:sz w:val="19"/>
                <w:szCs w:val="19"/>
                <w:lang w:val="en-US"/>
              </w:rPr>
            </w:pPr>
            <w:r w:rsidRPr="005516CD">
              <w:rPr>
                <w:rFonts w:asciiTheme="majorHAnsi" w:hAnsiTheme="majorHAnsi" w:cstheme="majorHAnsi"/>
                <w:iCs/>
                <w:color w:val="auto"/>
                <w:sz w:val="19"/>
                <w:szCs w:val="19"/>
                <w:lang w:val="en-US"/>
              </w:rPr>
              <w:t>Willingness of stakeholders to participate in evaluations</w:t>
            </w:r>
          </w:p>
        </w:tc>
      </w:tr>
    </w:tbl>
    <w:p w14:paraId="29578434" w14:textId="77777777" w:rsidR="001771FE" w:rsidRPr="005516CD" w:rsidRDefault="001771FE" w:rsidP="007B146B">
      <w:pPr>
        <w:pStyle w:val="Body"/>
        <w:ind w:left="66"/>
        <w:sectPr w:rsidR="001771FE" w:rsidRPr="005516CD" w:rsidSect="00D46957">
          <w:pgSz w:w="16840" w:h="11900" w:orient="landscape"/>
          <w:pgMar w:top="1440" w:right="1440" w:bottom="1440" w:left="1440" w:header="708" w:footer="432" w:gutter="0"/>
          <w:cols w:space="720"/>
          <w:docGrid w:linePitch="326"/>
        </w:sectPr>
      </w:pPr>
    </w:p>
    <w:p w14:paraId="1D778494" w14:textId="77777777" w:rsidR="001771FE" w:rsidRPr="005516CD" w:rsidRDefault="00045B04" w:rsidP="00D66519">
      <w:pPr>
        <w:pStyle w:val="Heading2"/>
        <w:numPr>
          <w:ilvl w:val="0"/>
          <w:numId w:val="30"/>
        </w:numPr>
        <w:spacing w:after="0"/>
        <w:ind w:left="0" w:firstLine="0"/>
        <w:rPr>
          <w:rStyle w:val="None"/>
          <w:rFonts w:ascii="Calibri" w:eastAsia="Calibri" w:hAnsi="Calibri" w:cs="Calibri"/>
        </w:rPr>
      </w:pPr>
      <w:bookmarkStart w:id="100" w:name="_Toc8933108"/>
      <w:bookmarkStart w:id="101" w:name="_Hlk20046163"/>
      <w:r w:rsidRPr="005516CD">
        <w:rPr>
          <w:rStyle w:val="None"/>
          <w:rFonts w:ascii="Calibri" w:eastAsia="Calibri" w:hAnsi="Calibri" w:cs="Calibri"/>
          <w:lang w:val="en-US"/>
        </w:rPr>
        <w:t>Evaluation Plan</w:t>
      </w:r>
      <w:bookmarkEnd w:id="100"/>
    </w:p>
    <w:p w14:paraId="0D25D266" w14:textId="77777777" w:rsidR="001771FE" w:rsidRPr="005516CD" w:rsidRDefault="001771FE" w:rsidP="007B146B">
      <w:pPr>
        <w:pStyle w:val="Body"/>
      </w:pPr>
    </w:p>
    <w:tbl>
      <w:tblPr>
        <w:tblStyle w:val="TableGrid"/>
        <w:tblW w:w="0" w:type="auto"/>
        <w:tblLook w:val="04A0" w:firstRow="1" w:lastRow="0" w:firstColumn="1" w:lastColumn="0" w:noHBand="0" w:noVBand="1"/>
      </w:tblPr>
      <w:tblGrid>
        <w:gridCol w:w="1770"/>
        <w:gridCol w:w="1771"/>
        <w:gridCol w:w="1771"/>
        <w:gridCol w:w="1771"/>
        <w:gridCol w:w="1927"/>
      </w:tblGrid>
      <w:tr w:rsidR="009C2185" w:rsidRPr="005516CD" w14:paraId="6DEC5701" w14:textId="77777777" w:rsidTr="009C2185">
        <w:trPr>
          <w:trHeight w:val="721"/>
        </w:trPr>
        <w:tc>
          <w:tcPr>
            <w:tcW w:w="1770" w:type="dxa"/>
            <w:shd w:val="clear" w:color="auto" w:fill="D9D9D9" w:themeFill="background1" w:themeFillShade="D9"/>
          </w:tcPr>
          <w:p w14:paraId="7F05421B"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pPr>
            <w:r w:rsidRPr="005516CD">
              <w:rPr>
                <w:rStyle w:val="Hyperlink60"/>
                <w:b/>
                <w:bCs/>
              </w:rPr>
              <w:t>Evaluation Title</w:t>
            </w:r>
          </w:p>
        </w:tc>
        <w:tc>
          <w:tcPr>
            <w:tcW w:w="1771" w:type="dxa"/>
            <w:shd w:val="clear" w:color="auto" w:fill="D9D9D9" w:themeFill="background1" w:themeFillShade="D9"/>
          </w:tcPr>
          <w:p w14:paraId="07C608B6" w14:textId="77777777" w:rsidR="009C2185" w:rsidRPr="005516CD" w:rsidRDefault="009C2185" w:rsidP="007B146B">
            <w:pPr>
              <w:pStyle w:val="Body"/>
              <w:spacing w:after="0"/>
              <w:jc w:val="center"/>
              <w:rPr>
                <w:rStyle w:val="Hyperlink60"/>
              </w:rPr>
            </w:pPr>
            <w:r w:rsidRPr="005516CD">
              <w:rPr>
                <w:rStyle w:val="Hyperlink60"/>
                <w:b/>
                <w:bCs/>
              </w:rPr>
              <w:t>Planned start date</w:t>
            </w:r>
          </w:p>
          <w:p w14:paraId="5348EE2E"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Style w:val="Hyperlink60"/>
                <w:b/>
                <w:bCs/>
              </w:rPr>
            </w:pPr>
            <w:r w:rsidRPr="005516CD">
              <w:rPr>
                <w:rStyle w:val="Hyperlink60"/>
                <w:b/>
                <w:bCs/>
              </w:rPr>
              <w:t>Month/year</w:t>
            </w:r>
          </w:p>
        </w:tc>
        <w:tc>
          <w:tcPr>
            <w:tcW w:w="1771" w:type="dxa"/>
            <w:shd w:val="clear" w:color="auto" w:fill="D9D9D9" w:themeFill="background1" w:themeFillShade="D9"/>
          </w:tcPr>
          <w:p w14:paraId="2FE6402A" w14:textId="77777777" w:rsidR="009C2185" w:rsidRPr="005516CD" w:rsidRDefault="009C2185" w:rsidP="007B146B">
            <w:pPr>
              <w:pStyle w:val="Body"/>
              <w:spacing w:after="0"/>
              <w:jc w:val="center"/>
              <w:rPr>
                <w:rStyle w:val="Hyperlink60"/>
              </w:rPr>
            </w:pPr>
            <w:r w:rsidRPr="005516CD">
              <w:rPr>
                <w:rStyle w:val="Hyperlink60"/>
                <w:b/>
                <w:bCs/>
              </w:rPr>
              <w:t>Planned end date</w:t>
            </w:r>
          </w:p>
          <w:p w14:paraId="2F3862DA"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Style w:val="Hyperlink60"/>
                <w:b/>
                <w:bCs/>
              </w:rPr>
            </w:pPr>
            <w:r w:rsidRPr="005516CD">
              <w:rPr>
                <w:rStyle w:val="Hyperlink60"/>
                <w:b/>
                <w:bCs/>
              </w:rPr>
              <w:t>Month/year</w:t>
            </w:r>
          </w:p>
        </w:tc>
        <w:tc>
          <w:tcPr>
            <w:tcW w:w="1771" w:type="dxa"/>
            <w:shd w:val="clear" w:color="auto" w:fill="D9D9D9" w:themeFill="background1" w:themeFillShade="D9"/>
          </w:tcPr>
          <w:p w14:paraId="213505A3"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Style w:val="Hyperlink60"/>
                <w:b/>
                <w:bCs/>
              </w:rPr>
            </w:pPr>
            <w:r w:rsidRPr="005516CD">
              <w:rPr>
                <w:rStyle w:val="Hyperlink60"/>
                <w:b/>
                <w:bCs/>
              </w:rPr>
              <w:t>Included in the Country Office Evaluation Plan</w:t>
            </w:r>
          </w:p>
        </w:tc>
        <w:tc>
          <w:tcPr>
            <w:tcW w:w="1927" w:type="dxa"/>
            <w:shd w:val="clear" w:color="auto" w:fill="D9D9D9" w:themeFill="background1" w:themeFillShade="D9"/>
          </w:tcPr>
          <w:p w14:paraId="0A25F9C9"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rPr>
                <w:rStyle w:val="Hyperlink60"/>
                <w:b/>
                <w:bCs/>
              </w:rPr>
            </w:pPr>
            <w:r w:rsidRPr="005516CD">
              <w:rPr>
                <w:rStyle w:val="Hyperlink60"/>
                <w:b/>
                <w:bCs/>
              </w:rPr>
              <w:t>Budget for consultants, travel and translation</w:t>
            </w:r>
          </w:p>
        </w:tc>
      </w:tr>
      <w:tr w:rsidR="009C2185" w:rsidRPr="005516CD" w14:paraId="47606AFD" w14:textId="77777777" w:rsidTr="009C2185">
        <w:tc>
          <w:tcPr>
            <w:tcW w:w="1770" w:type="dxa"/>
          </w:tcPr>
          <w:p w14:paraId="1ED2AA0A"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pPr>
            <w:r w:rsidRPr="005516CD">
              <w:rPr>
                <w:rStyle w:val="Hyperlink60"/>
                <w:b/>
                <w:bCs/>
              </w:rPr>
              <w:t>Mid Term Evaluation</w:t>
            </w:r>
          </w:p>
        </w:tc>
        <w:tc>
          <w:tcPr>
            <w:tcW w:w="1771" w:type="dxa"/>
          </w:tcPr>
          <w:p w14:paraId="12D21209"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pPr>
            <w:r w:rsidRPr="005516CD">
              <w:t>Month 30/60</w:t>
            </w:r>
          </w:p>
        </w:tc>
        <w:tc>
          <w:tcPr>
            <w:tcW w:w="1771" w:type="dxa"/>
          </w:tcPr>
          <w:p w14:paraId="200A92ED"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pPr>
            <w:r w:rsidRPr="005516CD">
              <w:t>Month 33/60</w:t>
            </w:r>
          </w:p>
        </w:tc>
        <w:tc>
          <w:tcPr>
            <w:tcW w:w="1771" w:type="dxa"/>
          </w:tcPr>
          <w:p w14:paraId="50B355A7" w14:textId="77777777" w:rsidR="009C2185" w:rsidRPr="005516CD" w:rsidRDefault="00805434" w:rsidP="00805434">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center"/>
            </w:pPr>
            <w:r w:rsidRPr="005516CD">
              <w:t>Yes</w:t>
            </w:r>
          </w:p>
        </w:tc>
        <w:tc>
          <w:tcPr>
            <w:tcW w:w="1927" w:type="dxa"/>
          </w:tcPr>
          <w:p w14:paraId="0AE9D36B" w14:textId="6DA937F7" w:rsidR="009C2185" w:rsidRPr="00373B08"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rPr>
                <w:highlight w:val="yellow"/>
              </w:rPr>
            </w:pPr>
            <w:r w:rsidRPr="00373B08">
              <w:rPr>
                <w:highlight w:val="yellow"/>
              </w:rPr>
              <w:t>USD</w:t>
            </w:r>
            <w:r w:rsidR="001B53F4" w:rsidRPr="00373B08">
              <w:rPr>
                <w:highlight w:val="yellow"/>
              </w:rPr>
              <w:t xml:space="preserve"> </w:t>
            </w:r>
            <w:r w:rsidR="00800518">
              <w:rPr>
                <w:highlight w:val="yellow"/>
              </w:rPr>
              <w:t>48</w:t>
            </w:r>
            <w:r w:rsidRPr="00373B08">
              <w:rPr>
                <w:highlight w:val="yellow"/>
              </w:rPr>
              <w:t>,000</w:t>
            </w:r>
            <w:r w:rsidR="007A40D4" w:rsidRPr="00373B08">
              <w:rPr>
                <w:rStyle w:val="FootnoteReference"/>
                <w:highlight w:val="yellow"/>
              </w:rPr>
              <w:footnoteReference w:id="83"/>
            </w:r>
          </w:p>
        </w:tc>
      </w:tr>
      <w:tr w:rsidR="009C2185" w:rsidRPr="005516CD" w14:paraId="255227A0" w14:textId="77777777" w:rsidTr="009C2185">
        <w:tc>
          <w:tcPr>
            <w:tcW w:w="1770" w:type="dxa"/>
          </w:tcPr>
          <w:p w14:paraId="58F551D0"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pPr>
            <w:r w:rsidRPr="005516CD">
              <w:rPr>
                <w:rStyle w:val="Hyperlink60"/>
                <w:b/>
                <w:bCs/>
              </w:rPr>
              <w:t>Terminal Evaluation</w:t>
            </w:r>
          </w:p>
        </w:tc>
        <w:tc>
          <w:tcPr>
            <w:tcW w:w="1771" w:type="dxa"/>
          </w:tcPr>
          <w:p w14:paraId="56507399" w14:textId="77777777" w:rsidR="009C2185" w:rsidRPr="005516CD" w:rsidRDefault="009C2185" w:rsidP="009C2185">
            <w:pPr>
              <w:pStyle w:val="Body"/>
              <w:spacing w:after="0"/>
            </w:pPr>
            <w:r w:rsidRPr="005516CD">
              <w:t>Month 57/60</w:t>
            </w:r>
          </w:p>
          <w:p w14:paraId="676FA905" w14:textId="77777777" w:rsidR="009C2185" w:rsidRPr="005516CD" w:rsidRDefault="009C2185" w:rsidP="009C2185">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pPr>
          </w:p>
        </w:tc>
        <w:tc>
          <w:tcPr>
            <w:tcW w:w="1771" w:type="dxa"/>
          </w:tcPr>
          <w:p w14:paraId="41B408FF" w14:textId="77777777" w:rsidR="009C2185" w:rsidRPr="005516CD" w:rsidRDefault="009C2185" w:rsidP="009C2185">
            <w:pPr>
              <w:pStyle w:val="Body"/>
              <w:spacing w:after="0"/>
              <w:jc w:val="left"/>
            </w:pPr>
            <w:r w:rsidRPr="005516CD">
              <w:rPr>
                <w:rStyle w:val="Hyperlink60"/>
                <w:iCs/>
              </w:rPr>
              <w:t>Month 60/60</w:t>
            </w:r>
          </w:p>
          <w:p w14:paraId="32C9F2DB"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pPr>
          </w:p>
        </w:tc>
        <w:tc>
          <w:tcPr>
            <w:tcW w:w="1771" w:type="dxa"/>
          </w:tcPr>
          <w:p w14:paraId="08769BB2" w14:textId="77777777" w:rsidR="009C2185" w:rsidRPr="005516CD" w:rsidRDefault="00805434" w:rsidP="007B146B">
            <w:pPr>
              <w:pStyle w:val="Body"/>
              <w:spacing w:after="0"/>
              <w:jc w:val="center"/>
              <w:rPr>
                <w:rStyle w:val="None"/>
              </w:rPr>
            </w:pPr>
            <w:r w:rsidRPr="005516CD">
              <w:rPr>
                <w:rStyle w:val="Hyperlink60"/>
              </w:rPr>
              <w:t>Yes</w:t>
            </w:r>
          </w:p>
          <w:p w14:paraId="493FB0DD" w14:textId="77777777" w:rsidR="009C2185" w:rsidRPr="005516CD"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pPr>
            <w:r w:rsidRPr="005516CD">
              <w:rPr>
                <w:rStyle w:val="Hyperlink60"/>
                <w:i/>
                <w:iCs/>
              </w:rPr>
              <w:t>Mandatory</w:t>
            </w:r>
          </w:p>
        </w:tc>
        <w:tc>
          <w:tcPr>
            <w:tcW w:w="1927" w:type="dxa"/>
          </w:tcPr>
          <w:p w14:paraId="2B70E6C7" w14:textId="6EEAB2FF" w:rsidR="009C2185" w:rsidRPr="00373B08" w:rsidRDefault="009C2185"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rPr>
                <w:highlight w:val="yellow"/>
              </w:rPr>
            </w:pPr>
            <w:r w:rsidRPr="00373B08">
              <w:rPr>
                <w:highlight w:val="yellow"/>
              </w:rPr>
              <w:t>USD</w:t>
            </w:r>
            <w:r w:rsidR="001B53F4" w:rsidRPr="00373B08">
              <w:rPr>
                <w:highlight w:val="yellow"/>
              </w:rPr>
              <w:t xml:space="preserve"> </w:t>
            </w:r>
            <w:r w:rsidR="00800518">
              <w:rPr>
                <w:highlight w:val="yellow"/>
              </w:rPr>
              <w:t>48,000</w:t>
            </w:r>
            <w:r w:rsidR="007A40D4" w:rsidRPr="00373B08">
              <w:rPr>
                <w:rStyle w:val="FootnoteReference"/>
                <w:highlight w:val="yellow"/>
              </w:rPr>
              <w:footnoteReference w:id="84"/>
            </w:r>
          </w:p>
        </w:tc>
      </w:tr>
      <w:tr w:rsidR="00E04B8B" w:rsidRPr="005516CD" w14:paraId="21978C2F" w14:textId="77777777" w:rsidTr="009C2185">
        <w:tc>
          <w:tcPr>
            <w:tcW w:w="7083" w:type="dxa"/>
            <w:gridSpan w:val="4"/>
          </w:tcPr>
          <w:p w14:paraId="5BC6FBF7" w14:textId="77777777" w:rsidR="00E04B8B" w:rsidRPr="005516CD" w:rsidRDefault="00E04B8B"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jc w:val="right"/>
            </w:pPr>
            <w:r w:rsidRPr="005516CD">
              <w:rPr>
                <w:rStyle w:val="Hyperlink60"/>
                <w:b/>
                <w:bCs/>
              </w:rPr>
              <w:t>Total evaluation budget</w:t>
            </w:r>
          </w:p>
        </w:tc>
        <w:tc>
          <w:tcPr>
            <w:tcW w:w="1927" w:type="dxa"/>
          </w:tcPr>
          <w:p w14:paraId="7BBD2092" w14:textId="1133D0D6" w:rsidR="00E04B8B" w:rsidRPr="005516CD" w:rsidRDefault="00F91241" w:rsidP="007B146B">
            <w:pPr>
              <w:pStyle w:val="Body"/>
              <w:pBdr>
                <w:top w:val="none" w:sz="0" w:space="0" w:color="auto"/>
                <w:left w:val="none" w:sz="0" w:space="0" w:color="auto"/>
                <w:bottom w:val="none" w:sz="0" w:space="0" w:color="auto"/>
                <w:right w:val="none" w:sz="0" w:space="0" w:color="auto"/>
                <w:between w:val="none" w:sz="0" w:space="0" w:color="auto"/>
                <w:bar w:val="none" w:sz="0" w:color="auto"/>
              </w:pBdr>
              <w:spacing w:after="0"/>
            </w:pPr>
            <w:r w:rsidRPr="00800518">
              <w:rPr>
                <w:highlight w:val="yellow"/>
              </w:rPr>
              <w:t>USD</w:t>
            </w:r>
            <w:r w:rsidR="001B53F4" w:rsidRPr="00800518">
              <w:rPr>
                <w:highlight w:val="yellow"/>
              </w:rPr>
              <w:t xml:space="preserve"> </w:t>
            </w:r>
            <w:r w:rsidR="00800518" w:rsidRPr="008244FA">
              <w:rPr>
                <w:highlight w:val="yellow"/>
              </w:rPr>
              <w:t>96,000</w:t>
            </w:r>
          </w:p>
        </w:tc>
      </w:tr>
    </w:tbl>
    <w:p w14:paraId="4DE9A663" w14:textId="77777777" w:rsidR="004D7781" w:rsidRPr="005516CD" w:rsidRDefault="004D7781" w:rsidP="007B146B">
      <w:pPr>
        <w:pStyle w:val="Body"/>
      </w:pPr>
    </w:p>
    <w:p w14:paraId="17A11077" w14:textId="77777777" w:rsidR="004D7781" w:rsidRPr="005516CD" w:rsidRDefault="004D7781">
      <w:pPr>
        <w:pBdr>
          <w:top w:val="nil"/>
          <w:left w:val="nil"/>
          <w:bottom w:val="nil"/>
          <w:right w:val="nil"/>
          <w:between w:val="nil"/>
          <w:bar w:val="nil"/>
        </w:pBdr>
        <w:rPr>
          <w:rFonts w:ascii="Calibri" w:eastAsia="Calibri" w:hAnsi="Calibri" w:cs="Calibri"/>
          <w:color w:val="000000"/>
          <w:sz w:val="20"/>
          <w:szCs w:val="20"/>
          <w:u w:color="000000"/>
          <w:bdr w:val="nil"/>
        </w:rPr>
      </w:pPr>
      <w:r w:rsidRPr="005516CD">
        <w:br w:type="page"/>
      </w:r>
    </w:p>
    <w:bookmarkEnd w:id="101"/>
    <w:p w14:paraId="1901594F" w14:textId="77777777" w:rsidR="004D7781" w:rsidRPr="005516CD" w:rsidRDefault="004D7781" w:rsidP="007B146B">
      <w:pPr>
        <w:pStyle w:val="Body"/>
        <w:sectPr w:rsidR="004D7781" w:rsidRPr="005516CD">
          <w:pgSz w:w="11900" w:h="16840"/>
          <w:pgMar w:top="1440" w:right="1440" w:bottom="1440" w:left="1440" w:header="708" w:footer="432" w:gutter="0"/>
          <w:cols w:space="720"/>
        </w:sectPr>
      </w:pPr>
    </w:p>
    <w:p w14:paraId="63CBE864" w14:textId="77777777" w:rsidR="004D7781" w:rsidRPr="003B2210" w:rsidRDefault="004D7781" w:rsidP="00FB5829">
      <w:pPr>
        <w:pStyle w:val="Heading2"/>
        <w:numPr>
          <w:ilvl w:val="0"/>
          <w:numId w:val="30"/>
        </w:numPr>
        <w:spacing w:after="0"/>
        <w:ind w:left="0" w:firstLine="0"/>
        <w:rPr>
          <w:rFonts w:asciiTheme="majorHAnsi" w:eastAsia="SimSun" w:hAnsiTheme="majorHAnsi"/>
          <w:szCs w:val="22"/>
        </w:rPr>
      </w:pPr>
      <w:bookmarkStart w:id="102" w:name="_Toc487556790"/>
      <w:bookmarkStart w:id="103" w:name="_Toc8933109"/>
      <w:bookmarkStart w:id="104" w:name="_Hlk20280698"/>
      <w:r w:rsidRPr="003B2210">
        <w:rPr>
          <w:rStyle w:val="None"/>
          <w:rFonts w:asciiTheme="majorHAnsi" w:eastAsia="Calibri" w:hAnsiTheme="majorHAnsi" w:cs="Calibri"/>
          <w:lang w:val="en-US"/>
        </w:rPr>
        <w:t>Overview</w:t>
      </w:r>
      <w:r w:rsidRPr="003B2210">
        <w:rPr>
          <w:rFonts w:asciiTheme="majorHAnsi" w:eastAsia="SimSun" w:hAnsiTheme="majorHAnsi"/>
          <w:szCs w:val="22"/>
        </w:rPr>
        <w:t xml:space="preserve"> of Technical Consultancies</w:t>
      </w:r>
      <w:bookmarkEnd w:id="102"/>
      <w:bookmarkEnd w:id="103"/>
    </w:p>
    <w:bookmarkEnd w:id="104"/>
    <w:p w14:paraId="209F231D" w14:textId="77777777" w:rsidR="004D7781" w:rsidRPr="005516CD" w:rsidRDefault="004D7781"/>
    <w:tbl>
      <w:tblPr>
        <w:tblW w:w="9288"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42"/>
        <w:gridCol w:w="1276"/>
        <w:gridCol w:w="5670"/>
      </w:tblGrid>
      <w:tr w:rsidR="004D7781" w:rsidRPr="005516CD" w14:paraId="5FB6C328" w14:textId="77777777" w:rsidTr="00FB5829">
        <w:trPr>
          <w:tblHeader/>
        </w:trPr>
        <w:tc>
          <w:tcPr>
            <w:tcW w:w="2342" w:type="dxa"/>
            <w:tcBorders>
              <w:top w:val="single" w:sz="4" w:space="0" w:color="auto"/>
              <w:left w:val="single" w:sz="4" w:space="0" w:color="auto"/>
              <w:bottom w:val="single" w:sz="4" w:space="0" w:color="auto"/>
              <w:right w:val="single" w:sz="4" w:space="0" w:color="auto"/>
            </w:tcBorders>
            <w:shd w:val="clear" w:color="auto" w:fill="FDE9D9"/>
            <w:hideMark/>
          </w:tcPr>
          <w:p w14:paraId="1412E0C3" w14:textId="77777777" w:rsidR="004D7781" w:rsidRPr="005516CD" w:rsidRDefault="004D7781">
            <w:pPr>
              <w:rPr>
                <w:rFonts w:asciiTheme="majorHAnsi" w:eastAsia="SimSun" w:hAnsiTheme="majorHAnsi" w:cstheme="majorHAnsi"/>
                <w:b/>
                <w:sz w:val="22"/>
                <w:szCs w:val="22"/>
                <w:lang w:eastAsia="ja-JP"/>
              </w:rPr>
            </w:pPr>
            <w:bookmarkStart w:id="105" w:name="_Hlk8021735"/>
            <w:r w:rsidRPr="005516CD">
              <w:rPr>
                <w:rFonts w:asciiTheme="majorHAnsi" w:hAnsiTheme="majorHAnsi" w:cstheme="majorHAnsi"/>
                <w:b/>
                <w:sz w:val="22"/>
                <w:szCs w:val="22"/>
                <w:lang w:eastAsia="ja-JP"/>
              </w:rPr>
              <w:t>Consultant</w:t>
            </w:r>
          </w:p>
        </w:tc>
        <w:tc>
          <w:tcPr>
            <w:tcW w:w="1276" w:type="dxa"/>
            <w:tcBorders>
              <w:top w:val="single" w:sz="4" w:space="0" w:color="auto"/>
              <w:left w:val="single" w:sz="4" w:space="0" w:color="auto"/>
              <w:bottom w:val="single" w:sz="4" w:space="0" w:color="auto"/>
              <w:right w:val="single" w:sz="4" w:space="0" w:color="auto"/>
            </w:tcBorders>
            <w:shd w:val="clear" w:color="auto" w:fill="FDE9D9"/>
            <w:hideMark/>
          </w:tcPr>
          <w:p w14:paraId="3345486C" w14:textId="77777777" w:rsidR="004D7781" w:rsidRPr="005516CD" w:rsidRDefault="004D7781">
            <w:pPr>
              <w:rPr>
                <w:rFonts w:asciiTheme="majorHAnsi" w:hAnsiTheme="majorHAnsi" w:cstheme="majorHAnsi"/>
                <w:b/>
                <w:sz w:val="22"/>
                <w:szCs w:val="22"/>
                <w:lang w:eastAsia="ja-JP"/>
              </w:rPr>
            </w:pPr>
            <w:r w:rsidRPr="005516CD">
              <w:rPr>
                <w:rFonts w:asciiTheme="majorHAnsi" w:hAnsiTheme="majorHAnsi" w:cstheme="majorHAnsi"/>
                <w:b/>
                <w:sz w:val="22"/>
                <w:szCs w:val="22"/>
                <w:lang w:eastAsia="ja-JP"/>
              </w:rPr>
              <w:t>Time Input</w:t>
            </w:r>
          </w:p>
        </w:tc>
        <w:tc>
          <w:tcPr>
            <w:tcW w:w="5670" w:type="dxa"/>
            <w:tcBorders>
              <w:top w:val="single" w:sz="4" w:space="0" w:color="auto"/>
              <w:left w:val="single" w:sz="4" w:space="0" w:color="auto"/>
              <w:bottom w:val="single" w:sz="4" w:space="0" w:color="auto"/>
              <w:right w:val="single" w:sz="4" w:space="0" w:color="auto"/>
            </w:tcBorders>
            <w:shd w:val="clear" w:color="auto" w:fill="FDE9D9"/>
            <w:hideMark/>
          </w:tcPr>
          <w:p w14:paraId="03F817D4" w14:textId="77777777" w:rsidR="004D7781" w:rsidRPr="005516CD" w:rsidRDefault="004D7781">
            <w:pPr>
              <w:rPr>
                <w:rFonts w:asciiTheme="majorHAnsi" w:hAnsiTheme="majorHAnsi" w:cstheme="majorHAnsi"/>
                <w:b/>
                <w:sz w:val="22"/>
                <w:szCs w:val="22"/>
                <w:lang w:eastAsia="ja-JP"/>
              </w:rPr>
            </w:pPr>
            <w:r w:rsidRPr="005516CD">
              <w:rPr>
                <w:rFonts w:asciiTheme="majorHAnsi" w:hAnsiTheme="majorHAnsi" w:cstheme="majorHAnsi"/>
                <w:b/>
                <w:sz w:val="22"/>
                <w:szCs w:val="22"/>
                <w:lang w:eastAsia="ja-JP"/>
              </w:rPr>
              <w:t>Tasks, Inputs and Outputs</w:t>
            </w:r>
          </w:p>
        </w:tc>
      </w:tr>
      <w:tr w:rsidR="004D7781" w:rsidRPr="005516CD" w14:paraId="4F9074A3" w14:textId="77777777" w:rsidTr="00FB5829">
        <w:tc>
          <w:tcPr>
            <w:tcW w:w="928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169B6A4" w14:textId="77777777" w:rsidR="004D7781" w:rsidRPr="005516CD" w:rsidRDefault="004D7781">
            <w:pPr>
              <w:jc w:val="center"/>
              <w:rPr>
                <w:rFonts w:asciiTheme="majorHAnsi" w:hAnsiTheme="majorHAnsi" w:cstheme="majorHAnsi"/>
                <w:b/>
                <w:sz w:val="22"/>
                <w:szCs w:val="22"/>
                <w:lang w:val="en-US" w:eastAsia="ja-JP"/>
              </w:rPr>
            </w:pPr>
            <w:r w:rsidRPr="005516CD">
              <w:rPr>
                <w:rFonts w:asciiTheme="majorHAnsi" w:hAnsiTheme="majorHAnsi" w:cstheme="majorHAnsi"/>
                <w:b/>
                <w:sz w:val="22"/>
                <w:szCs w:val="22"/>
                <w:lang w:eastAsia="ja-JP"/>
              </w:rPr>
              <w:t>Outcome 1</w:t>
            </w:r>
          </w:p>
        </w:tc>
      </w:tr>
      <w:tr w:rsidR="00B04187" w:rsidRPr="005516CD" w14:paraId="2D774F97" w14:textId="77777777" w:rsidTr="00FB5829">
        <w:tc>
          <w:tcPr>
            <w:tcW w:w="928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3D780DB" w14:textId="77777777" w:rsidR="00B04187" w:rsidRPr="005516CD" w:rsidRDefault="00B04187" w:rsidP="00387B00">
            <w:pPr>
              <w:rPr>
                <w:rFonts w:asciiTheme="majorHAnsi" w:hAnsiTheme="majorHAnsi" w:cstheme="majorHAnsi"/>
                <w:b/>
                <w:sz w:val="22"/>
                <w:szCs w:val="22"/>
                <w:lang w:eastAsia="ja-JP"/>
              </w:rPr>
            </w:pPr>
            <w:r w:rsidRPr="005516CD">
              <w:rPr>
                <w:rFonts w:asciiTheme="majorHAnsi" w:hAnsiTheme="majorHAnsi" w:cstheme="majorHAnsi"/>
                <w:b/>
                <w:sz w:val="22"/>
                <w:szCs w:val="22"/>
                <w:lang w:eastAsia="ja-JP"/>
              </w:rPr>
              <w:t>Local/national contracting</w:t>
            </w:r>
          </w:p>
        </w:tc>
      </w:tr>
      <w:tr w:rsidR="00B04187" w:rsidRPr="005516CD" w14:paraId="68E3BEAD" w14:textId="77777777" w:rsidTr="00FB5829">
        <w:tc>
          <w:tcPr>
            <w:tcW w:w="2342" w:type="dxa"/>
            <w:tcBorders>
              <w:top w:val="single" w:sz="4" w:space="0" w:color="auto"/>
              <w:left w:val="single" w:sz="4" w:space="0" w:color="auto"/>
              <w:bottom w:val="single" w:sz="4" w:space="0" w:color="auto"/>
              <w:right w:val="single" w:sz="4" w:space="0" w:color="auto"/>
            </w:tcBorders>
          </w:tcPr>
          <w:p w14:paraId="55351B69" w14:textId="77777777" w:rsidR="00B04187" w:rsidRPr="005516CD" w:rsidRDefault="00B04187" w:rsidP="00FB5829">
            <w:pPr>
              <w:ind w:left="-40" w:right="-108"/>
              <w:rPr>
                <w:rFonts w:asciiTheme="majorHAnsi" w:hAnsiTheme="majorHAnsi" w:cstheme="majorHAnsi"/>
                <w:sz w:val="20"/>
              </w:rPr>
            </w:pPr>
            <w:r w:rsidRPr="005516CD">
              <w:rPr>
                <w:rFonts w:asciiTheme="majorHAnsi" w:hAnsiTheme="majorHAnsi" w:cstheme="majorHAnsi"/>
                <w:sz w:val="20"/>
              </w:rPr>
              <w:t>Regional government capacity assessment consultant</w:t>
            </w:r>
          </w:p>
        </w:tc>
        <w:tc>
          <w:tcPr>
            <w:tcW w:w="1276" w:type="dxa"/>
            <w:tcBorders>
              <w:top w:val="single" w:sz="4" w:space="0" w:color="auto"/>
              <w:left w:val="single" w:sz="4" w:space="0" w:color="auto"/>
              <w:bottom w:val="single" w:sz="4" w:space="0" w:color="auto"/>
              <w:right w:val="single" w:sz="4" w:space="0" w:color="auto"/>
            </w:tcBorders>
          </w:tcPr>
          <w:p w14:paraId="716976E4" w14:textId="77777777" w:rsidR="00B04187" w:rsidRPr="005516CD" w:rsidRDefault="00B04187" w:rsidP="00FB5829">
            <w:pPr>
              <w:ind w:left="-40" w:right="-108"/>
              <w:rPr>
                <w:i/>
                <w:szCs w:val="20"/>
                <w:lang w:eastAsia="ja-JP"/>
              </w:rPr>
            </w:pPr>
            <w:r w:rsidRPr="005516CD">
              <w:rPr>
                <w:rFonts w:asciiTheme="majorHAnsi" w:hAnsiTheme="majorHAnsi" w:cstheme="majorHAnsi"/>
                <w:sz w:val="20"/>
              </w:rPr>
              <w:t>2</w:t>
            </w:r>
            <w:r w:rsidR="006F5E44" w:rsidRPr="005516CD">
              <w:rPr>
                <w:rFonts w:asciiTheme="majorHAnsi" w:hAnsiTheme="majorHAnsi" w:cstheme="majorHAnsi"/>
                <w:sz w:val="20"/>
              </w:rPr>
              <w:t>4</w:t>
            </w:r>
            <w:r w:rsidRPr="005516CD">
              <w:rPr>
                <w:rFonts w:asciiTheme="majorHAnsi" w:hAnsiTheme="majorHAnsi" w:cstheme="majorHAnsi"/>
                <w:sz w:val="20"/>
              </w:rPr>
              <w:t xml:space="preserve"> days</w:t>
            </w:r>
            <w:r w:rsidR="00BB7526" w:rsidRPr="005516CD">
              <w:rPr>
                <w:rFonts w:asciiTheme="majorHAnsi" w:hAnsiTheme="majorHAnsi" w:cstheme="majorHAnsi"/>
                <w:sz w:val="20"/>
              </w:rPr>
              <w:t xml:space="preserve"> </w:t>
            </w:r>
            <w:r w:rsidRPr="005516CD">
              <w:rPr>
                <w:rFonts w:asciiTheme="majorHAnsi" w:hAnsiTheme="majorHAnsi" w:cstheme="majorHAnsi"/>
                <w:sz w:val="20"/>
              </w:rPr>
              <w:t>@ USD600</w:t>
            </w:r>
          </w:p>
        </w:tc>
        <w:tc>
          <w:tcPr>
            <w:tcW w:w="5670" w:type="dxa"/>
            <w:tcBorders>
              <w:top w:val="single" w:sz="4" w:space="0" w:color="auto"/>
              <w:left w:val="single" w:sz="4" w:space="0" w:color="auto"/>
              <w:bottom w:val="single" w:sz="4" w:space="0" w:color="auto"/>
              <w:right w:val="single" w:sz="4" w:space="0" w:color="auto"/>
            </w:tcBorders>
          </w:tcPr>
          <w:p w14:paraId="7602EA4F" w14:textId="77777777" w:rsidR="00B04187" w:rsidRPr="005516CD" w:rsidRDefault="00B04187" w:rsidP="00FB5829">
            <w:pPr>
              <w:ind w:left="-40" w:right="-108"/>
              <w:rPr>
                <w:rFonts w:asciiTheme="majorHAnsi" w:hAnsiTheme="majorHAnsi" w:cstheme="majorHAnsi"/>
                <w:sz w:val="20"/>
              </w:rPr>
            </w:pPr>
            <w:r w:rsidRPr="005516CD">
              <w:rPr>
                <w:rFonts w:asciiTheme="majorHAnsi" w:hAnsiTheme="majorHAnsi" w:cstheme="majorHAnsi"/>
                <w:sz w:val="20"/>
              </w:rPr>
              <w:t xml:space="preserve">Analysis of capacities in Departmental Governments and territorial </w:t>
            </w:r>
            <w:proofErr w:type="spellStart"/>
            <w:r w:rsidRPr="005516CD">
              <w:rPr>
                <w:rFonts w:asciiTheme="majorHAnsi" w:hAnsiTheme="majorHAnsi" w:cstheme="majorHAnsi"/>
                <w:sz w:val="20"/>
              </w:rPr>
              <w:t>collectivities</w:t>
            </w:r>
            <w:proofErr w:type="spellEnd"/>
            <w:r w:rsidRPr="005516CD">
              <w:rPr>
                <w:rFonts w:asciiTheme="majorHAnsi" w:hAnsiTheme="majorHAnsi" w:cstheme="majorHAnsi"/>
                <w:sz w:val="20"/>
              </w:rPr>
              <w:t xml:space="preserve">, and the formulation of a strategy and plan for capacity development </w:t>
            </w:r>
          </w:p>
        </w:tc>
      </w:tr>
      <w:tr w:rsidR="00B04187" w:rsidRPr="005516CD" w14:paraId="1A63316B" w14:textId="77777777" w:rsidTr="00FB5829">
        <w:tc>
          <w:tcPr>
            <w:tcW w:w="2342" w:type="dxa"/>
            <w:tcBorders>
              <w:top w:val="single" w:sz="4" w:space="0" w:color="auto"/>
              <w:left w:val="single" w:sz="4" w:space="0" w:color="auto"/>
              <w:bottom w:val="single" w:sz="4" w:space="0" w:color="auto"/>
              <w:right w:val="single" w:sz="4" w:space="0" w:color="auto"/>
            </w:tcBorders>
          </w:tcPr>
          <w:p w14:paraId="0416D4EF" w14:textId="77777777" w:rsidR="00B04187" w:rsidRPr="005516CD" w:rsidRDefault="00B04187" w:rsidP="00FB5829">
            <w:pPr>
              <w:ind w:left="-40" w:right="-108"/>
              <w:rPr>
                <w:rFonts w:asciiTheme="majorHAnsi" w:hAnsiTheme="majorHAnsi" w:cstheme="majorHAnsi"/>
                <w:sz w:val="20"/>
              </w:rPr>
            </w:pPr>
            <w:r w:rsidRPr="005516CD">
              <w:rPr>
                <w:rFonts w:asciiTheme="majorHAnsi" w:hAnsiTheme="majorHAnsi" w:cstheme="majorHAnsi"/>
                <w:sz w:val="20"/>
              </w:rPr>
              <w:t>Cooperative capacity assessment consultant</w:t>
            </w:r>
          </w:p>
        </w:tc>
        <w:tc>
          <w:tcPr>
            <w:tcW w:w="1276" w:type="dxa"/>
            <w:tcBorders>
              <w:top w:val="single" w:sz="4" w:space="0" w:color="auto"/>
              <w:left w:val="single" w:sz="4" w:space="0" w:color="auto"/>
              <w:bottom w:val="single" w:sz="4" w:space="0" w:color="auto"/>
              <w:right w:val="single" w:sz="4" w:space="0" w:color="auto"/>
            </w:tcBorders>
          </w:tcPr>
          <w:p w14:paraId="7AF37F61" w14:textId="77777777" w:rsidR="00B04187" w:rsidRPr="005516CD" w:rsidRDefault="00B04187" w:rsidP="00FB5829">
            <w:pPr>
              <w:ind w:left="-40" w:right="-108"/>
              <w:rPr>
                <w:i/>
                <w:szCs w:val="20"/>
                <w:lang w:eastAsia="ja-JP"/>
              </w:rPr>
            </w:pPr>
            <w:r w:rsidRPr="005516CD">
              <w:rPr>
                <w:rFonts w:asciiTheme="majorHAnsi" w:hAnsiTheme="majorHAnsi" w:cstheme="majorHAnsi"/>
                <w:sz w:val="20"/>
              </w:rPr>
              <w:t>2</w:t>
            </w:r>
            <w:r w:rsidR="006F5E44" w:rsidRPr="005516CD">
              <w:rPr>
                <w:rFonts w:asciiTheme="majorHAnsi" w:hAnsiTheme="majorHAnsi" w:cstheme="majorHAnsi"/>
                <w:sz w:val="20"/>
              </w:rPr>
              <w:t>4</w:t>
            </w:r>
            <w:r w:rsidRPr="005516CD">
              <w:rPr>
                <w:rFonts w:asciiTheme="majorHAnsi" w:hAnsiTheme="majorHAnsi" w:cstheme="majorHAnsi"/>
                <w:sz w:val="20"/>
              </w:rPr>
              <w:t xml:space="preserve"> days</w:t>
            </w:r>
            <w:r w:rsidR="00BB7526" w:rsidRPr="005516CD">
              <w:rPr>
                <w:rFonts w:asciiTheme="majorHAnsi" w:hAnsiTheme="majorHAnsi" w:cstheme="majorHAnsi"/>
                <w:sz w:val="20"/>
              </w:rPr>
              <w:t xml:space="preserve"> </w:t>
            </w:r>
            <w:r w:rsidRPr="005516CD">
              <w:rPr>
                <w:rFonts w:asciiTheme="majorHAnsi" w:hAnsiTheme="majorHAnsi" w:cstheme="majorHAnsi"/>
                <w:sz w:val="20"/>
              </w:rPr>
              <w:t>@ USD600</w:t>
            </w:r>
          </w:p>
        </w:tc>
        <w:tc>
          <w:tcPr>
            <w:tcW w:w="5670" w:type="dxa"/>
            <w:tcBorders>
              <w:top w:val="single" w:sz="4" w:space="0" w:color="auto"/>
              <w:left w:val="single" w:sz="4" w:space="0" w:color="auto"/>
              <w:bottom w:val="single" w:sz="4" w:space="0" w:color="auto"/>
              <w:right w:val="single" w:sz="4" w:space="0" w:color="auto"/>
            </w:tcBorders>
          </w:tcPr>
          <w:p w14:paraId="6A6AB308" w14:textId="77777777" w:rsidR="00B04187" w:rsidRPr="005516CD" w:rsidRDefault="00BB7526" w:rsidP="00FB5829">
            <w:pPr>
              <w:ind w:left="-40" w:right="-108"/>
              <w:rPr>
                <w:rFonts w:asciiTheme="majorHAnsi" w:hAnsiTheme="majorHAnsi" w:cstheme="majorHAnsi"/>
                <w:sz w:val="20"/>
              </w:rPr>
            </w:pPr>
            <w:r w:rsidRPr="005516CD">
              <w:rPr>
                <w:rFonts w:asciiTheme="majorHAnsi" w:hAnsiTheme="majorHAnsi" w:cstheme="majorHAnsi"/>
                <w:sz w:val="20"/>
              </w:rPr>
              <w:t>A</w:t>
            </w:r>
            <w:r w:rsidR="00B04187" w:rsidRPr="005516CD">
              <w:rPr>
                <w:rFonts w:asciiTheme="majorHAnsi" w:hAnsiTheme="majorHAnsi" w:cstheme="majorHAnsi"/>
                <w:sz w:val="20"/>
              </w:rPr>
              <w:t>nalyse the capacities of cooperatives for monitoring and traceability (in support of Output 1.1: Decision making tools to optimize the configuration of landscape elements).</w:t>
            </w:r>
          </w:p>
        </w:tc>
      </w:tr>
      <w:tr w:rsidR="00B04187" w:rsidRPr="005516CD" w14:paraId="08566CC2" w14:textId="77777777" w:rsidTr="00FB5829">
        <w:tc>
          <w:tcPr>
            <w:tcW w:w="2342" w:type="dxa"/>
            <w:tcBorders>
              <w:top w:val="single" w:sz="4" w:space="0" w:color="auto"/>
              <w:left w:val="single" w:sz="4" w:space="0" w:color="auto"/>
              <w:bottom w:val="single" w:sz="4" w:space="0" w:color="auto"/>
              <w:right w:val="single" w:sz="4" w:space="0" w:color="auto"/>
            </w:tcBorders>
          </w:tcPr>
          <w:p w14:paraId="6A6BA4D8" w14:textId="77777777" w:rsidR="00B04187" w:rsidRPr="005516CD" w:rsidRDefault="00B04187" w:rsidP="00FB5829">
            <w:pPr>
              <w:ind w:left="-40" w:right="-108"/>
              <w:rPr>
                <w:rFonts w:asciiTheme="majorHAnsi" w:hAnsiTheme="majorHAnsi" w:cstheme="majorHAnsi"/>
                <w:sz w:val="20"/>
              </w:rPr>
            </w:pPr>
            <w:r w:rsidRPr="005516CD">
              <w:rPr>
                <w:rFonts w:asciiTheme="majorHAnsi" w:hAnsiTheme="majorHAnsi" w:cstheme="majorHAnsi"/>
                <w:sz w:val="20"/>
              </w:rPr>
              <w:t>Sustainable production policy consultant</w:t>
            </w:r>
          </w:p>
        </w:tc>
        <w:tc>
          <w:tcPr>
            <w:tcW w:w="1276" w:type="dxa"/>
            <w:tcBorders>
              <w:top w:val="single" w:sz="4" w:space="0" w:color="auto"/>
              <w:left w:val="single" w:sz="4" w:space="0" w:color="auto"/>
              <w:bottom w:val="single" w:sz="4" w:space="0" w:color="auto"/>
              <w:right w:val="single" w:sz="4" w:space="0" w:color="auto"/>
            </w:tcBorders>
          </w:tcPr>
          <w:p w14:paraId="3E9FDD8B" w14:textId="77777777" w:rsidR="00B04187" w:rsidRPr="005516CD" w:rsidRDefault="00B04187" w:rsidP="00FB5829">
            <w:pPr>
              <w:ind w:left="-40" w:right="-108"/>
              <w:rPr>
                <w:i/>
                <w:szCs w:val="20"/>
                <w:lang w:eastAsia="ja-JP"/>
              </w:rPr>
            </w:pPr>
            <w:r w:rsidRPr="005516CD">
              <w:rPr>
                <w:rFonts w:asciiTheme="majorHAnsi" w:hAnsiTheme="majorHAnsi" w:cstheme="majorHAnsi"/>
                <w:sz w:val="20"/>
              </w:rPr>
              <w:t>2</w:t>
            </w:r>
            <w:r w:rsidR="006F5E44" w:rsidRPr="005516CD">
              <w:rPr>
                <w:rFonts w:asciiTheme="majorHAnsi" w:hAnsiTheme="majorHAnsi" w:cstheme="majorHAnsi"/>
                <w:sz w:val="20"/>
              </w:rPr>
              <w:t>4</w:t>
            </w:r>
            <w:r w:rsidRPr="005516CD">
              <w:rPr>
                <w:rFonts w:asciiTheme="majorHAnsi" w:hAnsiTheme="majorHAnsi" w:cstheme="majorHAnsi"/>
                <w:sz w:val="20"/>
              </w:rPr>
              <w:t xml:space="preserve"> days @ USD600</w:t>
            </w:r>
          </w:p>
        </w:tc>
        <w:tc>
          <w:tcPr>
            <w:tcW w:w="5670" w:type="dxa"/>
            <w:tcBorders>
              <w:top w:val="single" w:sz="4" w:space="0" w:color="auto"/>
              <w:left w:val="single" w:sz="4" w:space="0" w:color="auto"/>
              <w:bottom w:val="single" w:sz="4" w:space="0" w:color="auto"/>
              <w:right w:val="single" w:sz="4" w:space="0" w:color="auto"/>
            </w:tcBorders>
          </w:tcPr>
          <w:p w14:paraId="1602E6A1" w14:textId="77777777" w:rsidR="00B04187" w:rsidRPr="005516CD" w:rsidRDefault="00B04187" w:rsidP="00FB5829">
            <w:pPr>
              <w:ind w:left="-40" w:right="-108"/>
              <w:rPr>
                <w:rFonts w:asciiTheme="majorHAnsi" w:hAnsiTheme="majorHAnsi" w:cstheme="majorHAnsi"/>
                <w:sz w:val="20"/>
              </w:rPr>
            </w:pPr>
            <w:r w:rsidRPr="005516CD">
              <w:rPr>
                <w:rFonts w:asciiTheme="majorHAnsi" w:hAnsiTheme="majorHAnsi" w:cstheme="majorHAnsi"/>
                <w:sz w:val="20"/>
              </w:rPr>
              <w:t>updated review of Government provisions for supporting sustainable production (in support of Output 1.3: Market-based instruments for safeguarding biodiversity)</w:t>
            </w:r>
          </w:p>
        </w:tc>
      </w:tr>
      <w:tr w:rsidR="00B04187" w:rsidRPr="005516CD" w14:paraId="4D20AF5B" w14:textId="77777777" w:rsidTr="00FB5829">
        <w:tc>
          <w:tcPr>
            <w:tcW w:w="2342" w:type="dxa"/>
            <w:tcBorders>
              <w:top w:val="single" w:sz="4" w:space="0" w:color="auto"/>
              <w:left w:val="single" w:sz="4" w:space="0" w:color="auto"/>
              <w:bottom w:val="single" w:sz="4" w:space="0" w:color="auto"/>
              <w:right w:val="single" w:sz="4" w:space="0" w:color="auto"/>
            </w:tcBorders>
          </w:tcPr>
          <w:p w14:paraId="7696FFC7" w14:textId="77777777" w:rsidR="00B04187" w:rsidRPr="005516CD" w:rsidRDefault="00B04187" w:rsidP="00FB5829">
            <w:pPr>
              <w:ind w:left="-40" w:right="-108"/>
              <w:rPr>
                <w:rFonts w:asciiTheme="majorHAnsi" w:hAnsiTheme="majorHAnsi" w:cstheme="majorHAnsi"/>
                <w:sz w:val="20"/>
              </w:rPr>
            </w:pPr>
            <w:r w:rsidRPr="005516CD">
              <w:rPr>
                <w:rFonts w:asciiTheme="majorHAnsi" w:hAnsiTheme="majorHAnsi" w:cstheme="majorHAnsi"/>
                <w:sz w:val="20"/>
              </w:rPr>
              <w:t>Market policy consultant</w:t>
            </w:r>
          </w:p>
        </w:tc>
        <w:tc>
          <w:tcPr>
            <w:tcW w:w="1276" w:type="dxa"/>
            <w:tcBorders>
              <w:top w:val="single" w:sz="4" w:space="0" w:color="auto"/>
              <w:left w:val="single" w:sz="4" w:space="0" w:color="auto"/>
              <w:bottom w:val="single" w:sz="4" w:space="0" w:color="auto"/>
              <w:right w:val="single" w:sz="4" w:space="0" w:color="auto"/>
            </w:tcBorders>
          </w:tcPr>
          <w:p w14:paraId="19DF6311" w14:textId="77777777" w:rsidR="00B04187" w:rsidRPr="005516CD" w:rsidRDefault="00B04187" w:rsidP="00FB5829">
            <w:pPr>
              <w:ind w:left="-40" w:right="-108"/>
              <w:rPr>
                <w:i/>
                <w:szCs w:val="20"/>
                <w:lang w:eastAsia="ja-JP"/>
              </w:rPr>
            </w:pPr>
            <w:r w:rsidRPr="005516CD">
              <w:rPr>
                <w:rFonts w:asciiTheme="majorHAnsi" w:hAnsiTheme="majorHAnsi" w:cstheme="majorHAnsi"/>
                <w:sz w:val="20"/>
              </w:rPr>
              <w:t>20 days @ USD600</w:t>
            </w:r>
          </w:p>
        </w:tc>
        <w:tc>
          <w:tcPr>
            <w:tcW w:w="5670" w:type="dxa"/>
            <w:tcBorders>
              <w:top w:val="single" w:sz="4" w:space="0" w:color="auto"/>
              <w:left w:val="single" w:sz="4" w:space="0" w:color="auto"/>
              <w:bottom w:val="single" w:sz="4" w:space="0" w:color="auto"/>
              <w:right w:val="single" w:sz="4" w:space="0" w:color="auto"/>
            </w:tcBorders>
          </w:tcPr>
          <w:p w14:paraId="29E83AB3" w14:textId="77777777" w:rsidR="00B04187" w:rsidRPr="005516CD" w:rsidRDefault="00B04187" w:rsidP="00FB5829">
            <w:pPr>
              <w:ind w:left="-40" w:right="-108"/>
              <w:rPr>
                <w:rFonts w:asciiTheme="majorHAnsi" w:hAnsiTheme="majorHAnsi" w:cstheme="majorHAnsi"/>
                <w:sz w:val="20"/>
              </w:rPr>
            </w:pPr>
            <w:r w:rsidRPr="005516CD">
              <w:rPr>
                <w:rFonts w:asciiTheme="majorHAnsi" w:hAnsiTheme="majorHAnsi" w:cstheme="majorHAnsi"/>
                <w:sz w:val="20"/>
              </w:rPr>
              <w:t>Formulation of policy documents (in support of Output 1.3: Market-based instruments for safeguarding biodiversity)</w:t>
            </w:r>
          </w:p>
        </w:tc>
      </w:tr>
      <w:tr w:rsidR="004D7781" w:rsidRPr="005516CD" w14:paraId="2426AFD0" w14:textId="77777777" w:rsidTr="00FB5829">
        <w:tc>
          <w:tcPr>
            <w:tcW w:w="928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9F41716" w14:textId="77777777" w:rsidR="004D7781" w:rsidRPr="005516CD" w:rsidRDefault="00B04187">
            <w:pPr>
              <w:rPr>
                <w:rFonts w:asciiTheme="majorHAnsi" w:hAnsiTheme="majorHAnsi" w:cstheme="majorHAnsi"/>
                <w:b/>
                <w:sz w:val="22"/>
                <w:szCs w:val="22"/>
                <w:lang w:eastAsia="ja-JP"/>
              </w:rPr>
            </w:pPr>
            <w:r w:rsidRPr="005516CD">
              <w:rPr>
                <w:rFonts w:asciiTheme="majorHAnsi" w:hAnsiTheme="majorHAnsi" w:cstheme="majorHAnsi"/>
                <w:b/>
                <w:sz w:val="22"/>
                <w:szCs w:val="22"/>
                <w:lang w:eastAsia="ja-JP"/>
              </w:rPr>
              <w:t>International contracting</w:t>
            </w:r>
          </w:p>
        </w:tc>
      </w:tr>
      <w:tr w:rsidR="00B04187" w:rsidRPr="005516CD" w14:paraId="61470C19" w14:textId="77777777" w:rsidTr="00FB5829">
        <w:tc>
          <w:tcPr>
            <w:tcW w:w="2342" w:type="dxa"/>
            <w:tcBorders>
              <w:top w:val="single" w:sz="4" w:space="0" w:color="auto"/>
              <w:left w:val="single" w:sz="4" w:space="0" w:color="auto"/>
              <w:bottom w:val="single" w:sz="4" w:space="0" w:color="auto"/>
              <w:right w:val="single" w:sz="4" w:space="0" w:color="auto"/>
            </w:tcBorders>
          </w:tcPr>
          <w:p w14:paraId="7B338C1C" w14:textId="77777777" w:rsidR="00B04187" w:rsidRPr="005516CD" w:rsidRDefault="00B04187" w:rsidP="00FB5829">
            <w:pPr>
              <w:ind w:left="-40" w:right="-108"/>
              <w:rPr>
                <w:rFonts w:asciiTheme="majorHAnsi" w:hAnsiTheme="majorHAnsi" w:cstheme="majorHAnsi"/>
                <w:sz w:val="20"/>
              </w:rPr>
            </w:pPr>
            <w:r w:rsidRPr="005516CD">
              <w:rPr>
                <w:rFonts w:asciiTheme="majorHAnsi" w:hAnsiTheme="majorHAnsi" w:cstheme="majorHAnsi"/>
                <w:sz w:val="20"/>
              </w:rPr>
              <w:t>Conservation specialist</w:t>
            </w:r>
          </w:p>
        </w:tc>
        <w:tc>
          <w:tcPr>
            <w:tcW w:w="1276" w:type="dxa"/>
            <w:tcBorders>
              <w:top w:val="single" w:sz="4" w:space="0" w:color="auto"/>
              <w:left w:val="single" w:sz="4" w:space="0" w:color="auto"/>
              <w:bottom w:val="single" w:sz="4" w:space="0" w:color="auto"/>
              <w:right w:val="single" w:sz="4" w:space="0" w:color="auto"/>
            </w:tcBorders>
          </w:tcPr>
          <w:p w14:paraId="03930E4E" w14:textId="77777777" w:rsidR="00B04187" w:rsidRPr="005516CD" w:rsidRDefault="00B04187">
            <w:pPr>
              <w:rPr>
                <w:rFonts w:asciiTheme="majorHAnsi" w:hAnsiTheme="majorHAnsi" w:cstheme="majorHAnsi"/>
                <w:sz w:val="20"/>
              </w:rPr>
            </w:pPr>
            <w:r w:rsidRPr="005516CD">
              <w:rPr>
                <w:rFonts w:asciiTheme="majorHAnsi" w:hAnsiTheme="majorHAnsi" w:cstheme="majorHAnsi"/>
                <w:sz w:val="20"/>
              </w:rPr>
              <w:t>40 days @ USD600.</w:t>
            </w:r>
          </w:p>
        </w:tc>
        <w:tc>
          <w:tcPr>
            <w:tcW w:w="5670" w:type="dxa"/>
            <w:tcBorders>
              <w:top w:val="single" w:sz="4" w:space="0" w:color="auto"/>
              <w:left w:val="single" w:sz="4" w:space="0" w:color="auto"/>
              <w:bottom w:val="single" w:sz="4" w:space="0" w:color="auto"/>
              <w:right w:val="single" w:sz="4" w:space="0" w:color="auto"/>
            </w:tcBorders>
          </w:tcPr>
          <w:p w14:paraId="3B986AD4" w14:textId="77777777" w:rsidR="00B04187" w:rsidRPr="005516CD" w:rsidRDefault="00B04187" w:rsidP="00B04187">
            <w:pPr>
              <w:rPr>
                <w:rFonts w:asciiTheme="majorHAnsi" w:hAnsiTheme="majorHAnsi" w:cstheme="majorHAnsi"/>
                <w:sz w:val="20"/>
              </w:rPr>
            </w:pPr>
            <w:r w:rsidRPr="005516CD">
              <w:rPr>
                <w:rFonts w:asciiTheme="majorHAnsi" w:hAnsiTheme="majorHAnsi" w:cstheme="majorHAnsi"/>
                <w:sz w:val="20"/>
              </w:rPr>
              <w:t xml:space="preserve">International consultant to analyse the factors that affect the conservation status of target species, provide orientation on priorities for biological connectivity, and recommend management strategies for the promotion of connectivity (in support of Output 1.1: Decision making tools to optimize the configuration of landscape elements). </w:t>
            </w:r>
          </w:p>
        </w:tc>
      </w:tr>
      <w:tr w:rsidR="00B04187" w:rsidRPr="005516CD" w14:paraId="0E753548" w14:textId="77777777" w:rsidTr="00FB5829">
        <w:tc>
          <w:tcPr>
            <w:tcW w:w="2342" w:type="dxa"/>
            <w:tcBorders>
              <w:top w:val="single" w:sz="4" w:space="0" w:color="auto"/>
              <w:left w:val="single" w:sz="4" w:space="0" w:color="auto"/>
              <w:bottom w:val="single" w:sz="4" w:space="0" w:color="auto"/>
              <w:right w:val="single" w:sz="4" w:space="0" w:color="auto"/>
            </w:tcBorders>
          </w:tcPr>
          <w:p w14:paraId="7DA8070D" w14:textId="77777777" w:rsidR="00B04187" w:rsidRPr="005516CD" w:rsidRDefault="00B04187" w:rsidP="00FB5829">
            <w:pPr>
              <w:ind w:left="-40" w:right="-108"/>
              <w:rPr>
                <w:rFonts w:asciiTheme="majorHAnsi" w:hAnsiTheme="majorHAnsi" w:cstheme="majorHAnsi"/>
                <w:sz w:val="20"/>
              </w:rPr>
            </w:pPr>
            <w:r w:rsidRPr="005516CD">
              <w:rPr>
                <w:rFonts w:asciiTheme="majorHAnsi" w:hAnsiTheme="majorHAnsi" w:cstheme="majorHAnsi"/>
                <w:sz w:val="20"/>
              </w:rPr>
              <w:t>Environmental monitoring specialist</w:t>
            </w:r>
          </w:p>
        </w:tc>
        <w:tc>
          <w:tcPr>
            <w:tcW w:w="1276" w:type="dxa"/>
            <w:tcBorders>
              <w:top w:val="single" w:sz="4" w:space="0" w:color="auto"/>
              <w:left w:val="single" w:sz="4" w:space="0" w:color="auto"/>
              <w:bottom w:val="single" w:sz="4" w:space="0" w:color="auto"/>
              <w:right w:val="single" w:sz="4" w:space="0" w:color="auto"/>
            </w:tcBorders>
          </w:tcPr>
          <w:p w14:paraId="3223741C" w14:textId="77777777" w:rsidR="00B04187" w:rsidRPr="005516CD" w:rsidRDefault="00B04187">
            <w:pPr>
              <w:rPr>
                <w:rFonts w:asciiTheme="majorHAnsi" w:hAnsiTheme="majorHAnsi" w:cstheme="majorHAnsi"/>
                <w:sz w:val="20"/>
              </w:rPr>
            </w:pPr>
            <w:r w:rsidRPr="005516CD">
              <w:rPr>
                <w:rFonts w:asciiTheme="majorHAnsi" w:hAnsiTheme="majorHAnsi" w:cstheme="majorHAnsi"/>
                <w:sz w:val="20"/>
              </w:rPr>
              <w:t>35 days @ USD600</w:t>
            </w:r>
          </w:p>
        </w:tc>
        <w:tc>
          <w:tcPr>
            <w:tcW w:w="5670" w:type="dxa"/>
            <w:tcBorders>
              <w:top w:val="single" w:sz="4" w:space="0" w:color="auto"/>
              <w:left w:val="single" w:sz="4" w:space="0" w:color="auto"/>
              <w:bottom w:val="single" w:sz="4" w:space="0" w:color="auto"/>
              <w:right w:val="single" w:sz="4" w:space="0" w:color="auto"/>
            </w:tcBorders>
          </w:tcPr>
          <w:p w14:paraId="152A2FB7" w14:textId="77777777" w:rsidR="00B04187" w:rsidRPr="005516CD" w:rsidRDefault="00B04187">
            <w:pPr>
              <w:rPr>
                <w:rFonts w:asciiTheme="majorHAnsi" w:hAnsiTheme="majorHAnsi" w:cstheme="majorHAnsi"/>
                <w:sz w:val="20"/>
              </w:rPr>
            </w:pPr>
            <w:r w:rsidRPr="005516CD">
              <w:rPr>
                <w:rFonts w:asciiTheme="majorHAnsi" w:hAnsiTheme="majorHAnsi" w:cstheme="majorHAnsi"/>
                <w:sz w:val="20"/>
              </w:rPr>
              <w:t xml:space="preserve">International consultant for the generation of technical recommendations for the formulation environmental </w:t>
            </w:r>
            <w:proofErr w:type="spellStart"/>
            <w:r w:rsidRPr="005516CD">
              <w:rPr>
                <w:rFonts w:asciiTheme="majorHAnsi" w:hAnsiTheme="majorHAnsi" w:cstheme="majorHAnsi"/>
                <w:sz w:val="20"/>
              </w:rPr>
              <w:t>monitorong</w:t>
            </w:r>
            <w:proofErr w:type="spellEnd"/>
            <w:r w:rsidRPr="005516CD">
              <w:rPr>
                <w:rFonts w:asciiTheme="majorHAnsi" w:hAnsiTheme="majorHAnsi" w:cstheme="majorHAnsi"/>
                <w:sz w:val="20"/>
              </w:rPr>
              <w:t xml:space="preserve"> and information management systems, and for these to support adaptive management mechanisms (in support of Output 1.1: Decision making tools to optimize the configuration of landscape elements). </w:t>
            </w:r>
          </w:p>
        </w:tc>
      </w:tr>
      <w:tr w:rsidR="006F5E44" w:rsidRPr="005516CD" w14:paraId="6F9BD9F6" w14:textId="77777777" w:rsidTr="00FB5829">
        <w:tc>
          <w:tcPr>
            <w:tcW w:w="928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7BFAEA5" w14:textId="77777777" w:rsidR="006F5E44" w:rsidRPr="005516CD" w:rsidRDefault="006F5E44" w:rsidP="00C2281C">
            <w:pPr>
              <w:rPr>
                <w:rFonts w:asciiTheme="majorHAnsi" w:hAnsiTheme="majorHAnsi" w:cstheme="majorHAnsi"/>
                <w:b/>
                <w:sz w:val="22"/>
                <w:szCs w:val="22"/>
                <w:lang w:eastAsia="ja-JP"/>
              </w:rPr>
            </w:pPr>
            <w:r w:rsidRPr="005516CD">
              <w:rPr>
                <w:rFonts w:asciiTheme="majorHAnsi" w:hAnsiTheme="majorHAnsi" w:cstheme="majorHAnsi"/>
                <w:b/>
                <w:sz w:val="22"/>
                <w:szCs w:val="22"/>
                <w:lang w:eastAsia="ja-JP"/>
              </w:rPr>
              <w:t>International contracting</w:t>
            </w:r>
          </w:p>
        </w:tc>
      </w:tr>
      <w:tr w:rsidR="004D7781" w:rsidRPr="005516CD" w14:paraId="3DF60E9D" w14:textId="77777777" w:rsidTr="00FB5829">
        <w:trPr>
          <w:trHeight w:val="65"/>
        </w:trPr>
        <w:tc>
          <w:tcPr>
            <w:tcW w:w="2342" w:type="dxa"/>
            <w:tcBorders>
              <w:top w:val="single" w:sz="4" w:space="0" w:color="auto"/>
              <w:left w:val="single" w:sz="4" w:space="0" w:color="auto"/>
              <w:bottom w:val="single" w:sz="4" w:space="0" w:color="auto"/>
              <w:right w:val="single" w:sz="4" w:space="0" w:color="auto"/>
            </w:tcBorders>
          </w:tcPr>
          <w:p w14:paraId="4905B365" w14:textId="5A1D4181" w:rsidR="004D7781" w:rsidRPr="005516CD" w:rsidRDefault="004D7781">
            <w:pPr>
              <w:rPr>
                <w:i/>
                <w:szCs w:val="20"/>
                <w:lang w:eastAsia="ja-JP"/>
              </w:rPr>
            </w:pPr>
          </w:p>
        </w:tc>
        <w:tc>
          <w:tcPr>
            <w:tcW w:w="1276" w:type="dxa"/>
            <w:tcBorders>
              <w:top w:val="single" w:sz="4" w:space="0" w:color="auto"/>
              <w:left w:val="single" w:sz="4" w:space="0" w:color="auto"/>
              <w:bottom w:val="single" w:sz="4" w:space="0" w:color="auto"/>
              <w:right w:val="single" w:sz="4" w:space="0" w:color="auto"/>
            </w:tcBorders>
          </w:tcPr>
          <w:p w14:paraId="7ABFFB6F" w14:textId="0A8F8792" w:rsidR="004D7781" w:rsidRPr="005516CD" w:rsidRDefault="004D7781">
            <w:pPr>
              <w:rPr>
                <w:i/>
                <w:szCs w:val="20"/>
                <w:lang w:eastAsia="ja-JP"/>
              </w:rPr>
            </w:pPr>
          </w:p>
        </w:tc>
        <w:tc>
          <w:tcPr>
            <w:tcW w:w="5670" w:type="dxa"/>
            <w:tcBorders>
              <w:top w:val="single" w:sz="4" w:space="0" w:color="auto"/>
              <w:left w:val="single" w:sz="4" w:space="0" w:color="auto"/>
              <w:bottom w:val="single" w:sz="4" w:space="0" w:color="auto"/>
              <w:right w:val="single" w:sz="4" w:space="0" w:color="auto"/>
            </w:tcBorders>
          </w:tcPr>
          <w:p w14:paraId="321DD80C" w14:textId="138E566C" w:rsidR="004D7781" w:rsidRPr="005516CD" w:rsidRDefault="004D7781">
            <w:pPr>
              <w:contextualSpacing/>
              <w:rPr>
                <w:rFonts w:eastAsia="MS Mincho"/>
                <w:i/>
                <w:noProof/>
                <w:szCs w:val="20"/>
                <w:lang w:eastAsia="ja-JP"/>
              </w:rPr>
            </w:pPr>
          </w:p>
        </w:tc>
      </w:tr>
      <w:tr w:rsidR="00731FD5" w:rsidRPr="005516CD" w14:paraId="6D9EC2AE" w14:textId="77777777" w:rsidTr="00FB5829">
        <w:trPr>
          <w:trHeight w:val="65"/>
        </w:trPr>
        <w:tc>
          <w:tcPr>
            <w:tcW w:w="2342" w:type="dxa"/>
            <w:tcBorders>
              <w:top w:val="single" w:sz="4" w:space="0" w:color="auto"/>
              <w:left w:val="single" w:sz="4" w:space="0" w:color="auto"/>
              <w:bottom w:val="single" w:sz="4" w:space="0" w:color="auto"/>
              <w:right w:val="single" w:sz="4" w:space="0" w:color="auto"/>
            </w:tcBorders>
          </w:tcPr>
          <w:p w14:paraId="76132C4C" w14:textId="56961A44" w:rsidR="00731FD5" w:rsidRPr="005516CD" w:rsidRDefault="00731FD5">
            <w:pPr>
              <w:rPr>
                <w:rFonts w:asciiTheme="majorHAnsi" w:hAnsiTheme="majorHAnsi" w:cstheme="majorHAnsi"/>
                <w:sz w:val="20"/>
              </w:rPr>
            </w:pPr>
          </w:p>
        </w:tc>
        <w:tc>
          <w:tcPr>
            <w:tcW w:w="1276" w:type="dxa"/>
            <w:tcBorders>
              <w:top w:val="single" w:sz="4" w:space="0" w:color="auto"/>
              <w:left w:val="single" w:sz="4" w:space="0" w:color="auto"/>
              <w:bottom w:val="single" w:sz="4" w:space="0" w:color="auto"/>
              <w:right w:val="single" w:sz="4" w:space="0" w:color="auto"/>
            </w:tcBorders>
          </w:tcPr>
          <w:p w14:paraId="589762CF" w14:textId="11FD072E" w:rsidR="00731FD5" w:rsidRPr="005516CD" w:rsidRDefault="00731FD5">
            <w:pPr>
              <w:rPr>
                <w:rFonts w:asciiTheme="majorHAnsi" w:hAnsiTheme="majorHAnsi" w:cstheme="majorHAnsi"/>
                <w:sz w:val="20"/>
              </w:rPr>
            </w:pPr>
          </w:p>
        </w:tc>
        <w:tc>
          <w:tcPr>
            <w:tcW w:w="5670" w:type="dxa"/>
            <w:tcBorders>
              <w:top w:val="single" w:sz="4" w:space="0" w:color="auto"/>
              <w:left w:val="single" w:sz="4" w:space="0" w:color="auto"/>
              <w:bottom w:val="single" w:sz="4" w:space="0" w:color="auto"/>
              <w:right w:val="single" w:sz="4" w:space="0" w:color="auto"/>
            </w:tcBorders>
          </w:tcPr>
          <w:p w14:paraId="42B67B23" w14:textId="7FC5E38C" w:rsidR="00731FD5" w:rsidRPr="005516CD" w:rsidRDefault="00731FD5">
            <w:pPr>
              <w:contextualSpacing/>
              <w:rPr>
                <w:rFonts w:asciiTheme="majorHAnsi" w:hAnsiTheme="majorHAnsi" w:cstheme="majorHAnsi"/>
                <w:sz w:val="20"/>
              </w:rPr>
            </w:pPr>
          </w:p>
        </w:tc>
      </w:tr>
      <w:tr w:rsidR="003117B5" w:rsidRPr="005516CD" w14:paraId="1E34E0A9" w14:textId="77777777" w:rsidTr="00FB5829">
        <w:tc>
          <w:tcPr>
            <w:tcW w:w="928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239B771A" w14:textId="77777777" w:rsidR="003117B5" w:rsidRPr="005516CD" w:rsidRDefault="003117B5" w:rsidP="00C2281C">
            <w:pPr>
              <w:jc w:val="center"/>
              <w:rPr>
                <w:rFonts w:asciiTheme="majorHAnsi" w:hAnsiTheme="majorHAnsi" w:cstheme="majorHAnsi"/>
                <w:b/>
                <w:sz w:val="22"/>
                <w:szCs w:val="22"/>
                <w:lang w:val="en-US" w:eastAsia="ja-JP"/>
              </w:rPr>
            </w:pPr>
            <w:r w:rsidRPr="005516CD">
              <w:rPr>
                <w:rFonts w:asciiTheme="majorHAnsi" w:hAnsiTheme="majorHAnsi" w:cstheme="majorHAnsi"/>
                <w:b/>
                <w:sz w:val="22"/>
                <w:szCs w:val="22"/>
                <w:lang w:eastAsia="ja-JP"/>
              </w:rPr>
              <w:t>Outcome 3</w:t>
            </w:r>
          </w:p>
        </w:tc>
      </w:tr>
      <w:tr w:rsidR="003117B5" w:rsidRPr="005516CD" w14:paraId="019A7E96" w14:textId="77777777" w:rsidTr="00FB5829">
        <w:tc>
          <w:tcPr>
            <w:tcW w:w="928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D9B806B" w14:textId="77777777" w:rsidR="003117B5" w:rsidRPr="005516CD" w:rsidRDefault="003117B5" w:rsidP="00C2281C">
            <w:pPr>
              <w:rPr>
                <w:rFonts w:asciiTheme="majorHAnsi" w:hAnsiTheme="majorHAnsi" w:cstheme="majorHAnsi"/>
                <w:b/>
                <w:sz w:val="22"/>
                <w:szCs w:val="22"/>
                <w:lang w:eastAsia="ja-JP"/>
              </w:rPr>
            </w:pPr>
            <w:r w:rsidRPr="005516CD">
              <w:rPr>
                <w:rFonts w:asciiTheme="majorHAnsi" w:hAnsiTheme="majorHAnsi" w:cstheme="majorHAnsi"/>
                <w:b/>
                <w:sz w:val="22"/>
                <w:szCs w:val="22"/>
                <w:lang w:eastAsia="ja-JP"/>
              </w:rPr>
              <w:t>Local/national contracting</w:t>
            </w:r>
          </w:p>
        </w:tc>
      </w:tr>
      <w:tr w:rsidR="00396A39" w:rsidRPr="005516CD" w14:paraId="7594A0E6" w14:textId="77777777" w:rsidTr="00FB5829">
        <w:trPr>
          <w:trHeight w:val="65"/>
        </w:trPr>
        <w:tc>
          <w:tcPr>
            <w:tcW w:w="2342" w:type="dxa"/>
            <w:tcBorders>
              <w:top w:val="single" w:sz="4" w:space="0" w:color="auto"/>
              <w:left w:val="single" w:sz="4" w:space="0" w:color="auto"/>
              <w:bottom w:val="single" w:sz="4" w:space="0" w:color="auto"/>
              <w:right w:val="single" w:sz="4" w:space="0" w:color="auto"/>
            </w:tcBorders>
          </w:tcPr>
          <w:p w14:paraId="1EF701C2" w14:textId="65B76B8A" w:rsidR="00396A39" w:rsidRPr="005516CD" w:rsidRDefault="00396A39" w:rsidP="00396A39">
            <w:pPr>
              <w:rPr>
                <w:rFonts w:asciiTheme="majorHAnsi" w:hAnsiTheme="majorHAnsi" w:cstheme="majorHAnsi"/>
                <w:sz w:val="20"/>
              </w:rPr>
            </w:pPr>
            <w:r w:rsidRPr="005516CD">
              <w:rPr>
                <w:rFonts w:asciiTheme="majorHAnsi" w:hAnsiTheme="majorHAnsi" w:cstheme="majorHAnsi"/>
                <w:sz w:val="20"/>
              </w:rPr>
              <w:t>Communication consultant</w:t>
            </w:r>
          </w:p>
        </w:tc>
        <w:tc>
          <w:tcPr>
            <w:tcW w:w="1276" w:type="dxa"/>
            <w:tcBorders>
              <w:top w:val="single" w:sz="4" w:space="0" w:color="auto"/>
              <w:left w:val="single" w:sz="4" w:space="0" w:color="auto"/>
              <w:bottom w:val="single" w:sz="4" w:space="0" w:color="auto"/>
              <w:right w:val="single" w:sz="4" w:space="0" w:color="auto"/>
            </w:tcBorders>
          </w:tcPr>
          <w:p w14:paraId="050B2AFA" w14:textId="48A58CBC" w:rsidR="00396A39" w:rsidRPr="005516CD" w:rsidRDefault="00396A39" w:rsidP="00396A39">
            <w:pPr>
              <w:rPr>
                <w:rFonts w:asciiTheme="majorHAnsi" w:hAnsiTheme="majorHAnsi" w:cstheme="majorHAnsi"/>
                <w:sz w:val="20"/>
              </w:rPr>
            </w:pPr>
            <w:r>
              <w:rPr>
                <w:rFonts w:asciiTheme="majorHAnsi" w:hAnsiTheme="majorHAnsi" w:cstheme="majorHAnsi"/>
                <w:sz w:val="20"/>
              </w:rPr>
              <w:t xml:space="preserve">60 </w:t>
            </w:r>
            <w:r w:rsidRPr="005516CD">
              <w:rPr>
                <w:rFonts w:asciiTheme="majorHAnsi" w:hAnsiTheme="majorHAnsi" w:cstheme="majorHAnsi"/>
                <w:sz w:val="20"/>
              </w:rPr>
              <w:t>days @ USD</w:t>
            </w:r>
            <w:r>
              <w:rPr>
                <w:rFonts w:asciiTheme="majorHAnsi" w:hAnsiTheme="majorHAnsi" w:cstheme="majorHAnsi"/>
                <w:sz w:val="20"/>
              </w:rPr>
              <w:t>5</w:t>
            </w:r>
            <w:r w:rsidRPr="005516CD">
              <w:rPr>
                <w:rFonts w:asciiTheme="majorHAnsi" w:hAnsiTheme="majorHAnsi" w:cstheme="majorHAnsi"/>
                <w:sz w:val="20"/>
              </w:rPr>
              <w:t>00</w:t>
            </w:r>
          </w:p>
        </w:tc>
        <w:tc>
          <w:tcPr>
            <w:tcW w:w="5670" w:type="dxa"/>
            <w:tcBorders>
              <w:top w:val="single" w:sz="4" w:space="0" w:color="auto"/>
              <w:left w:val="single" w:sz="4" w:space="0" w:color="auto"/>
              <w:bottom w:val="single" w:sz="4" w:space="0" w:color="auto"/>
              <w:right w:val="single" w:sz="4" w:space="0" w:color="auto"/>
            </w:tcBorders>
          </w:tcPr>
          <w:p w14:paraId="7CE5A8DB" w14:textId="77777777" w:rsidR="00396A39" w:rsidRPr="005516CD" w:rsidRDefault="00396A39" w:rsidP="00396A39">
            <w:pPr>
              <w:ind w:left="-40" w:right="-108"/>
              <w:rPr>
                <w:rFonts w:asciiTheme="majorHAnsi" w:hAnsiTheme="majorHAnsi" w:cstheme="majorHAnsi"/>
                <w:sz w:val="20"/>
              </w:rPr>
            </w:pPr>
            <w:r w:rsidRPr="005516CD">
              <w:rPr>
                <w:rFonts w:asciiTheme="majorHAnsi" w:hAnsiTheme="majorHAnsi" w:cstheme="majorHAnsi"/>
                <w:sz w:val="20"/>
              </w:rPr>
              <w:t xml:space="preserve">Formulation of communication strategy (Output 3.2) </w:t>
            </w:r>
          </w:p>
          <w:p w14:paraId="187C59FB" w14:textId="481FB446" w:rsidR="00396A39" w:rsidRPr="005516CD" w:rsidRDefault="00396A39" w:rsidP="00396A39">
            <w:pPr>
              <w:contextualSpacing/>
              <w:rPr>
                <w:rFonts w:asciiTheme="majorHAnsi" w:hAnsiTheme="majorHAnsi" w:cstheme="majorHAnsi"/>
                <w:sz w:val="20"/>
              </w:rPr>
            </w:pPr>
          </w:p>
        </w:tc>
      </w:tr>
      <w:tr w:rsidR="00396A39" w:rsidRPr="005516CD" w14:paraId="0B943BEB" w14:textId="77777777" w:rsidTr="00FE7303">
        <w:trPr>
          <w:trHeight w:val="65"/>
        </w:trPr>
        <w:tc>
          <w:tcPr>
            <w:tcW w:w="2342" w:type="dxa"/>
            <w:tcBorders>
              <w:top w:val="single" w:sz="4" w:space="0" w:color="auto"/>
              <w:left w:val="single" w:sz="4" w:space="0" w:color="auto"/>
              <w:bottom w:val="single" w:sz="4" w:space="0" w:color="auto"/>
              <w:right w:val="single" w:sz="4" w:space="0" w:color="auto"/>
            </w:tcBorders>
            <w:shd w:val="clear" w:color="auto" w:fill="FFFFFF" w:themeFill="background1"/>
          </w:tcPr>
          <w:p w14:paraId="1D19E535" w14:textId="1FF798BF" w:rsidR="00396A39" w:rsidRPr="005516CD" w:rsidRDefault="00396A39" w:rsidP="00396A39">
            <w:pPr>
              <w:rPr>
                <w:rFonts w:asciiTheme="majorHAnsi" w:hAnsiTheme="majorHAnsi" w:cstheme="majorHAnsi"/>
                <w:sz w:val="20"/>
              </w:rPr>
            </w:pPr>
            <w:r w:rsidRPr="005516CD">
              <w:rPr>
                <w:rFonts w:asciiTheme="majorHAnsi" w:hAnsiTheme="majorHAnsi" w:cstheme="majorHAnsi"/>
                <w:sz w:val="20"/>
              </w:rPr>
              <w:t>National ESMF consultant</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057AECE3" w14:textId="6D58D6BC" w:rsidR="00396A39" w:rsidRPr="005516CD" w:rsidRDefault="00396A39" w:rsidP="00396A39">
            <w:pPr>
              <w:rPr>
                <w:rFonts w:asciiTheme="majorHAnsi" w:hAnsiTheme="majorHAnsi" w:cstheme="majorHAnsi"/>
                <w:sz w:val="20"/>
              </w:rPr>
            </w:pPr>
            <w:r>
              <w:rPr>
                <w:rFonts w:asciiTheme="majorHAnsi" w:hAnsiTheme="majorHAnsi" w:cstheme="majorHAnsi"/>
                <w:sz w:val="20"/>
              </w:rPr>
              <w:t>7</w:t>
            </w:r>
            <w:r w:rsidRPr="005516CD">
              <w:rPr>
                <w:rFonts w:asciiTheme="majorHAnsi" w:hAnsiTheme="majorHAnsi" w:cstheme="majorHAnsi"/>
                <w:sz w:val="20"/>
              </w:rPr>
              <w:t>0 days @ USD 500</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tcPr>
          <w:p w14:paraId="57DE70A5" w14:textId="50EDC0F8" w:rsidR="00396A39" w:rsidRPr="005516CD" w:rsidRDefault="00975566" w:rsidP="00396A39">
            <w:pPr>
              <w:contextualSpacing/>
              <w:rPr>
                <w:rFonts w:asciiTheme="majorHAnsi" w:hAnsiTheme="majorHAnsi"/>
                <w:sz w:val="20"/>
                <w:szCs w:val="20"/>
              </w:rPr>
            </w:pPr>
            <w:r>
              <w:rPr>
                <w:rFonts w:asciiTheme="majorHAnsi" w:hAnsiTheme="majorHAnsi" w:cstheme="majorHAnsi"/>
                <w:sz w:val="20"/>
              </w:rPr>
              <w:t>National</w:t>
            </w:r>
            <w:r w:rsidR="00396A39" w:rsidRPr="005516CD">
              <w:rPr>
                <w:rFonts w:asciiTheme="majorHAnsi" w:hAnsiTheme="majorHAnsi" w:cstheme="majorHAnsi"/>
                <w:sz w:val="20"/>
              </w:rPr>
              <w:t xml:space="preserve"> consultant for the ESMF Development</w:t>
            </w:r>
          </w:p>
        </w:tc>
      </w:tr>
      <w:tr w:rsidR="00396A39" w:rsidRPr="005516CD" w14:paraId="2D4B407D" w14:textId="77777777" w:rsidTr="00AF5DDF">
        <w:trPr>
          <w:trHeight w:val="65"/>
        </w:trPr>
        <w:tc>
          <w:tcPr>
            <w:tcW w:w="2342" w:type="dxa"/>
            <w:tcBorders>
              <w:top w:val="single" w:sz="4" w:space="0" w:color="auto"/>
              <w:left w:val="single" w:sz="4" w:space="0" w:color="auto"/>
              <w:bottom w:val="single" w:sz="4" w:space="0" w:color="auto"/>
              <w:right w:val="single" w:sz="4" w:space="0" w:color="auto"/>
            </w:tcBorders>
            <w:shd w:val="clear" w:color="auto" w:fill="FFFFFF" w:themeFill="background1"/>
          </w:tcPr>
          <w:p w14:paraId="36547832" w14:textId="326FC3C5" w:rsidR="00396A39" w:rsidRPr="005516CD" w:rsidRDefault="00396A39" w:rsidP="00396A39">
            <w:pPr>
              <w:rPr>
                <w:rFonts w:asciiTheme="majorHAnsi" w:hAnsiTheme="majorHAnsi" w:cstheme="majorHAnsi"/>
                <w:sz w:val="20"/>
              </w:rPr>
            </w:pPr>
            <w:r>
              <w:rPr>
                <w:rFonts w:asciiTheme="majorHAnsi" w:hAnsiTheme="majorHAnsi" w:cstheme="majorHAnsi"/>
                <w:sz w:val="20"/>
              </w:rPr>
              <w:t>External evaluation consultants</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6193ED61" w14:textId="301BC518" w:rsidR="00396A39" w:rsidRDefault="00396A39" w:rsidP="00396A39">
            <w:pPr>
              <w:rPr>
                <w:rFonts w:asciiTheme="majorHAnsi" w:hAnsiTheme="majorHAnsi" w:cstheme="majorHAnsi"/>
                <w:sz w:val="20"/>
              </w:rPr>
            </w:pPr>
            <w:r>
              <w:rPr>
                <w:rFonts w:asciiTheme="majorHAnsi" w:hAnsiTheme="majorHAnsi" w:cstheme="majorHAnsi"/>
                <w:sz w:val="20"/>
              </w:rPr>
              <w:t>30 days @ USD 500</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tcPr>
          <w:p w14:paraId="03068C91" w14:textId="3CD7857C" w:rsidR="00396A39" w:rsidRPr="005516CD" w:rsidRDefault="00396A39" w:rsidP="00396A39">
            <w:pPr>
              <w:contextualSpacing/>
              <w:rPr>
                <w:rFonts w:asciiTheme="majorHAnsi" w:hAnsiTheme="majorHAnsi"/>
                <w:sz w:val="20"/>
                <w:szCs w:val="20"/>
              </w:rPr>
            </w:pPr>
            <w:r w:rsidRPr="00A96B72">
              <w:rPr>
                <w:rFonts w:asciiTheme="majorHAnsi" w:hAnsiTheme="majorHAnsi"/>
                <w:sz w:val="20"/>
                <w:szCs w:val="20"/>
              </w:rPr>
              <w:t xml:space="preserve">Budget for </w:t>
            </w:r>
            <w:r>
              <w:rPr>
                <w:rFonts w:asciiTheme="majorHAnsi" w:hAnsiTheme="majorHAnsi"/>
                <w:sz w:val="20"/>
                <w:szCs w:val="20"/>
              </w:rPr>
              <w:t>national</w:t>
            </w:r>
            <w:r w:rsidRPr="00A96B72">
              <w:rPr>
                <w:rFonts w:asciiTheme="majorHAnsi" w:hAnsiTheme="majorHAnsi"/>
                <w:sz w:val="20"/>
                <w:szCs w:val="20"/>
              </w:rPr>
              <w:t xml:space="preserve"> consultant</w:t>
            </w:r>
            <w:r>
              <w:rPr>
                <w:rFonts w:asciiTheme="majorHAnsi" w:hAnsiTheme="majorHAnsi"/>
                <w:sz w:val="20"/>
                <w:szCs w:val="20"/>
              </w:rPr>
              <w:t>s</w:t>
            </w:r>
            <w:r w:rsidRPr="00A96B72">
              <w:rPr>
                <w:rFonts w:asciiTheme="majorHAnsi" w:hAnsiTheme="majorHAnsi"/>
                <w:sz w:val="20"/>
                <w:szCs w:val="20"/>
              </w:rPr>
              <w:t xml:space="preserve"> to conduct midterm and final evaluation</w:t>
            </w:r>
          </w:p>
        </w:tc>
      </w:tr>
      <w:tr w:rsidR="00975566" w:rsidRPr="005516CD" w14:paraId="3DA5ED80" w14:textId="77777777" w:rsidTr="00AF5DDF">
        <w:trPr>
          <w:trHeight w:val="65"/>
        </w:trPr>
        <w:tc>
          <w:tcPr>
            <w:tcW w:w="2342" w:type="dxa"/>
            <w:tcBorders>
              <w:top w:val="single" w:sz="4" w:space="0" w:color="auto"/>
              <w:left w:val="single" w:sz="4" w:space="0" w:color="auto"/>
              <w:bottom w:val="single" w:sz="4" w:space="0" w:color="auto"/>
              <w:right w:val="single" w:sz="4" w:space="0" w:color="auto"/>
            </w:tcBorders>
            <w:shd w:val="clear" w:color="auto" w:fill="FFFFFF" w:themeFill="background1"/>
          </w:tcPr>
          <w:p w14:paraId="0B970CEE" w14:textId="3501043B" w:rsidR="00975566" w:rsidRPr="00975566" w:rsidRDefault="00975566" w:rsidP="00396A39">
            <w:pPr>
              <w:rPr>
                <w:rFonts w:asciiTheme="majorHAnsi" w:hAnsiTheme="majorHAnsi" w:cstheme="majorHAnsi"/>
                <w:sz w:val="20"/>
                <w:highlight w:val="magenta"/>
              </w:rPr>
            </w:pPr>
            <w:r w:rsidRPr="00975566">
              <w:rPr>
                <w:rFonts w:asciiTheme="majorHAnsi" w:hAnsiTheme="majorHAnsi" w:cstheme="majorHAnsi"/>
                <w:sz w:val="20"/>
                <w:highlight w:val="magenta"/>
              </w:rPr>
              <w:t>National Consultant</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3CD7BD3C" w14:textId="161EC96D" w:rsidR="00975566" w:rsidRPr="00975566" w:rsidRDefault="00975566" w:rsidP="00396A39">
            <w:pPr>
              <w:rPr>
                <w:rFonts w:asciiTheme="majorHAnsi" w:hAnsiTheme="majorHAnsi" w:cstheme="majorHAnsi"/>
                <w:sz w:val="20"/>
                <w:highlight w:val="magenta"/>
              </w:rPr>
            </w:pPr>
            <w:r w:rsidRPr="00975566">
              <w:rPr>
                <w:rFonts w:asciiTheme="majorHAnsi" w:hAnsiTheme="majorHAnsi" w:cstheme="majorHAnsi"/>
                <w:sz w:val="20"/>
                <w:highlight w:val="magenta"/>
              </w:rPr>
              <w:t>1000 days @USD 120</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tcPr>
          <w:p w14:paraId="3B83782B" w14:textId="4A25BDDB" w:rsidR="00975566" w:rsidRPr="00975566" w:rsidRDefault="00975566" w:rsidP="00396A39">
            <w:pPr>
              <w:contextualSpacing/>
              <w:rPr>
                <w:rFonts w:asciiTheme="majorHAnsi" w:hAnsiTheme="majorHAnsi"/>
                <w:sz w:val="20"/>
                <w:szCs w:val="20"/>
                <w:highlight w:val="magenta"/>
              </w:rPr>
            </w:pPr>
            <w:r w:rsidRPr="00975566">
              <w:rPr>
                <w:rFonts w:asciiTheme="majorHAnsi" w:hAnsiTheme="majorHAnsi"/>
                <w:sz w:val="20"/>
                <w:szCs w:val="20"/>
                <w:highlight w:val="magenta"/>
              </w:rPr>
              <w:t>National consultant for translation</w:t>
            </w:r>
          </w:p>
        </w:tc>
      </w:tr>
      <w:tr w:rsidR="00396A39" w:rsidRPr="005516CD" w14:paraId="51F21918" w14:textId="77777777" w:rsidTr="00AF5DDF">
        <w:trPr>
          <w:trHeight w:val="65"/>
        </w:trPr>
        <w:tc>
          <w:tcPr>
            <w:tcW w:w="2342" w:type="dxa"/>
            <w:tcBorders>
              <w:top w:val="single" w:sz="4" w:space="0" w:color="auto"/>
              <w:left w:val="single" w:sz="4" w:space="0" w:color="auto"/>
              <w:bottom w:val="single" w:sz="4" w:space="0" w:color="auto"/>
              <w:right w:val="single" w:sz="4" w:space="0" w:color="auto"/>
            </w:tcBorders>
            <w:shd w:val="clear" w:color="auto" w:fill="FFFFFF" w:themeFill="background1"/>
          </w:tcPr>
          <w:p w14:paraId="3EFF5CB8" w14:textId="3328AD28" w:rsidR="00396A39" w:rsidRPr="005516CD" w:rsidRDefault="00396A39" w:rsidP="00396A39">
            <w:pPr>
              <w:rPr>
                <w:rFonts w:asciiTheme="majorHAnsi" w:hAnsiTheme="majorHAnsi" w:cstheme="majorHAnsi"/>
                <w:sz w:val="20"/>
              </w:rPr>
            </w:pPr>
            <w:r>
              <w:rPr>
                <w:rFonts w:asciiTheme="majorHAnsi" w:hAnsiTheme="majorHAnsi" w:cstheme="majorHAnsi"/>
                <w:sz w:val="20"/>
              </w:rPr>
              <w:t>National Consultant for Knowledge management formulation and dissemination strategy</w:t>
            </w:r>
          </w:p>
        </w:tc>
        <w:tc>
          <w:tcPr>
            <w:tcW w:w="1276" w:type="dxa"/>
            <w:tcBorders>
              <w:top w:val="single" w:sz="4" w:space="0" w:color="auto"/>
              <w:left w:val="single" w:sz="4" w:space="0" w:color="auto"/>
              <w:bottom w:val="single" w:sz="4" w:space="0" w:color="auto"/>
              <w:right w:val="single" w:sz="4" w:space="0" w:color="auto"/>
            </w:tcBorders>
            <w:shd w:val="clear" w:color="auto" w:fill="FFFFFF" w:themeFill="background1"/>
          </w:tcPr>
          <w:p w14:paraId="6594E3C5" w14:textId="0BB90F49" w:rsidR="00396A39" w:rsidRDefault="00396A39" w:rsidP="00396A39">
            <w:pPr>
              <w:rPr>
                <w:rFonts w:asciiTheme="majorHAnsi" w:hAnsiTheme="majorHAnsi" w:cstheme="majorHAnsi"/>
                <w:sz w:val="20"/>
              </w:rPr>
            </w:pPr>
            <w:r>
              <w:rPr>
                <w:rFonts w:asciiTheme="majorHAnsi" w:hAnsiTheme="majorHAnsi" w:cstheme="majorHAnsi"/>
                <w:sz w:val="20"/>
              </w:rPr>
              <w:t>60 days @ USD 600</w:t>
            </w:r>
          </w:p>
        </w:tc>
        <w:tc>
          <w:tcPr>
            <w:tcW w:w="5670" w:type="dxa"/>
            <w:tcBorders>
              <w:top w:val="single" w:sz="4" w:space="0" w:color="auto"/>
              <w:left w:val="single" w:sz="4" w:space="0" w:color="auto"/>
              <w:bottom w:val="single" w:sz="4" w:space="0" w:color="auto"/>
              <w:right w:val="single" w:sz="4" w:space="0" w:color="auto"/>
            </w:tcBorders>
            <w:shd w:val="clear" w:color="auto" w:fill="FFFFFF" w:themeFill="background1"/>
          </w:tcPr>
          <w:p w14:paraId="1BF2F01C" w14:textId="7F17646F" w:rsidR="00396A39" w:rsidRPr="005516CD" w:rsidRDefault="00396A39" w:rsidP="00396A39">
            <w:pPr>
              <w:contextualSpacing/>
              <w:rPr>
                <w:rFonts w:asciiTheme="majorHAnsi" w:hAnsiTheme="majorHAnsi"/>
                <w:sz w:val="20"/>
                <w:szCs w:val="20"/>
              </w:rPr>
            </w:pPr>
            <w:r w:rsidRPr="00731FD5">
              <w:rPr>
                <w:rFonts w:asciiTheme="majorHAnsi" w:hAnsiTheme="majorHAnsi"/>
                <w:sz w:val="20"/>
                <w:szCs w:val="20"/>
              </w:rPr>
              <w:t>National consultant for formulation of knowledge management and dissemination/scaling up strategy (25 days @ USD 600)</w:t>
            </w:r>
          </w:p>
        </w:tc>
      </w:tr>
      <w:tr w:rsidR="00396A39" w:rsidRPr="005516CD" w14:paraId="71781F9E" w14:textId="77777777" w:rsidTr="00FB5829">
        <w:tc>
          <w:tcPr>
            <w:tcW w:w="9288"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1ED8E47" w14:textId="77777777" w:rsidR="00396A39" w:rsidRPr="005516CD" w:rsidRDefault="00396A39" w:rsidP="00396A39">
            <w:pPr>
              <w:rPr>
                <w:rFonts w:asciiTheme="majorHAnsi" w:hAnsiTheme="majorHAnsi" w:cstheme="majorHAnsi"/>
                <w:b/>
                <w:sz w:val="22"/>
                <w:szCs w:val="22"/>
                <w:lang w:eastAsia="ja-JP"/>
              </w:rPr>
            </w:pPr>
            <w:r w:rsidRPr="005516CD">
              <w:rPr>
                <w:rFonts w:asciiTheme="majorHAnsi" w:hAnsiTheme="majorHAnsi" w:cstheme="majorHAnsi"/>
                <w:b/>
                <w:sz w:val="22"/>
                <w:szCs w:val="22"/>
                <w:lang w:eastAsia="ja-JP"/>
              </w:rPr>
              <w:t>International contracting</w:t>
            </w:r>
          </w:p>
        </w:tc>
      </w:tr>
      <w:tr w:rsidR="00396A39" w:rsidRPr="005516CD" w14:paraId="0995F2C8" w14:textId="77777777" w:rsidTr="00FB5829">
        <w:trPr>
          <w:trHeight w:val="65"/>
        </w:trPr>
        <w:tc>
          <w:tcPr>
            <w:tcW w:w="2342" w:type="dxa"/>
            <w:tcBorders>
              <w:top w:val="single" w:sz="4" w:space="0" w:color="auto"/>
              <w:left w:val="single" w:sz="4" w:space="0" w:color="auto"/>
              <w:bottom w:val="single" w:sz="4" w:space="0" w:color="auto"/>
              <w:right w:val="single" w:sz="4" w:space="0" w:color="auto"/>
            </w:tcBorders>
          </w:tcPr>
          <w:p w14:paraId="2861EAD5" w14:textId="77777777" w:rsidR="00396A39" w:rsidRPr="005516CD" w:rsidRDefault="00396A39" w:rsidP="00396A39">
            <w:pPr>
              <w:rPr>
                <w:rFonts w:asciiTheme="majorHAnsi" w:hAnsiTheme="majorHAnsi" w:cstheme="majorHAnsi"/>
                <w:sz w:val="20"/>
              </w:rPr>
            </w:pPr>
            <w:r w:rsidRPr="005516CD">
              <w:rPr>
                <w:rFonts w:asciiTheme="majorHAnsi" w:hAnsiTheme="majorHAnsi" w:cstheme="majorHAnsi"/>
                <w:sz w:val="20"/>
              </w:rPr>
              <w:t>External evaluation consultants</w:t>
            </w:r>
          </w:p>
        </w:tc>
        <w:tc>
          <w:tcPr>
            <w:tcW w:w="1276" w:type="dxa"/>
            <w:tcBorders>
              <w:top w:val="single" w:sz="4" w:space="0" w:color="auto"/>
              <w:left w:val="single" w:sz="4" w:space="0" w:color="auto"/>
              <w:bottom w:val="single" w:sz="4" w:space="0" w:color="auto"/>
              <w:right w:val="single" w:sz="4" w:space="0" w:color="auto"/>
            </w:tcBorders>
          </w:tcPr>
          <w:p w14:paraId="4F7ABFB9" w14:textId="0353ACA9" w:rsidR="00396A39" w:rsidRPr="005516CD" w:rsidRDefault="00396A39" w:rsidP="00396A39">
            <w:pPr>
              <w:rPr>
                <w:rFonts w:asciiTheme="majorHAnsi" w:hAnsiTheme="majorHAnsi" w:cstheme="majorHAnsi"/>
                <w:sz w:val="20"/>
              </w:rPr>
            </w:pPr>
            <w:r>
              <w:rPr>
                <w:rFonts w:asciiTheme="majorHAnsi" w:hAnsiTheme="majorHAnsi" w:cstheme="majorHAnsi"/>
                <w:sz w:val="20"/>
              </w:rPr>
              <w:t>8</w:t>
            </w:r>
            <w:r w:rsidRPr="005516CD">
              <w:rPr>
                <w:rFonts w:asciiTheme="majorHAnsi" w:hAnsiTheme="majorHAnsi" w:cstheme="majorHAnsi"/>
                <w:sz w:val="20"/>
              </w:rPr>
              <w:t xml:space="preserve">0 days @ USD </w:t>
            </w:r>
            <w:r>
              <w:rPr>
                <w:rFonts w:asciiTheme="majorHAnsi" w:hAnsiTheme="majorHAnsi" w:cstheme="majorHAnsi"/>
                <w:sz w:val="20"/>
              </w:rPr>
              <w:t>6</w:t>
            </w:r>
            <w:r w:rsidRPr="005516CD">
              <w:rPr>
                <w:rFonts w:asciiTheme="majorHAnsi" w:hAnsiTheme="majorHAnsi" w:cstheme="majorHAnsi"/>
                <w:sz w:val="20"/>
              </w:rPr>
              <w:t>00</w:t>
            </w:r>
          </w:p>
        </w:tc>
        <w:tc>
          <w:tcPr>
            <w:tcW w:w="5670" w:type="dxa"/>
            <w:tcBorders>
              <w:top w:val="single" w:sz="4" w:space="0" w:color="auto"/>
              <w:left w:val="single" w:sz="4" w:space="0" w:color="auto"/>
              <w:bottom w:val="single" w:sz="4" w:space="0" w:color="auto"/>
              <w:right w:val="single" w:sz="4" w:space="0" w:color="auto"/>
            </w:tcBorders>
          </w:tcPr>
          <w:p w14:paraId="331A0DF3" w14:textId="77777777" w:rsidR="00396A39" w:rsidRPr="005516CD" w:rsidRDefault="00396A39" w:rsidP="00396A39">
            <w:pPr>
              <w:contextualSpacing/>
              <w:rPr>
                <w:rFonts w:asciiTheme="majorHAnsi" w:hAnsiTheme="majorHAnsi" w:cstheme="majorHAnsi"/>
                <w:sz w:val="20"/>
              </w:rPr>
            </w:pPr>
            <w:r w:rsidRPr="005516CD">
              <w:rPr>
                <w:rFonts w:asciiTheme="majorHAnsi" w:hAnsiTheme="majorHAnsi"/>
                <w:sz w:val="20"/>
                <w:szCs w:val="20"/>
              </w:rPr>
              <w:t>Budget for international consultant to conduct midterm and final evaluation</w:t>
            </w:r>
          </w:p>
        </w:tc>
      </w:tr>
      <w:tr w:rsidR="00396A39" w:rsidRPr="005516CD" w14:paraId="12D4EF5A" w14:textId="77777777" w:rsidTr="00FB5829">
        <w:trPr>
          <w:trHeight w:val="65"/>
        </w:trPr>
        <w:tc>
          <w:tcPr>
            <w:tcW w:w="2342" w:type="dxa"/>
            <w:tcBorders>
              <w:top w:val="single" w:sz="4" w:space="0" w:color="auto"/>
              <w:left w:val="single" w:sz="4" w:space="0" w:color="auto"/>
              <w:bottom w:val="single" w:sz="4" w:space="0" w:color="auto"/>
              <w:right w:val="single" w:sz="4" w:space="0" w:color="auto"/>
            </w:tcBorders>
          </w:tcPr>
          <w:p w14:paraId="0103198B" w14:textId="6F301304" w:rsidR="00396A39" w:rsidRPr="005516CD" w:rsidRDefault="00396A39" w:rsidP="00396A39">
            <w:pPr>
              <w:rPr>
                <w:rFonts w:asciiTheme="majorHAnsi" w:hAnsiTheme="majorHAnsi" w:cstheme="majorHAnsi"/>
                <w:sz w:val="20"/>
              </w:rPr>
            </w:pPr>
            <w:r>
              <w:rPr>
                <w:rFonts w:asciiTheme="majorHAnsi" w:hAnsiTheme="majorHAnsi" w:cstheme="majorHAnsi"/>
                <w:sz w:val="20"/>
              </w:rPr>
              <w:t xml:space="preserve">Value Chain strengthening strategies and exchange platform </w:t>
            </w:r>
            <w:proofErr w:type="spellStart"/>
            <w:r>
              <w:rPr>
                <w:rFonts w:asciiTheme="majorHAnsi" w:hAnsiTheme="majorHAnsi" w:cstheme="majorHAnsi"/>
                <w:sz w:val="20"/>
              </w:rPr>
              <w:t>etablishment</w:t>
            </w:r>
            <w:proofErr w:type="spellEnd"/>
          </w:p>
        </w:tc>
        <w:tc>
          <w:tcPr>
            <w:tcW w:w="1276" w:type="dxa"/>
            <w:tcBorders>
              <w:top w:val="single" w:sz="4" w:space="0" w:color="auto"/>
              <w:left w:val="single" w:sz="4" w:space="0" w:color="auto"/>
              <w:bottom w:val="single" w:sz="4" w:space="0" w:color="auto"/>
              <w:right w:val="single" w:sz="4" w:space="0" w:color="auto"/>
            </w:tcBorders>
          </w:tcPr>
          <w:p w14:paraId="6EF79481" w14:textId="71CB8110" w:rsidR="00396A39" w:rsidRDefault="00396A39" w:rsidP="00396A39">
            <w:pPr>
              <w:rPr>
                <w:rFonts w:asciiTheme="majorHAnsi" w:hAnsiTheme="majorHAnsi" w:cstheme="majorHAnsi"/>
                <w:sz w:val="20"/>
              </w:rPr>
            </w:pPr>
            <w:r>
              <w:rPr>
                <w:rFonts w:asciiTheme="majorHAnsi" w:hAnsiTheme="majorHAnsi" w:cstheme="majorHAnsi"/>
                <w:sz w:val="20"/>
              </w:rPr>
              <w:t>8</w:t>
            </w:r>
            <w:r w:rsidRPr="005516CD">
              <w:rPr>
                <w:rFonts w:asciiTheme="majorHAnsi" w:hAnsiTheme="majorHAnsi" w:cstheme="majorHAnsi"/>
                <w:sz w:val="20"/>
              </w:rPr>
              <w:t xml:space="preserve">0 days @ USD </w:t>
            </w:r>
            <w:r>
              <w:rPr>
                <w:rFonts w:asciiTheme="majorHAnsi" w:hAnsiTheme="majorHAnsi" w:cstheme="majorHAnsi"/>
                <w:sz w:val="20"/>
              </w:rPr>
              <w:t>6</w:t>
            </w:r>
            <w:r w:rsidRPr="005516CD">
              <w:rPr>
                <w:rFonts w:asciiTheme="majorHAnsi" w:hAnsiTheme="majorHAnsi" w:cstheme="majorHAnsi"/>
                <w:sz w:val="20"/>
              </w:rPr>
              <w:t>00</w:t>
            </w:r>
          </w:p>
        </w:tc>
        <w:tc>
          <w:tcPr>
            <w:tcW w:w="5670" w:type="dxa"/>
            <w:tcBorders>
              <w:top w:val="single" w:sz="4" w:space="0" w:color="auto"/>
              <w:left w:val="single" w:sz="4" w:space="0" w:color="auto"/>
              <w:bottom w:val="single" w:sz="4" w:space="0" w:color="auto"/>
              <w:right w:val="single" w:sz="4" w:space="0" w:color="auto"/>
            </w:tcBorders>
          </w:tcPr>
          <w:p w14:paraId="2B08FCBF" w14:textId="23E6B157" w:rsidR="00396A39" w:rsidRPr="005516CD" w:rsidRDefault="00396A39" w:rsidP="00396A39">
            <w:pPr>
              <w:contextualSpacing/>
              <w:rPr>
                <w:rFonts w:asciiTheme="majorHAnsi" w:hAnsiTheme="majorHAnsi"/>
                <w:sz w:val="20"/>
                <w:szCs w:val="20"/>
              </w:rPr>
            </w:pPr>
            <w:r w:rsidRPr="00AF5DDF">
              <w:rPr>
                <w:rFonts w:asciiTheme="majorHAnsi" w:hAnsiTheme="majorHAnsi"/>
                <w:sz w:val="20"/>
                <w:szCs w:val="20"/>
              </w:rPr>
              <w:t>Development of value chain strengthening strategies and establishment of an exchange platform between producers and buyers</w:t>
            </w:r>
          </w:p>
        </w:tc>
      </w:tr>
      <w:tr w:rsidR="00396A39" w:rsidRPr="005516CD" w14:paraId="6D06A3CC" w14:textId="77777777" w:rsidTr="00FB5829">
        <w:trPr>
          <w:trHeight w:val="65"/>
        </w:trPr>
        <w:tc>
          <w:tcPr>
            <w:tcW w:w="2342" w:type="dxa"/>
            <w:tcBorders>
              <w:top w:val="single" w:sz="4" w:space="0" w:color="auto"/>
              <w:left w:val="single" w:sz="4" w:space="0" w:color="auto"/>
              <w:bottom w:val="single" w:sz="4" w:space="0" w:color="auto"/>
              <w:right w:val="single" w:sz="4" w:space="0" w:color="auto"/>
            </w:tcBorders>
          </w:tcPr>
          <w:p w14:paraId="4C0A7C0B" w14:textId="538B6403" w:rsidR="00396A39" w:rsidRDefault="00396A39" w:rsidP="00396A39">
            <w:pPr>
              <w:rPr>
                <w:rFonts w:asciiTheme="majorHAnsi" w:hAnsiTheme="majorHAnsi" w:cstheme="majorHAnsi"/>
                <w:sz w:val="20"/>
              </w:rPr>
            </w:pPr>
            <w:r w:rsidRPr="005516CD">
              <w:rPr>
                <w:rFonts w:asciiTheme="majorHAnsi" w:hAnsiTheme="majorHAnsi" w:cstheme="majorHAnsi"/>
                <w:sz w:val="20"/>
              </w:rPr>
              <w:t>Environmental and Social Monitoring Specialist</w:t>
            </w:r>
          </w:p>
        </w:tc>
        <w:tc>
          <w:tcPr>
            <w:tcW w:w="1276" w:type="dxa"/>
            <w:tcBorders>
              <w:top w:val="single" w:sz="4" w:space="0" w:color="auto"/>
              <w:left w:val="single" w:sz="4" w:space="0" w:color="auto"/>
              <w:bottom w:val="single" w:sz="4" w:space="0" w:color="auto"/>
              <w:right w:val="single" w:sz="4" w:space="0" w:color="auto"/>
            </w:tcBorders>
          </w:tcPr>
          <w:p w14:paraId="49459F17" w14:textId="558F9CF2" w:rsidR="00396A39" w:rsidRDefault="00396A39" w:rsidP="00396A39">
            <w:pPr>
              <w:rPr>
                <w:rFonts w:asciiTheme="majorHAnsi" w:hAnsiTheme="majorHAnsi" w:cstheme="majorHAnsi"/>
                <w:sz w:val="20"/>
              </w:rPr>
            </w:pPr>
            <w:r>
              <w:rPr>
                <w:rFonts w:asciiTheme="majorHAnsi" w:hAnsiTheme="majorHAnsi" w:cstheme="majorHAnsi"/>
                <w:sz w:val="20"/>
              </w:rPr>
              <w:t>4</w:t>
            </w:r>
            <w:r w:rsidRPr="005516CD">
              <w:rPr>
                <w:rFonts w:asciiTheme="majorHAnsi" w:hAnsiTheme="majorHAnsi" w:cstheme="majorHAnsi"/>
                <w:sz w:val="20"/>
              </w:rPr>
              <w:t xml:space="preserve">0 days @ USD </w:t>
            </w:r>
            <w:r>
              <w:rPr>
                <w:rFonts w:asciiTheme="majorHAnsi" w:hAnsiTheme="majorHAnsi" w:cstheme="majorHAnsi"/>
                <w:sz w:val="20"/>
              </w:rPr>
              <w:t>6</w:t>
            </w:r>
            <w:r w:rsidRPr="005516CD">
              <w:rPr>
                <w:rFonts w:asciiTheme="majorHAnsi" w:hAnsiTheme="majorHAnsi" w:cstheme="majorHAnsi"/>
                <w:sz w:val="20"/>
              </w:rPr>
              <w:t>00</w:t>
            </w:r>
          </w:p>
        </w:tc>
        <w:tc>
          <w:tcPr>
            <w:tcW w:w="5670" w:type="dxa"/>
            <w:tcBorders>
              <w:top w:val="single" w:sz="4" w:space="0" w:color="auto"/>
              <w:left w:val="single" w:sz="4" w:space="0" w:color="auto"/>
              <w:bottom w:val="single" w:sz="4" w:space="0" w:color="auto"/>
              <w:right w:val="single" w:sz="4" w:space="0" w:color="auto"/>
            </w:tcBorders>
          </w:tcPr>
          <w:p w14:paraId="0EF5212E" w14:textId="340DCF6C" w:rsidR="00396A39" w:rsidRPr="00AF5DDF" w:rsidRDefault="00396A39" w:rsidP="00396A39">
            <w:pPr>
              <w:contextualSpacing/>
              <w:rPr>
                <w:rFonts w:asciiTheme="majorHAnsi" w:hAnsiTheme="majorHAnsi"/>
                <w:sz w:val="20"/>
                <w:szCs w:val="20"/>
              </w:rPr>
            </w:pPr>
            <w:r w:rsidRPr="005516CD">
              <w:rPr>
                <w:rFonts w:asciiTheme="majorHAnsi" w:hAnsiTheme="majorHAnsi" w:cstheme="majorHAnsi"/>
                <w:sz w:val="20"/>
              </w:rPr>
              <w:t>Support to the development and implementation of the Environmental and Social Monitoring Framework (ESMF)</w:t>
            </w:r>
          </w:p>
        </w:tc>
      </w:tr>
      <w:bookmarkEnd w:id="105"/>
    </w:tbl>
    <w:p w14:paraId="588F8B6B" w14:textId="77777777" w:rsidR="00E04B8B" w:rsidRPr="005516CD" w:rsidRDefault="00E04B8B" w:rsidP="007B146B">
      <w:pPr>
        <w:pStyle w:val="Body"/>
        <w:sectPr w:rsidR="00E04B8B" w:rsidRPr="005516CD" w:rsidSect="00FB5829">
          <w:pgSz w:w="11900" w:h="16840"/>
          <w:pgMar w:top="1440" w:right="1440" w:bottom="1440" w:left="1440" w:header="708" w:footer="432" w:gutter="0"/>
          <w:cols w:space="720"/>
          <w:docGrid w:linePitch="326"/>
        </w:sectPr>
      </w:pPr>
    </w:p>
    <w:p w14:paraId="15E45A85" w14:textId="77777777" w:rsidR="001771FE" w:rsidRPr="003B2210" w:rsidRDefault="00045B04" w:rsidP="00FB5829">
      <w:pPr>
        <w:pStyle w:val="Heading2"/>
        <w:numPr>
          <w:ilvl w:val="0"/>
          <w:numId w:val="30"/>
        </w:numPr>
        <w:spacing w:after="0"/>
        <w:ind w:left="0" w:firstLine="0"/>
        <w:rPr>
          <w:rStyle w:val="None"/>
          <w:rFonts w:asciiTheme="majorHAnsi" w:hAnsiTheme="majorHAnsi"/>
          <w:sz w:val="22"/>
        </w:rPr>
      </w:pPr>
      <w:bookmarkStart w:id="106" w:name="_Toc8933110"/>
      <w:r w:rsidRPr="003B2210">
        <w:rPr>
          <w:rStyle w:val="None"/>
          <w:rFonts w:asciiTheme="majorHAnsi" w:hAnsiTheme="majorHAnsi"/>
          <w:sz w:val="22"/>
        </w:rPr>
        <w:t>Terms of Reference</w:t>
      </w:r>
      <w:bookmarkEnd w:id="106"/>
    </w:p>
    <w:p w14:paraId="74716134" w14:textId="77777777" w:rsidR="001771FE" w:rsidRPr="005516CD" w:rsidRDefault="001771FE" w:rsidP="007B146B">
      <w:pPr>
        <w:pStyle w:val="ListParagraph"/>
        <w:rPr>
          <w:rFonts w:ascii="Calibri" w:eastAsia="Calibri" w:hAnsi="Calibri" w:cs="Calibri"/>
          <w:sz w:val="20"/>
          <w:szCs w:val="20"/>
        </w:rPr>
      </w:pPr>
    </w:p>
    <w:p w14:paraId="3CAAED45" w14:textId="25CC54B0" w:rsidR="002A5BF0" w:rsidRPr="008244FA" w:rsidRDefault="007F6480" w:rsidP="003B2210">
      <w:pPr>
        <w:pStyle w:val="Body"/>
        <w:numPr>
          <w:ilvl w:val="1"/>
          <w:numId w:val="164"/>
        </w:numPr>
        <w:ind w:left="567"/>
        <w:rPr>
          <w:rStyle w:val="None"/>
          <w:rFonts w:ascii="Times New Roman" w:eastAsia="Arial Unicode MS" w:hAnsi="Times New Roman" w:cs="Arial Unicode MS"/>
          <w:b/>
          <w:bCs/>
          <w:color w:val="auto"/>
          <w:sz w:val="24"/>
          <w:szCs w:val="24"/>
          <w:highlight w:val="cyan"/>
          <w:u w:val="single"/>
          <w:bdr w:val="none" w:sz="0" w:space="0" w:color="auto"/>
          <w:lang w:val="en-US"/>
        </w:rPr>
      </w:pPr>
      <w:r>
        <w:rPr>
          <w:rStyle w:val="None"/>
          <w:b/>
          <w:bCs/>
          <w:highlight w:val="cyan"/>
          <w:u w:val="single"/>
          <w:lang w:val="nl-NL"/>
        </w:rPr>
        <w:t>Project</w:t>
      </w:r>
      <w:r w:rsidR="00C0407C" w:rsidRPr="008244FA">
        <w:rPr>
          <w:rStyle w:val="None"/>
          <w:b/>
          <w:bCs/>
          <w:highlight w:val="cyan"/>
          <w:u w:val="single"/>
          <w:lang w:val="nl-NL"/>
        </w:rPr>
        <w:t xml:space="preserve"> Officer </w:t>
      </w:r>
      <w:r w:rsidR="00201734">
        <w:rPr>
          <w:rStyle w:val="None"/>
          <w:b/>
          <w:bCs/>
          <w:highlight w:val="cyan"/>
          <w:u w:val="single"/>
          <w:lang w:val="nl-NL"/>
        </w:rPr>
        <w:t>(PO)</w:t>
      </w:r>
    </w:p>
    <w:p w14:paraId="045D40C5" w14:textId="5B621A1B" w:rsidR="00C25542" w:rsidRPr="005516CD" w:rsidRDefault="00C25542" w:rsidP="001E6E8C">
      <w:pPr>
        <w:pStyle w:val="Body"/>
        <w:spacing w:after="120"/>
        <w:rPr>
          <w:rStyle w:val="None"/>
          <w:bCs/>
          <w:lang w:val="nl-NL"/>
        </w:rPr>
      </w:pPr>
      <w:r w:rsidRPr="005516CD">
        <w:rPr>
          <w:rStyle w:val="None"/>
          <w:bCs/>
          <w:lang w:val="nl-NL"/>
        </w:rPr>
        <w:t xml:space="preserve">The </w:t>
      </w:r>
      <w:r w:rsidR="007F6480">
        <w:rPr>
          <w:rStyle w:val="None"/>
          <w:bCs/>
          <w:lang w:val="nl-NL"/>
        </w:rPr>
        <w:t>Project</w:t>
      </w:r>
      <w:r w:rsidR="00C0407C">
        <w:rPr>
          <w:rStyle w:val="None"/>
          <w:bCs/>
          <w:lang w:val="nl-NL"/>
        </w:rPr>
        <w:t xml:space="preserve"> Officer</w:t>
      </w:r>
      <w:r w:rsidRPr="005516CD">
        <w:rPr>
          <w:rStyle w:val="None"/>
          <w:bCs/>
          <w:lang w:val="nl-NL"/>
        </w:rPr>
        <w:t xml:space="preserve"> will be locally recruited following UNDP procedure, with input to the selection process from the Project partners. The position will be appointed by the project implementing agencies and funded entirely from the </w:t>
      </w:r>
      <w:r w:rsidR="00C0407C">
        <w:rPr>
          <w:rStyle w:val="None"/>
          <w:bCs/>
          <w:lang w:val="nl-NL"/>
        </w:rPr>
        <w:t>UNDP cofinancing to the project</w:t>
      </w:r>
      <w:r w:rsidRPr="005516CD">
        <w:rPr>
          <w:rStyle w:val="None"/>
          <w:bCs/>
          <w:lang w:val="nl-NL"/>
        </w:rPr>
        <w:t xml:space="preserve">. The </w:t>
      </w:r>
      <w:r w:rsidR="007F6480">
        <w:rPr>
          <w:rStyle w:val="None"/>
          <w:bCs/>
          <w:lang w:val="nl-NL"/>
        </w:rPr>
        <w:t xml:space="preserve">Project </w:t>
      </w:r>
      <w:r w:rsidR="00C0407C">
        <w:rPr>
          <w:rStyle w:val="None"/>
          <w:bCs/>
          <w:lang w:val="nl-NL"/>
        </w:rPr>
        <w:t>Officer</w:t>
      </w:r>
      <w:r w:rsidR="00C0407C" w:rsidRPr="005516CD">
        <w:rPr>
          <w:rStyle w:val="None"/>
          <w:bCs/>
          <w:lang w:val="nl-NL"/>
        </w:rPr>
        <w:t xml:space="preserve"> </w:t>
      </w:r>
      <w:r w:rsidR="009635DC">
        <w:rPr>
          <w:rStyle w:val="None"/>
          <w:bCs/>
          <w:lang w:val="nl-NL"/>
        </w:rPr>
        <w:t>in collaboration with the technical As</w:t>
      </w:r>
      <w:r w:rsidR="00A33AE5">
        <w:rPr>
          <w:rStyle w:val="None"/>
          <w:bCs/>
          <w:lang w:val="nl-NL"/>
        </w:rPr>
        <w:t xml:space="preserve">sistant </w:t>
      </w:r>
      <w:r w:rsidRPr="005516CD">
        <w:rPr>
          <w:rStyle w:val="None"/>
          <w:bCs/>
          <w:lang w:val="nl-NL"/>
        </w:rPr>
        <w:t xml:space="preserve">will be responsible for the overall management of the Project, including the mobilisation of all project inputs, supervision over project staff, consultants and sub-contractors. </w:t>
      </w:r>
      <w:r w:rsidR="002C07D1" w:rsidRPr="005516CD">
        <w:rPr>
          <w:rStyle w:val="None"/>
          <w:bCs/>
          <w:lang w:val="nl-NL"/>
        </w:rPr>
        <w:t xml:space="preserve">The </w:t>
      </w:r>
      <w:r w:rsidR="007F6480">
        <w:rPr>
          <w:rStyle w:val="None"/>
          <w:bCs/>
          <w:lang w:val="nl-NL"/>
        </w:rPr>
        <w:t xml:space="preserve">Project </w:t>
      </w:r>
      <w:r w:rsidR="00C0407C">
        <w:rPr>
          <w:rStyle w:val="None"/>
          <w:bCs/>
          <w:lang w:val="nl-NL"/>
        </w:rPr>
        <w:t>Officer</w:t>
      </w:r>
      <w:r w:rsidR="00C0407C" w:rsidRPr="005516CD">
        <w:rPr>
          <w:rStyle w:val="None"/>
          <w:bCs/>
          <w:lang w:val="nl-NL"/>
        </w:rPr>
        <w:t xml:space="preserve"> </w:t>
      </w:r>
      <w:r w:rsidR="002C07D1" w:rsidRPr="005516CD">
        <w:rPr>
          <w:rStyle w:val="None"/>
          <w:bCs/>
          <w:lang w:val="nl-NL"/>
        </w:rPr>
        <w:t>will report to</w:t>
      </w:r>
      <w:r w:rsidR="00CC43AF" w:rsidRPr="005516CD">
        <w:rPr>
          <w:rStyle w:val="None"/>
          <w:bCs/>
          <w:lang w:val="nl-NL"/>
        </w:rPr>
        <w:t xml:space="preserve"> </w:t>
      </w:r>
      <w:r w:rsidR="002C07D1" w:rsidRPr="005516CD">
        <w:rPr>
          <w:rStyle w:val="None"/>
          <w:bCs/>
          <w:lang w:val="nl-NL"/>
        </w:rPr>
        <w:t xml:space="preserve">the assigned UNDP Programme Manager in close consultation with the NPD for all of the Project’s substantive and administrative issues. </w:t>
      </w:r>
      <w:r w:rsidRPr="005516CD">
        <w:rPr>
          <w:rStyle w:val="None"/>
          <w:bCs/>
          <w:lang w:val="nl-NL"/>
        </w:rPr>
        <w:t xml:space="preserve"> From the strategic point of view of the Project, the </w:t>
      </w:r>
      <w:r w:rsidR="007F6480">
        <w:rPr>
          <w:rStyle w:val="None"/>
          <w:bCs/>
          <w:lang w:val="nl-NL"/>
        </w:rPr>
        <w:t xml:space="preserve">Project </w:t>
      </w:r>
      <w:r w:rsidR="00C0407C">
        <w:rPr>
          <w:rStyle w:val="None"/>
          <w:bCs/>
          <w:lang w:val="nl-NL"/>
        </w:rPr>
        <w:t>Officer</w:t>
      </w:r>
      <w:r w:rsidR="00C0407C" w:rsidRPr="005516CD">
        <w:rPr>
          <w:rStyle w:val="None"/>
          <w:bCs/>
          <w:lang w:val="nl-NL"/>
        </w:rPr>
        <w:t xml:space="preserve"> </w:t>
      </w:r>
      <w:r w:rsidRPr="005516CD">
        <w:rPr>
          <w:rStyle w:val="None"/>
          <w:bCs/>
          <w:lang w:val="nl-NL"/>
        </w:rPr>
        <w:t>will report on a periodic basis to the Project Board, based on the P</w:t>
      </w:r>
      <w:r w:rsidR="00A33AE5">
        <w:rPr>
          <w:rStyle w:val="None"/>
          <w:bCs/>
          <w:lang w:val="nl-NL"/>
        </w:rPr>
        <w:t xml:space="preserve">roject </w:t>
      </w:r>
      <w:r w:rsidRPr="005516CD">
        <w:rPr>
          <w:rStyle w:val="None"/>
          <w:bCs/>
          <w:lang w:val="nl-NL"/>
        </w:rPr>
        <w:t>D</w:t>
      </w:r>
      <w:r w:rsidR="00A33AE5">
        <w:rPr>
          <w:rStyle w:val="None"/>
          <w:bCs/>
          <w:lang w:val="nl-NL"/>
        </w:rPr>
        <w:t>irector</w:t>
      </w:r>
      <w:r w:rsidRPr="005516CD">
        <w:rPr>
          <w:rStyle w:val="None"/>
          <w:bCs/>
          <w:lang w:val="nl-NL"/>
        </w:rPr>
        <w:t xml:space="preserve">’s instruction. Generally, the </w:t>
      </w:r>
      <w:r w:rsidR="007F6480">
        <w:rPr>
          <w:rStyle w:val="None"/>
          <w:bCs/>
          <w:lang w:val="nl-NL"/>
        </w:rPr>
        <w:t xml:space="preserve">Project </w:t>
      </w:r>
      <w:r w:rsidR="00C0407C">
        <w:rPr>
          <w:rStyle w:val="None"/>
          <w:bCs/>
          <w:lang w:val="nl-NL"/>
        </w:rPr>
        <w:t>Officer</w:t>
      </w:r>
      <w:r w:rsidR="00C0407C" w:rsidRPr="005516CD">
        <w:rPr>
          <w:rStyle w:val="None"/>
          <w:bCs/>
          <w:lang w:val="nl-NL"/>
        </w:rPr>
        <w:t xml:space="preserve"> </w:t>
      </w:r>
      <w:r w:rsidRPr="005516CD">
        <w:rPr>
          <w:rStyle w:val="None"/>
          <w:bCs/>
          <w:lang w:val="nl-NL"/>
        </w:rPr>
        <w:t>will support the P</w:t>
      </w:r>
      <w:r w:rsidR="00A33AE5">
        <w:rPr>
          <w:rStyle w:val="None"/>
          <w:bCs/>
          <w:lang w:val="nl-NL"/>
        </w:rPr>
        <w:t xml:space="preserve">roject </w:t>
      </w:r>
      <w:r w:rsidRPr="005516CD">
        <w:rPr>
          <w:rStyle w:val="None"/>
          <w:bCs/>
          <w:lang w:val="nl-NL"/>
        </w:rPr>
        <w:t>D</w:t>
      </w:r>
      <w:r w:rsidR="00A33AE5">
        <w:rPr>
          <w:rStyle w:val="None"/>
          <w:bCs/>
          <w:lang w:val="nl-NL"/>
        </w:rPr>
        <w:t>irector</w:t>
      </w:r>
      <w:r w:rsidRPr="005516CD">
        <w:rPr>
          <w:rStyle w:val="None"/>
          <w:bCs/>
          <w:lang w:val="nl-NL"/>
        </w:rPr>
        <w:t xml:space="preserve"> who will be responsible for meeting government obligations under the Project</w:t>
      </w:r>
      <w:r w:rsidR="00A33AE5">
        <w:rPr>
          <w:rStyle w:val="None"/>
          <w:bCs/>
          <w:lang w:val="nl-NL"/>
        </w:rPr>
        <w:t>’s</w:t>
      </w:r>
      <w:r w:rsidRPr="005516CD">
        <w:rPr>
          <w:rStyle w:val="None"/>
          <w:bCs/>
          <w:lang w:val="nl-NL"/>
        </w:rPr>
        <w:t xml:space="preserve"> NIM execution modality. The </w:t>
      </w:r>
      <w:r w:rsidR="007F6480">
        <w:rPr>
          <w:rStyle w:val="None"/>
          <w:bCs/>
          <w:lang w:val="nl-NL"/>
        </w:rPr>
        <w:t xml:space="preserve">Project </w:t>
      </w:r>
      <w:r w:rsidR="00A33AE5">
        <w:rPr>
          <w:rStyle w:val="None"/>
          <w:bCs/>
          <w:lang w:val="nl-NL"/>
        </w:rPr>
        <w:t>Officer</w:t>
      </w:r>
      <w:r w:rsidR="00A33AE5" w:rsidRPr="005516CD">
        <w:rPr>
          <w:rStyle w:val="None"/>
          <w:bCs/>
          <w:lang w:val="nl-NL"/>
        </w:rPr>
        <w:t xml:space="preserve"> </w:t>
      </w:r>
      <w:r w:rsidRPr="005516CD">
        <w:rPr>
          <w:rStyle w:val="None"/>
          <w:bCs/>
          <w:lang w:val="nl-NL"/>
        </w:rPr>
        <w:t xml:space="preserve">will perform a liaison role with the government, UNDP and other UN agencies, CSOs and project partners, and maintain close collaboration with other donor agencies providing co-financing. The </w:t>
      </w:r>
      <w:r w:rsidR="007F6480">
        <w:rPr>
          <w:rStyle w:val="None"/>
          <w:bCs/>
          <w:lang w:val="nl-NL"/>
        </w:rPr>
        <w:t xml:space="preserve">Project </w:t>
      </w:r>
      <w:r w:rsidR="00C31A4B">
        <w:rPr>
          <w:rStyle w:val="None"/>
          <w:bCs/>
          <w:lang w:val="nl-NL"/>
        </w:rPr>
        <w:t>Officer</w:t>
      </w:r>
      <w:r w:rsidR="00C31A4B" w:rsidRPr="005516CD">
        <w:rPr>
          <w:rStyle w:val="None"/>
          <w:bCs/>
          <w:lang w:val="nl-NL"/>
        </w:rPr>
        <w:t xml:space="preserve"> </w:t>
      </w:r>
      <w:r w:rsidRPr="005516CD">
        <w:rPr>
          <w:rStyle w:val="None"/>
          <w:bCs/>
          <w:lang w:val="nl-NL"/>
        </w:rPr>
        <w:t>will work closely with the Project Implementation Unit Coordinators.</w:t>
      </w:r>
    </w:p>
    <w:p w14:paraId="088A6ABC" w14:textId="77777777" w:rsidR="00C25542" w:rsidRPr="003B2210" w:rsidRDefault="00C25542" w:rsidP="001E6E8C">
      <w:pPr>
        <w:pStyle w:val="Body"/>
        <w:spacing w:after="0"/>
        <w:rPr>
          <w:i/>
          <w:lang w:val="en-US"/>
        </w:rPr>
      </w:pPr>
      <w:r w:rsidRPr="003B2210">
        <w:rPr>
          <w:i/>
          <w:lang w:val="en-US"/>
        </w:rPr>
        <w:t>Responsibilities</w:t>
      </w:r>
    </w:p>
    <w:p w14:paraId="412D655F" w14:textId="59DFD513" w:rsidR="002A5BF0" w:rsidRPr="005516CD" w:rsidRDefault="007A137F" w:rsidP="002A5BF0">
      <w:pPr>
        <w:pStyle w:val="Body"/>
      </w:pPr>
      <w:r w:rsidRPr="005516CD">
        <w:t xml:space="preserve">Under the authority of the </w:t>
      </w:r>
      <w:r>
        <w:t xml:space="preserve">Deputy </w:t>
      </w:r>
      <w:proofErr w:type="spellStart"/>
      <w:r>
        <w:t>Res.Rep</w:t>
      </w:r>
      <w:proofErr w:type="spellEnd"/>
      <w:r>
        <w:t>.</w:t>
      </w:r>
      <w:r w:rsidRPr="005516CD">
        <w:t xml:space="preserve"> and the Head of the Resilience Unit</w:t>
      </w:r>
      <w:r>
        <w:t xml:space="preserve">, and </w:t>
      </w:r>
      <w:proofErr w:type="spellStart"/>
      <w:r>
        <w:t>i</w:t>
      </w:r>
      <w:proofErr w:type="spellEnd"/>
      <w:r w:rsidR="006D70DB" w:rsidRPr="005516CD">
        <w:rPr>
          <w:lang w:val="en-US"/>
        </w:rPr>
        <w:t xml:space="preserve">n close collaboration with the National Project </w:t>
      </w:r>
      <w:proofErr w:type="spellStart"/>
      <w:r w:rsidR="006D70DB" w:rsidRPr="005516CD">
        <w:rPr>
          <w:lang w:val="en-US"/>
        </w:rPr>
        <w:t>Directo</w:t>
      </w:r>
      <w:proofErr w:type="spellEnd"/>
      <w:r w:rsidR="006D70DB" w:rsidRPr="005516CD">
        <w:rPr>
          <w:lang w:val="en-US"/>
        </w:rPr>
        <w:t xml:space="preserve"> (NPD), the P</w:t>
      </w:r>
      <w:r w:rsidR="007F6480">
        <w:rPr>
          <w:lang w:val="en-US"/>
        </w:rPr>
        <w:t>O</w:t>
      </w:r>
      <w:r w:rsidR="006D70DB" w:rsidRPr="005516CD">
        <w:rPr>
          <w:lang w:val="en-US"/>
        </w:rPr>
        <w:t xml:space="preserve"> will have the following responsibilities</w:t>
      </w:r>
      <w:r w:rsidR="002A5BF0" w:rsidRPr="005516CD">
        <w:rPr>
          <w:lang w:val="en-US"/>
        </w:rPr>
        <w:t>:</w:t>
      </w:r>
    </w:p>
    <w:p w14:paraId="0596B466" w14:textId="77777777" w:rsidR="002A5BF0" w:rsidRPr="005516CD" w:rsidRDefault="002A5BF0" w:rsidP="002A5BF0">
      <w:pPr>
        <w:pStyle w:val="Body"/>
        <w:numPr>
          <w:ilvl w:val="0"/>
          <w:numId w:val="137"/>
        </w:numPr>
        <w:spacing w:after="0"/>
        <w:rPr>
          <w:lang w:val="en-US"/>
        </w:rPr>
      </w:pPr>
      <w:r w:rsidRPr="005516CD">
        <w:rPr>
          <w:lang w:val="en-US"/>
        </w:rPr>
        <w:t>Coordination of project actions, in compliance with Annual Work Plans and Budgets (APWBs).</w:t>
      </w:r>
    </w:p>
    <w:p w14:paraId="01935A17" w14:textId="77777777" w:rsidR="002A5BF0" w:rsidRPr="005516CD" w:rsidRDefault="002A5BF0" w:rsidP="002A5BF0">
      <w:pPr>
        <w:pStyle w:val="Body"/>
        <w:numPr>
          <w:ilvl w:val="0"/>
          <w:numId w:val="137"/>
        </w:numPr>
        <w:spacing w:after="0"/>
        <w:rPr>
          <w:lang w:val="en-US"/>
        </w:rPr>
      </w:pPr>
      <w:r w:rsidRPr="005516CD">
        <w:rPr>
          <w:lang w:val="en-US"/>
        </w:rPr>
        <w:t>Supervision of the activities of the technical members of the Project Management Unit (PMU), thereby ensuring their relevance, effectiveness and efficiency.</w:t>
      </w:r>
    </w:p>
    <w:p w14:paraId="0CF3DE34" w14:textId="77777777" w:rsidR="002A5BF0" w:rsidRPr="005516CD" w:rsidRDefault="002A5BF0" w:rsidP="002A5BF0">
      <w:pPr>
        <w:pStyle w:val="Body"/>
        <w:numPr>
          <w:ilvl w:val="0"/>
          <w:numId w:val="137"/>
        </w:numPr>
        <w:spacing w:after="0"/>
        <w:rPr>
          <w:lang w:val="en-US"/>
        </w:rPr>
      </w:pPr>
      <w:r w:rsidRPr="005516CD">
        <w:rPr>
          <w:lang w:val="en-US"/>
        </w:rPr>
        <w:t>Preparation of terms of reference for external consultants contracted by the project, supervision and coordination of their work, and review and approval of their products.</w:t>
      </w:r>
    </w:p>
    <w:p w14:paraId="02A02D10" w14:textId="77777777" w:rsidR="002A5BF0" w:rsidRPr="005516CD" w:rsidRDefault="002A5BF0" w:rsidP="002A5BF0">
      <w:pPr>
        <w:pStyle w:val="Body"/>
        <w:numPr>
          <w:ilvl w:val="0"/>
          <w:numId w:val="137"/>
        </w:numPr>
        <w:spacing w:after="0"/>
        <w:rPr>
          <w:lang w:val="en-US"/>
        </w:rPr>
      </w:pPr>
      <w:r w:rsidRPr="005516CD">
        <w:rPr>
          <w:lang w:val="en-US"/>
        </w:rPr>
        <w:t>Ensuring that the project is implemented with the full participation of local actors and that functioning mechanisms exist that ensure that their interests are taken into account, communicated and reflected in the implementation of the project.</w:t>
      </w:r>
    </w:p>
    <w:p w14:paraId="55ED7852" w14:textId="77777777" w:rsidR="002A5BF0" w:rsidRPr="005516CD" w:rsidRDefault="002A5BF0" w:rsidP="002A5BF0">
      <w:pPr>
        <w:pStyle w:val="Body"/>
        <w:numPr>
          <w:ilvl w:val="0"/>
          <w:numId w:val="137"/>
        </w:numPr>
        <w:spacing w:after="0"/>
        <w:rPr>
          <w:lang w:val="en-US"/>
        </w:rPr>
      </w:pPr>
      <w:r w:rsidRPr="005516CD">
        <w:rPr>
          <w:lang w:val="en-US"/>
        </w:rPr>
        <w:t>Promotion of the coordinated participation of Government institutions and NGOs, at central and local levels, in project implementation.</w:t>
      </w:r>
    </w:p>
    <w:p w14:paraId="122DB826" w14:textId="77777777" w:rsidR="002A5BF0" w:rsidRPr="005516CD" w:rsidRDefault="002A5BF0" w:rsidP="002A5BF0">
      <w:pPr>
        <w:pStyle w:val="Body"/>
        <w:numPr>
          <w:ilvl w:val="0"/>
          <w:numId w:val="137"/>
        </w:numPr>
        <w:spacing w:after="0"/>
        <w:rPr>
          <w:lang w:val="en-US"/>
        </w:rPr>
      </w:pPr>
      <w:r w:rsidRPr="005516CD">
        <w:rPr>
          <w:lang w:val="en-US"/>
        </w:rPr>
        <w:t>Realization of continuous and periodic monitoring of project impacts, in relation to the achievements foreseen in the APWBs and the impacts foreseen in the project results framework.</w:t>
      </w:r>
    </w:p>
    <w:p w14:paraId="7EFE4E23" w14:textId="790B5729" w:rsidR="002A5BF0" w:rsidRPr="005516CD" w:rsidRDefault="002A5BF0" w:rsidP="002A5BF0">
      <w:pPr>
        <w:pStyle w:val="Body"/>
        <w:numPr>
          <w:ilvl w:val="0"/>
          <w:numId w:val="137"/>
        </w:numPr>
        <w:spacing w:after="0"/>
        <w:rPr>
          <w:lang w:val="en-US"/>
        </w:rPr>
      </w:pPr>
      <w:r w:rsidRPr="005516CD">
        <w:rPr>
          <w:lang w:val="en-US"/>
        </w:rPr>
        <w:t xml:space="preserve">In communication with the NPD, ensuring that the project is implemented in accordance with the policies and plans of </w:t>
      </w:r>
      <w:proofErr w:type="spellStart"/>
      <w:r w:rsidRPr="005516CD">
        <w:rPr>
          <w:lang w:val="en-US"/>
        </w:rPr>
        <w:t>M</w:t>
      </w:r>
      <w:r w:rsidR="00A644A2">
        <w:rPr>
          <w:lang w:val="en-US"/>
        </w:rPr>
        <w:t>o</w:t>
      </w:r>
      <w:r w:rsidRPr="005516CD">
        <w:rPr>
          <w:lang w:val="en-US"/>
        </w:rPr>
        <w:t>E</w:t>
      </w:r>
      <w:proofErr w:type="spellEnd"/>
      <w:r w:rsidRPr="005516CD">
        <w:rPr>
          <w:lang w:val="en-US"/>
        </w:rPr>
        <w:t>, as Executing Agency.</w:t>
      </w:r>
    </w:p>
    <w:p w14:paraId="7D0887BA" w14:textId="77777777" w:rsidR="002A5BF0" w:rsidRPr="005516CD" w:rsidRDefault="002A5BF0" w:rsidP="002A5BF0">
      <w:pPr>
        <w:pStyle w:val="Body"/>
        <w:numPr>
          <w:ilvl w:val="0"/>
          <w:numId w:val="137"/>
        </w:numPr>
        <w:spacing w:after="0"/>
        <w:rPr>
          <w:lang w:val="en-US"/>
        </w:rPr>
      </w:pPr>
      <w:r w:rsidRPr="005516CD">
        <w:rPr>
          <w:lang w:val="en-US"/>
        </w:rPr>
        <w:t>In communication with the Programme Official of UNDP, ensuring that the project is implemented in accordance with the United Nations Development Assistance Framework (UNDAF) in Haiti.</w:t>
      </w:r>
    </w:p>
    <w:p w14:paraId="4B4BE3E1" w14:textId="77777777" w:rsidR="002A5BF0" w:rsidRPr="005516CD" w:rsidRDefault="002A5BF0" w:rsidP="002A5BF0">
      <w:pPr>
        <w:pStyle w:val="Body"/>
        <w:numPr>
          <w:ilvl w:val="0"/>
          <w:numId w:val="137"/>
        </w:numPr>
        <w:spacing w:after="0"/>
        <w:rPr>
          <w:lang w:val="en-US"/>
        </w:rPr>
      </w:pPr>
      <w:r w:rsidRPr="005516CD">
        <w:rPr>
          <w:lang w:val="en-US"/>
        </w:rPr>
        <w:t>Identification and promotion opportunities for actions by other agencies of the UN system in the project areas.</w:t>
      </w:r>
    </w:p>
    <w:p w14:paraId="39720B93" w14:textId="77777777" w:rsidR="002A5BF0" w:rsidRPr="005516CD" w:rsidRDefault="002A5BF0" w:rsidP="002A5BF0">
      <w:pPr>
        <w:pStyle w:val="Body"/>
        <w:numPr>
          <w:ilvl w:val="0"/>
          <w:numId w:val="137"/>
        </w:numPr>
        <w:spacing w:after="0"/>
        <w:rPr>
          <w:lang w:val="en-US"/>
        </w:rPr>
      </w:pPr>
      <w:r w:rsidRPr="005516CD">
        <w:rPr>
          <w:lang w:val="en-US"/>
        </w:rPr>
        <w:t>Ensuring that a cross-cutting gender focus is incorporated into the actions of the project.</w:t>
      </w:r>
    </w:p>
    <w:p w14:paraId="6732E243" w14:textId="77777777" w:rsidR="002A5BF0" w:rsidRPr="005516CD" w:rsidRDefault="002A5BF0" w:rsidP="002A5BF0">
      <w:pPr>
        <w:pStyle w:val="Body"/>
        <w:numPr>
          <w:ilvl w:val="0"/>
          <w:numId w:val="137"/>
        </w:numPr>
        <w:spacing w:after="0"/>
        <w:rPr>
          <w:lang w:val="en-US"/>
        </w:rPr>
      </w:pPr>
      <w:r w:rsidRPr="005516CD">
        <w:rPr>
          <w:lang w:val="en-US"/>
        </w:rPr>
        <w:t>Together with UNDP, preparation of Periodic Implementation Reports (PIRs), detailing project progress, to be presented to GEF.</w:t>
      </w:r>
    </w:p>
    <w:p w14:paraId="261F18B5" w14:textId="77777777" w:rsidR="002A5BF0" w:rsidRPr="005516CD" w:rsidRDefault="002A5BF0" w:rsidP="002A5BF0">
      <w:pPr>
        <w:pStyle w:val="Body"/>
        <w:numPr>
          <w:ilvl w:val="0"/>
          <w:numId w:val="137"/>
        </w:numPr>
        <w:spacing w:after="0"/>
        <w:rPr>
          <w:lang w:val="en-US"/>
        </w:rPr>
      </w:pPr>
      <w:r w:rsidRPr="005516CD">
        <w:rPr>
          <w:lang w:val="en-US"/>
        </w:rPr>
        <w:t xml:space="preserve">Together with UNDP and the project team and in discussion with local stakeholders, preparation of APWBs for approval by the </w:t>
      </w:r>
      <w:r w:rsidR="00FC54E4" w:rsidRPr="005516CD">
        <w:rPr>
          <w:lang w:val="en-US"/>
        </w:rPr>
        <w:t xml:space="preserve">Project Steering Committee </w:t>
      </w:r>
      <w:r w:rsidRPr="005516CD">
        <w:rPr>
          <w:lang w:val="en-US"/>
        </w:rPr>
        <w:t>and the GEF.</w:t>
      </w:r>
    </w:p>
    <w:p w14:paraId="12038E9B" w14:textId="77777777" w:rsidR="002A5BF0" w:rsidRPr="005516CD" w:rsidRDefault="002A5BF0" w:rsidP="002A5BF0">
      <w:pPr>
        <w:pStyle w:val="Body"/>
        <w:numPr>
          <w:ilvl w:val="0"/>
          <w:numId w:val="137"/>
        </w:numPr>
        <w:spacing w:after="0"/>
        <w:rPr>
          <w:lang w:val="en-US"/>
        </w:rPr>
      </w:pPr>
      <w:r w:rsidRPr="005516CD">
        <w:rPr>
          <w:lang w:val="en-US"/>
        </w:rPr>
        <w:t>With support from the project administrative team, ensuring efficient and transparent execution of financial and physical resources, in conformity with the rules of the Government, GEF and UNDP.</w:t>
      </w:r>
    </w:p>
    <w:p w14:paraId="2D82824A" w14:textId="77777777" w:rsidR="002A5BF0" w:rsidRPr="005516CD" w:rsidRDefault="002A5BF0" w:rsidP="002A5BF0">
      <w:pPr>
        <w:pStyle w:val="Body"/>
        <w:numPr>
          <w:ilvl w:val="0"/>
          <w:numId w:val="137"/>
        </w:numPr>
        <w:spacing w:after="0"/>
        <w:rPr>
          <w:lang w:val="en-US"/>
        </w:rPr>
      </w:pPr>
      <w:r w:rsidRPr="005516CD">
        <w:rPr>
          <w:lang w:val="en-US"/>
        </w:rPr>
        <w:t>Design and implementation of professional development plans for the members for the PMU.</w:t>
      </w:r>
    </w:p>
    <w:p w14:paraId="02CD0A48" w14:textId="77777777" w:rsidR="002A5BF0" w:rsidRPr="005516CD" w:rsidRDefault="002A5BF0" w:rsidP="002A5BF0">
      <w:pPr>
        <w:pStyle w:val="Body"/>
        <w:numPr>
          <w:ilvl w:val="0"/>
          <w:numId w:val="137"/>
        </w:numPr>
        <w:spacing w:after="0"/>
        <w:rPr>
          <w:lang w:val="en-US"/>
        </w:rPr>
      </w:pPr>
      <w:r w:rsidRPr="005516CD">
        <w:rPr>
          <w:lang w:val="en-US"/>
        </w:rPr>
        <w:t>Identification of risks that could affect the achievement of the foreseen impacts of the project, and the definition and application of corresponding mitigation strategies.</w:t>
      </w:r>
    </w:p>
    <w:p w14:paraId="0F1024E1" w14:textId="77777777" w:rsidR="002A5BF0" w:rsidRPr="005516CD" w:rsidRDefault="002A5BF0" w:rsidP="002A5BF0">
      <w:pPr>
        <w:pStyle w:val="Body"/>
        <w:numPr>
          <w:ilvl w:val="0"/>
          <w:numId w:val="137"/>
        </w:numPr>
        <w:spacing w:after="0"/>
        <w:rPr>
          <w:lang w:val="en-US"/>
        </w:rPr>
      </w:pPr>
      <w:r w:rsidRPr="005516CD">
        <w:rPr>
          <w:lang w:val="en-US"/>
        </w:rPr>
        <w:t xml:space="preserve">Support to the functioning of the </w:t>
      </w:r>
      <w:r w:rsidR="007755DD" w:rsidRPr="005516CD">
        <w:rPr>
          <w:lang w:val="en-US"/>
        </w:rPr>
        <w:t>Project Steering Committee</w:t>
      </w:r>
      <w:r w:rsidRPr="005516CD">
        <w:rPr>
          <w:lang w:val="en-US"/>
        </w:rPr>
        <w:t>, through the provision of advice and logistics.</w:t>
      </w:r>
    </w:p>
    <w:p w14:paraId="79639278" w14:textId="77777777" w:rsidR="002A5BF0" w:rsidRPr="005516CD" w:rsidRDefault="002A5BF0" w:rsidP="002A5BF0">
      <w:pPr>
        <w:pStyle w:val="Body"/>
        <w:numPr>
          <w:ilvl w:val="0"/>
          <w:numId w:val="137"/>
        </w:numPr>
        <w:spacing w:after="0"/>
        <w:rPr>
          <w:lang w:val="en-US"/>
        </w:rPr>
      </w:pPr>
      <w:r w:rsidRPr="005516CD">
        <w:rPr>
          <w:lang w:val="en-US"/>
        </w:rPr>
        <w:t xml:space="preserve">Preparation and oversight of the implementation of the operational manuals for the implementation of the project. </w:t>
      </w:r>
    </w:p>
    <w:p w14:paraId="7BF7086A" w14:textId="77777777" w:rsidR="00B6176D" w:rsidRPr="005516CD" w:rsidRDefault="002A5BF0" w:rsidP="003C3AC2">
      <w:pPr>
        <w:pStyle w:val="Body"/>
        <w:numPr>
          <w:ilvl w:val="0"/>
          <w:numId w:val="137"/>
        </w:numPr>
        <w:spacing w:after="0"/>
        <w:rPr>
          <w:rFonts w:asciiTheme="majorHAnsi" w:hAnsiTheme="majorHAnsi" w:cstheme="majorHAnsi"/>
          <w:lang w:val="en-US"/>
        </w:rPr>
      </w:pPr>
      <w:r w:rsidRPr="005516CD">
        <w:rPr>
          <w:lang w:val="en-US"/>
        </w:rPr>
        <w:t>Organization and support of external evaluations of the project.</w:t>
      </w:r>
    </w:p>
    <w:p w14:paraId="4F0AD067" w14:textId="77777777" w:rsidR="00C25542" w:rsidRPr="005516CD" w:rsidRDefault="00C25542" w:rsidP="001E6E8C">
      <w:pPr>
        <w:pStyle w:val="Body"/>
        <w:spacing w:after="0"/>
        <w:rPr>
          <w:rFonts w:asciiTheme="majorHAnsi" w:hAnsiTheme="majorHAnsi" w:cstheme="majorHAnsi"/>
          <w:lang w:val="en-US"/>
        </w:rPr>
      </w:pPr>
    </w:p>
    <w:p w14:paraId="6CE9F008" w14:textId="77777777" w:rsidR="001771FE" w:rsidRPr="003B2210" w:rsidRDefault="00C25542" w:rsidP="001E6E8C">
      <w:pPr>
        <w:pStyle w:val="Body"/>
        <w:spacing w:after="0"/>
        <w:rPr>
          <w:i/>
        </w:rPr>
      </w:pPr>
      <w:r w:rsidRPr="003B2210">
        <w:rPr>
          <w:i/>
          <w:lang w:val="en-US"/>
        </w:rPr>
        <w:t>Required skills and expertise</w:t>
      </w:r>
    </w:p>
    <w:p w14:paraId="65AA6355" w14:textId="77777777" w:rsidR="00E53404" w:rsidRPr="005516CD" w:rsidRDefault="00E53404" w:rsidP="00FB5829">
      <w:pPr>
        <w:pStyle w:val="Body"/>
        <w:numPr>
          <w:ilvl w:val="0"/>
          <w:numId w:val="137"/>
        </w:numPr>
        <w:spacing w:after="0"/>
        <w:rPr>
          <w:lang w:val="en-US"/>
        </w:rPr>
      </w:pPr>
      <w:r w:rsidRPr="005516CD">
        <w:rPr>
          <w:lang w:val="en-US"/>
        </w:rPr>
        <w:t xml:space="preserve">University degree at </w:t>
      </w:r>
      <w:proofErr w:type="gramStart"/>
      <w:r w:rsidRPr="005516CD">
        <w:rPr>
          <w:lang w:val="en-US"/>
        </w:rPr>
        <w:t>Master's</w:t>
      </w:r>
      <w:proofErr w:type="gramEnd"/>
      <w:r w:rsidRPr="005516CD">
        <w:rPr>
          <w:lang w:val="en-US"/>
        </w:rPr>
        <w:t xml:space="preserve"> level in Project Management or other related fields.</w:t>
      </w:r>
    </w:p>
    <w:p w14:paraId="54B19A9B" w14:textId="6C0D95E7" w:rsidR="00E53404" w:rsidRPr="005516CD" w:rsidRDefault="00E53404" w:rsidP="00FB5829">
      <w:pPr>
        <w:pStyle w:val="Body"/>
        <w:numPr>
          <w:ilvl w:val="0"/>
          <w:numId w:val="137"/>
        </w:numPr>
        <w:spacing w:after="0"/>
        <w:rPr>
          <w:lang w:val="en-US"/>
        </w:rPr>
      </w:pPr>
      <w:r w:rsidRPr="005516CD">
        <w:rPr>
          <w:lang w:val="en-US"/>
        </w:rPr>
        <w:t>Minimum of five (</w:t>
      </w:r>
      <w:r w:rsidR="00396A39">
        <w:rPr>
          <w:lang w:val="en-US"/>
        </w:rPr>
        <w:t>2</w:t>
      </w:r>
      <w:r w:rsidRPr="005516CD">
        <w:rPr>
          <w:lang w:val="en-US"/>
        </w:rPr>
        <w:t xml:space="preserve">) years of experience, with proven skills </w:t>
      </w:r>
      <w:r w:rsidR="000D1B37" w:rsidRPr="005516CD">
        <w:rPr>
          <w:lang w:val="en-US"/>
        </w:rPr>
        <w:t>in monitoring and evaluation</w:t>
      </w:r>
      <w:r w:rsidRPr="005516CD">
        <w:rPr>
          <w:lang w:val="en-US"/>
        </w:rPr>
        <w:t>;</w:t>
      </w:r>
    </w:p>
    <w:p w14:paraId="3C850746" w14:textId="21CE9D5B" w:rsidR="00E53404" w:rsidRPr="005516CD" w:rsidRDefault="00E53404" w:rsidP="00FB5829">
      <w:pPr>
        <w:pStyle w:val="Body"/>
        <w:numPr>
          <w:ilvl w:val="0"/>
          <w:numId w:val="137"/>
        </w:numPr>
        <w:spacing w:after="0"/>
        <w:rPr>
          <w:lang w:val="en-US"/>
        </w:rPr>
      </w:pPr>
      <w:r w:rsidRPr="005516CD">
        <w:rPr>
          <w:lang w:val="en-US"/>
        </w:rPr>
        <w:t xml:space="preserve">At least </w:t>
      </w:r>
      <w:r w:rsidR="00396A39">
        <w:rPr>
          <w:lang w:val="en-US"/>
        </w:rPr>
        <w:t>five</w:t>
      </w:r>
      <w:r w:rsidR="00396A39" w:rsidRPr="005516CD">
        <w:rPr>
          <w:lang w:val="en-US"/>
        </w:rPr>
        <w:t xml:space="preserve"> </w:t>
      </w:r>
      <w:r w:rsidRPr="005516CD">
        <w:rPr>
          <w:lang w:val="en-US"/>
        </w:rPr>
        <w:t>(</w:t>
      </w:r>
      <w:r w:rsidR="00396A39">
        <w:rPr>
          <w:lang w:val="en-US"/>
        </w:rPr>
        <w:t>5</w:t>
      </w:r>
      <w:r w:rsidRPr="005516CD">
        <w:rPr>
          <w:lang w:val="en-US"/>
        </w:rPr>
        <w:t>) years of significant experience in fields related to environmental and natural resource management</w:t>
      </w:r>
    </w:p>
    <w:p w14:paraId="5674CF89" w14:textId="0E77744B" w:rsidR="00E53404" w:rsidRPr="005516CD" w:rsidRDefault="00E53404" w:rsidP="00FB5829">
      <w:pPr>
        <w:pStyle w:val="Body"/>
        <w:numPr>
          <w:ilvl w:val="0"/>
          <w:numId w:val="137"/>
        </w:numPr>
        <w:spacing w:after="0"/>
        <w:rPr>
          <w:lang w:val="en-US"/>
        </w:rPr>
      </w:pPr>
      <w:r w:rsidRPr="005516CD">
        <w:rPr>
          <w:lang w:val="en-US"/>
        </w:rPr>
        <w:t xml:space="preserve">Specific experience in sustainable development initiatives related to Biodiversity </w:t>
      </w:r>
    </w:p>
    <w:p w14:paraId="5A4AA312" w14:textId="77777777" w:rsidR="00E53404" w:rsidRPr="005516CD" w:rsidRDefault="00E53404" w:rsidP="00FB5829">
      <w:pPr>
        <w:pStyle w:val="Body"/>
        <w:numPr>
          <w:ilvl w:val="0"/>
          <w:numId w:val="137"/>
        </w:numPr>
        <w:spacing w:after="0"/>
        <w:rPr>
          <w:lang w:val="en-US"/>
        </w:rPr>
      </w:pPr>
      <w:r w:rsidRPr="005516CD">
        <w:rPr>
          <w:lang w:val="en-US"/>
        </w:rPr>
        <w:t>Proven experience in project monitoring and evaluation;</w:t>
      </w:r>
    </w:p>
    <w:p w14:paraId="7C5EBD61" w14:textId="77777777" w:rsidR="00E53404" w:rsidRPr="005516CD" w:rsidRDefault="00E53404" w:rsidP="00FB5829">
      <w:pPr>
        <w:pStyle w:val="Body"/>
        <w:numPr>
          <w:ilvl w:val="0"/>
          <w:numId w:val="137"/>
        </w:numPr>
        <w:spacing w:after="0"/>
        <w:rPr>
          <w:lang w:val="en-US"/>
        </w:rPr>
      </w:pPr>
      <w:r w:rsidRPr="005516CD">
        <w:rPr>
          <w:lang w:val="en-US"/>
        </w:rPr>
        <w:t>Computer literacy and previous experience in an international organization will be considered an advantage;</w:t>
      </w:r>
    </w:p>
    <w:p w14:paraId="26D879EF" w14:textId="77777777" w:rsidR="00E53404" w:rsidRPr="005516CD" w:rsidRDefault="00E53404" w:rsidP="00FB5829">
      <w:pPr>
        <w:pStyle w:val="Body"/>
        <w:numPr>
          <w:ilvl w:val="0"/>
          <w:numId w:val="137"/>
        </w:numPr>
        <w:spacing w:after="0"/>
        <w:rPr>
          <w:lang w:val="en-US"/>
        </w:rPr>
      </w:pPr>
      <w:r w:rsidRPr="005516CD">
        <w:rPr>
          <w:lang w:val="en-US"/>
        </w:rPr>
        <w:t>Perfect command of Creole, French language and good practice of written English;</w:t>
      </w:r>
    </w:p>
    <w:p w14:paraId="59CA8403" w14:textId="77777777" w:rsidR="00C25542" w:rsidRPr="005516CD" w:rsidRDefault="00C25542" w:rsidP="00C25542">
      <w:pPr>
        <w:pStyle w:val="Body"/>
        <w:spacing w:after="0"/>
        <w:rPr>
          <w:b/>
          <w:i/>
          <w:lang w:val="en-US"/>
        </w:rPr>
      </w:pPr>
    </w:p>
    <w:p w14:paraId="49375E27" w14:textId="77777777" w:rsidR="00117FD8" w:rsidRPr="003B2210" w:rsidRDefault="00C25542" w:rsidP="001E6E8C">
      <w:pPr>
        <w:pStyle w:val="Body"/>
        <w:spacing w:after="0"/>
        <w:rPr>
          <w:i/>
          <w:lang w:val="en-US"/>
        </w:rPr>
      </w:pPr>
      <w:r w:rsidRPr="003B2210">
        <w:rPr>
          <w:i/>
          <w:lang w:val="en-US"/>
        </w:rPr>
        <w:t>Competencies</w:t>
      </w:r>
    </w:p>
    <w:p w14:paraId="6C23C9B1" w14:textId="77777777" w:rsidR="00E53404" w:rsidRPr="005516CD" w:rsidRDefault="00E53404" w:rsidP="00E53404">
      <w:pPr>
        <w:pStyle w:val="Body"/>
        <w:spacing w:after="0"/>
        <w:rPr>
          <w:u w:val="single"/>
          <w:lang w:val="en-US"/>
        </w:rPr>
      </w:pPr>
      <w:r w:rsidRPr="005516CD">
        <w:rPr>
          <w:u w:val="single"/>
          <w:lang w:val="en-US"/>
        </w:rPr>
        <w:t>General Skills</w:t>
      </w:r>
    </w:p>
    <w:p w14:paraId="33FD8F1A" w14:textId="77777777" w:rsidR="00E53404" w:rsidRPr="005516CD" w:rsidRDefault="00E53404" w:rsidP="00FB5829">
      <w:pPr>
        <w:pStyle w:val="Body"/>
        <w:numPr>
          <w:ilvl w:val="0"/>
          <w:numId w:val="137"/>
        </w:numPr>
        <w:spacing w:after="0"/>
        <w:rPr>
          <w:lang w:val="en-US"/>
        </w:rPr>
      </w:pPr>
      <w:r w:rsidRPr="005516CD">
        <w:rPr>
          <w:lang w:val="en-US"/>
        </w:rPr>
        <w:t>Demonstrates integrity and acts in accordance with United Nations values and ethics;</w:t>
      </w:r>
    </w:p>
    <w:p w14:paraId="21679F68" w14:textId="77777777" w:rsidR="00E53404" w:rsidRPr="005516CD" w:rsidRDefault="00E53404" w:rsidP="00FB5829">
      <w:pPr>
        <w:pStyle w:val="Body"/>
        <w:numPr>
          <w:ilvl w:val="0"/>
          <w:numId w:val="137"/>
        </w:numPr>
        <w:spacing w:after="0"/>
        <w:rPr>
          <w:lang w:val="en-US"/>
        </w:rPr>
      </w:pPr>
      <w:r w:rsidRPr="005516CD">
        <w:rPr>
          <w:lang w:val="en-US"/>
        </w:rPr>
        <w:t>Demonstrates political and diplomatic judgment, impartiality and discretion;</w:t>
      </w:r>
    </w:p>
    <w:p w14:paraId="1F5B0CC9" w14:textId="77777777" w:rsidR="00E53404" w:rsidRPr="005516CD" w:rsidRDefault="00E53404" w:rsidP="00FB5829">
      <w:pPr>
        <w:pStyle w:val="Body"/>
        <w:numPr>
          <w:ilvl w:val="0"/>
          <w:numId w:val="137"/>
        </w:numPr>
        <w:spacing w:after="0"/>
        <w:rPr>
          <w:lang w:val="en-US"/>
        </w:rPr>
      </w:pPr>
      <w:r w:rsidRPr="005516CD">
        <w:rPr>
          <w:lang w:val="en-US"/>
        </w:rPr>
        <w:t>Works easily in a team environment;</w:t>
      </w:r>
    </w:p>
    <w:p w14:paraId="030630BF" w14:textId="77777777" w:rsidR="00E53404" w:rsidRPr="005516CD" w:rsidRDefault="00E53404" w:rsidP="00FB5829">
      <w:pPr>
        <w:pStyle w:val="Body"/>
        <w:numPr>
          <w:ilvl w:val="0"/>
          <w:numId w:val="137"/>
        </w:numPr>
        <w:spacing w:after="0"/>
        <w:rPr>
          <w:lang w:val="en-US"/>
        </w:rPr>
      </w:pPr>
      <w:r w:rsidRPr="005516CD">
        <w:rPr>
          <w:lang w:val="en-US"/>
        </w:rPr>
        <w:t>Demonstrates sensitivity and adaptability to individual differences (gender, age, religion, etc.).</w:t>
      </w:r>
    </w:p>
    <w:p w14:paraId="1F88CBEE" w14:textId="77777777" w:rsidR="00E53404" w:rsidRPr="005516CD" w:rsidRDefault="00E53404" w:rsidP="00E53404">
      <w:pPr>
        <w:pStyle w:val="Body"/>
        <w:rPr>
          <w:u w:val="single"/>
          <w:lang w:val="en-US"/>
        </w:rPr>
      </w:pPr>
      <w:r w:rsidRPr="005516CD">
        <w:rPr>
          <w:u w:val="single"/>
          <w:lang w:val="en-US"/>
        </w:rPr>
        <w:t>Functional skills:</w:t>
      </w:r>
    </w:p>
    <w:p w14:paraId="5E043A4F" w14:textId="77777777" w:rsidR="00E53404" w:rsidRPr="005516CD" w:rsidRDefault="00E53404" w:rsidP="00FB5829">
      <w:pPr>
        <w:pStyle w:val="Body"/>
        <w:numPr>
          <w:ilvl w:val="0"/>
          <w:numId w:val="137"/>
        </w:numPr>
        <w:spacing w:after="0"/>
        <w:rPr>
          <w:lang w:val="en-US"/>
        </w:rPr>
      </w:pPr>
      <w:r w:rsidRPr="005516CD">
        <w:rPr>
          <w:lang w:val="en-US"/>
        </w:rPr>
        <w:t>Demonstrates leadership, guides work effectively, resolves conflicts, focuses on impact and outcome for the client and responds positively to critical opinions;</w:t>
      </w:r>
    </w:p>
    <w:p w14:paraId="633DD92A" w14:textId="77777777" w:rsidR="00E53404" w:rsidRPr="005516CD" w:rsidRDefault="00E53404" w:rsidP="00FB5829">
      <w:pPr>
        <w:pStyle w:val="Body"/>
        <w:numPr>
          <w:ilvl w:val="0"/>
          <w:numId w:val="137"/>
        </w:numPr>
        <w:spacing w:after="0"/>
        <w:rPr>
          <w:lang w:val="en-US"/>
        </w:rPr>
      </w:pPr>
      <w:r w:rsidRPr="005516CD">
        <w:rPr>
          <w:lang w:val="en-US"/>
        </w:rPr>
        <w:t>Approaches work with determination, energy and a positive and constructive attitude;</w:t>
      </w:r>
    </w:p>
    <w:p w14:paraId="56C112BF" w14:textId="77777777" w:rsidR="00E53404" w:rsidRPr="005516CD" w:rsidRDefault="00E53404" w:rsidP="00FB5829">
      <w:pPr>
        <w:pStyle w:val="Body"/>
        <w:numPr>
          <w:ilvl w:val="0"/>
          <w:numId w:val="137"/>
        </w:numPr>
        <w:spacing w:after="0"/>
        <w:rPr>
          <w:lang w:val="en-US"/>
        </w:rPr>
      </w:pPr>
      <w:r w:rsidRPr="005516CD">
        <w:rPr>
          <w:lang w:val="en-US"/>
        </w:rPr>
        <w:t>Encourages risk-taking in the pursuit of creativity and innovation;</w:t>
      </w:r>
    </w:p>
    <w:p w14:paraId="47F91835" w14:textId="77777777" w:rsidR="00E53404" w:rsidRPr="005516CD" w:rsidRDefault="00E53404" w:rsidP="00FB5829">
      <w:pPr>
        <w:pStyle w:val="Body"/>
        <w:numPr>
          <w:ilvl w:val="0"/>
          <w:numId w:val="137"/>
        </w:numPr>
        <w:spacing w:after="0"/>
        <w:rPr>
          <w:lang w:val="en-US"/>
        </w:rPr>
      </w:pPr>
      <w:r w:rsidRPr="005516CD">
        <w:rPr>
          <w:lang w:val="en-US"/>
        </w:rPr>
        <w:t>Can work independently, pragmatically, under high pressure and manage work frustrations;</w:t>
      </w:r>
    </w:p>
    <w:p w14:paraId="3A227588" w14:textId="77777777" w:rsidR="00E53404" w:rsidRPr="005516CD" w:rsidRDefault="00E53404" w:rsidP="00FB5829">
      <w:pPr>
        <w:pStyle w:val="Body"/>
        <w:numPr>
          <w:ilvl w:val="0"/>
          <w:numId w:val="137"/>
        </w:numPr>
        <w:spacing w:after="0"/>
        <w:rPr>
          <w:lang w:val="en-US"/>
        </w:rPr>
      </w:pPr>
      <w:r w:rsidRPr="005516CD">
        <w:rPr>
          <w:lang w:val="en-US"/>
        </w:rPr>
        <w:t>Demonstrates critical thinking and analysis, and the ability to identify best practices and lessons in the field of competence;</w:t>
      </w:r>
    </w:p>
    <w:p w14:paraId="5703B8CC" w14:textId="77777777" w:rsidR="00E53404" w:rsidRPr="005516CD" w:rsidRDefault="00E53404" w:rsidP="00FB5829">
      <w:pPr>
        <w:pStyle w:val="Body"/>
        <w:numPr>
          <w:ilvl w:val="0"/>
          <w:numId w:val="137"/>
        </w:numPr>
        <w:spacing w:after="0"/>
        <w:rPr>
          <w:lang w:val="en-US"/>
        </w:rPr>
      </w:pPr>
      <w:r w:rsidRPr="005516CD">
        <w:rPr>
          <w:lang w:val="en-US"/>
        </w:rPr>
        <w:t>Demonstrates excellent oral and written communication skills;</w:t>
      </w:r>
    </w:p>
    <w:p w14:paraId="44D55482" w14:textId="77777777" w:rsidR="00E53404" w:rsidRPr="005516CD" w:rsidRDefault="00E53404" w:rsidP="00FB5829">
      <w:pPr>
        <w:pStyle w:val="Body"/>
        <w:numPr>
          <w:ilvl w:val="0"/>
          <w:numId w:val="137"/>
        </w:numPr>
        <w:spacing w:after="0"/>
        <w:rPr>
          <w:lang w:val="en-US"/>
        </w:rPr>
      </w:pPr>
      <w:r w:rsidRPr="005516CD">
        <w:rPr>
          <w:lang w:val="en-US"/>
        </w:rPr>
        <w:t>Establishes strong relationships with clients and external actors.</w:t>
      </w:r>
    </w:p>
    <w:p w14:paraId="4717D65E" w14:textId="77777777" w:rsidR="00E53404" w:rsidRPr="005516CD" w:rsidRDefault="00E53404" w:rsidP="00E53404">
      <w:pPr>
        <w:pStyle w:val="Body"/>
        <w:rPr>
          <w:u w:val="single"/>
          <w:lang w:val="en-US"/>
        </w:rPr>
      </w:pPr>
      <w:r w:rsidRPr="005516CD">
        <w:rPr>
          <w:u w:val="single"/>
          <w:lang w:val="en-US"/>
        </w:rPr>
        <w:t>Technical skills:</w:t>
      </w:r>
    </w:p>
    <w:p w14:paraId="7887B780" w14:textId="77777777" w:rsidR="00E53404" w:rsidRPr="005516CD" w:rsidRDefault="00E53404" w:rsidP="00FB5829">
      <w:pPr>
        <w:pStyle w:val="Body"/>
        <w:numPr>
          <w:ilvl w:val="0"/>
          <w:numId w:val="137"/>
        </w:numPr>
        <w:spacing w:after="0"/>
        <w:rPr>
          <w:lang w:val="en-US"/>
        </w:rPr>
      </w:pPr>
      <w:r w:rsidRPr="005516CD">
        <w:rPr>
          <w:lang w:val="en-US"/>
        </w:rPr>
        <w:t>Good knowledge and understanding of Haiti's public administration and institutional landscape;</w:t>
      </w:r>
    </w:p>
    <w:p w14:paraId="0997A429" w14:textId="77777777" w:rsidR="00E53404" w:rsidRPr="005516CD" w:rsidRDefault="00E53404" w:rsidP="00FB5829">
      <w:pPr>
        <w:pStyle w:val="Body"/>
        <w:numPr>
          <w:ilvl w:val="0"/>
          <w:numId w:val="137"/>
        </w:numPr>
        <w:spacing w:after="0"/>
        <w:rPr>
          <w:lang w:val="en-US"/>
        </w:rPr>
      </w:pPr>
      <w:r w:rsidRPr="005516CD">
        <w:rPr>
          <w:lang w:val="en-US"/>
        </w:rPr>
        <w:t>Strong knowledge of information and communication technologies;</w:t>
      </w:r>
    </w:p>
    <w:p w14:paraId="198179B6" w14:textId="77777777" w:rsidR="00E53404" w:rsidRPr="005516CD" w:rsidRDefault="00E53404" w:rsidP="00FB5829">
      <w:pPr>
        <w:pStyle w:val="Body"/>
        <w:numPr>
          <w:ilvl w:val="0"/>
          <w:numId w:val="137"/>
        </w:numPr>
        <w:spacing w:after="0"/>
        <w:rPr>
          <w:lang w:val="en-US"/>
        </w:rPr>
      </w:pPr>
      <w:r w:rsidRPr="005516CD">
        <w:rPr>
          <w:lang w:val="en-US"/>
        </w:rPr>
        <w:t>Ability to lead in defining strategic planning, results-oriented and reporting;</w:t>
      </w:r>
    </w:p>
    <w:p w14:paraId="1726F32B" w14:textId="77777777" w:rsidR="00E53404" w:rsidRPr="005516CD" w:rsidRDefault="00E53404" w:rsidP="00FB5829">
      <w:pPr>
        <w:pStyle w:val="Body"/>
        <w:numPr>
          <w:ilvl w:val="0"/>
          <w:numId w:val="137"/>
        </w:numPr>
        <w:spacing w:after="0"/>
        <w:rPr>
          <w:lang w:val="en-US"/>
        </w:rPr>
      </w:pPr>
      <w:r w:rsidRPr="005516CD">
        <w:rPr>
          <w:lang w:val="en-US"/>
        </w:rPr>
        <w:t>Proficiency in computer tools, current software and other computer applications.</w:t>
      </w:r>
    </w:p>
    <w:p w14:paraId="4C4B6700" w14:textId="77777777" w:rsidR="00E53404" w:rsidRPr="005516CD" w:rsidRDefault="00E53404" w:rsidP="001E6E8C">
      <w:pPr>
        <w:pStyle w:val="Body"/>
        <w:spacing w:after="0"/>
        <w:rPr>
          <w:b/>
          <w:i/>
          <w:lang w:val="en-US"/>
        </w:rPr>
      </w:pPr>
    </w:p>
    <w:p w14:paraId="03BB558D" w14:textId="7ACC67EB" w:rsidR="000D1B37" w:rsidRPr="003B2210" w:rsidRDefault="000D1B37" w:rsidP="003B2210">
      <w:pPr>
        <w:pStyle w:val="Body"/>
        <w:numPr>
          <w:ilvl w:val="1"/>
          <w:numId w:val="164"/>
        </w:numPr>
        <w:ind w:left="567"/>
        <w:rPr>
          <w:rStyle w:val="None"/>
          <w:b/>
          <w:bCs/>
          <w:u w:val="single"/>
          <w:lang w:val="nl-NL"/>
        </w:rPr>
      </w:pPr>
      <w:r w:rsidRPr="003B2210">
        <w:rPr>
          <w:rStyle w:val="None"/>
          <w:b/>
          <w:bCs/>
          <w:u w:val="single"/>
          <w:lang w:val="nl-NL"/>
        </w:rPr>
        <w:t>Admin.</w:t>
      </w:r>
      <w:r w:rsidR="00C0407C">
        <w:rPr>
          <w:rStyle w:val="None"/>
          <w:b/>
          <w:bCs/>
          <w:u w:val="single"/>
          <w:lang w:val="nl-NL"/>
        </w:rPr>
        <w:t>Assistant</w:t>
      </w:r>
    </w:p>
    <w:p w14:paraId="44CDC0F0" w14:textId="34C87423" w:rsidR="000D1B37" w:rsidRPr="005516CD" w:rsidRDefault="000D1B37" w:rsidP="000D1B37">
      <w:pPr>
        <w:pStyle w:val="Body"/>
      </w:pPr>
      <w:r w:rsidRPr="005516CD">
        <w:t xml:space="preserve">Under the authority of the </w:t>
      </w:r>
      <w:r w:rsidR="00EB5D8B">
        <w:t xml:space="preserve">Deputy </w:t>
      </w:r>
      <w:proofErr w:type="spellStart"/>
      <w:r w:rsidR="00EB5D8B">
        <w:t>Res.Rep</w:t>
      </w:r>
      <w:proofErr w:type="spellEnd"/>
      <w:r w:rsidR="00EB5D8B">
        <w:t>.</w:t>
      </w:r>
      <w:r w:rsidRPr="005516CD">
        <w:t xml:space="preserve"> and the Head of the Resilience Unit and under the direct supervision of the Project </w:t>
      </w:r>
      <w:r w:rsidR="00201734">
        <w:t>Officer</w:t>
      </w:r>
      <w:r w:rsidRPr="005516CD">
        <w:t xml:space="preserve">, the Admin </w:t>
      </w:r>
      <w:r w:rsidR="00EB5D8B">
        <w:t>Assistant</w:t>
      </w:r>
      <w:r w:rsidR="00EB5D8B" w:rsidRPr="005516CD">
        <w:t xml:space="preserve"> </w:t>
      </w:r>
      <w:r w:rsidRPr="005516CD">
        <w:t xml:space="preserve">is responsible for the effective execution of financial services, the efficient and transparent use of financial resources and the integrity of financial services. It </w:t>
      </w:r>
      <w:proofErr w:type="spellStart"/>
      <w:r w:rsidRPr="005516CD">
        <w:t>analyzes</w:t>
      </w:r>
      <w:proofErr w:type="spellEnd"/>
      <w:r w:rsidRPr="005516CD">
        <w:t xml:space="preserve"> and interprets financial rules and regulations and provides solutions to a wide range of complex financial issues. The </w:t>
      </w:r>
      <w:r w:rsidR="00EB5D8B">
        <w:t>Admin. Assistant</w:t>
      </w:r>
      <w:r w:rsidRPr="005516CD">
        <w:t xml:space="preserve"> is also responsible for promoting a client-centred collaborative environment that complies with UNDP regulations and procedures. He/she must work closely with the operations, MSU and other programme teams that are building bridges of synergy with this project in UNDP.</w:t>
      </w:r>
    </w:p>
    <w:p w14:paraId="246F924D" w14:textId="18550767" w:rsidR="000D1B37" w:rsidRPr="005516CD" w:rsidRDefault="000D1B37" w:rsidP="000D1B37">
      <w:pPr>
        <w:pStyle w:val="Body"/>
      </w:pPr>
      <w:r w:rsidRPr="005516CD">
        <w:t xml:space="preserve">More specifically, the Admin </w:t>
      </w:r>
      <w:r w:rsidR="00EB5D8B">
        <w:t>Assistant</w:t>
      </w:r>
      <w:r w:rsidRPr="005516CD">
        <w:t xml:space="preserve"> shall perform the following tasks:</w:t>
      </w:r>
    </w:p>
    <w:p w14:paraId="674C6904" w14:textId="77777777" w:rsidR="000D1B37" w:rsidRPr="005516CD" w:rsidRDefault="000D1B37" w:rsidP="00FB5829">
      <w:pPr>
        <w:pStyle w:val="Body"/>
        <w:numPr>
          <w:ilvl w:val="0"/>
          <w:numId w:val="137"/>
        </w:numPr>
        <w:spacing w:after="0"/>
        <w:rPr>
          <w:lang w:val="en-US"/>
        </w:rPr>
      </w:pPr>
      <w:r w:rsidRPr="005516CD">
        <w:rPr>
          <w:lang w:val="en-US"/>
        </w:rPr>
        <w:t>Support the Project Management in the development and/or revision of periodic work plans</w:t>
      </w:r>
    </w:p>
    <w:p w14:paraId="79659E82" w14:textId="77777777" w:rsidR="000D1B37" w:rsidRPr="005516CD" w:rsidRDefault="000D1B37" w:rsidP="00FB5829">
      <w:pPr>
        <w:pStyle w:val="Body"/>
        <w:numPr>
          <w:ilvl w:val="0"/>
          <w:numId w:val="137"/>
        </w:numPr>
        <w:spacing w:after="0"/>
        <w:rPr>
          <w:lang w:val="en-US"/>
        </w:rPr>
      </w:pPr>
      <w:r w:rsidRPr="005516CD">
        <w:rPr>
          <w:lang w:val="en-US"/>
        </w:rPr>
        <w:t>Monitor financial exception reports generated by unusual transactions and anomalies, investigate imputation errors and take corrective accounting actions</w:t>
      </w:r>
    </w:p>
    <w:p w14:paraId="4A7EDC2F" w14:textId="77777777" w:rsidR="000D1B37" w:rsidRPr="005516CD" w:rsidRDefault="000D1B37" w:rsidP="00FB5829">
      <w:pPr>
        <w:pStyle w:val="Body"/>
        <w:numPr>
          <w:ilvl w:val="0"/>
          <w:numId w:val="137"/>
        </w:numPr>
        <w:spacing w:after="0"/>
        <w:rPr>
          <w:lang w:val="en-US"/>
        </w:rPr>
      </w:pPr>
      <w:r w:rsidRPr="005516CD">
        <w:rPr>
          <w:lang w:val="en-US"/>
        </w:rPr>
        <w:t>Coordinate and control the combined delivery, monitoring and periodic follow-up of dashboards and exceptions</w:t>
      </w:r>
    </w:p>
    <w:p w14:paraId="7FD1D3C2" w14:textId="77777777" w:rsidR="000D1B37" w:rsidRPr="005516CD" w:rsidRDefault="000D1B37" w:rsidP="00FB5829">
      <w:pPr>
        <w:pStyle w:val="Body"/>
        <w:numPr>
          <w:ilvl w:val="0"/>
          <w:numId w:val="137"/>
        </w:numPr>
        <w:spacing w:after="0"/>
        <w:rPr>
          <w:lang w:val="en-US"/>
        </w:rPr>
      </w:pPr>
      <w:r w:rsidRPr="005516CD">
        <w:rPr>
          <w:lang w:val="en-US"/>
        </w:rPr>
        <w:t>Prepare necessary documents for disbursements in accordance with UNDP rules and regulations</w:t>
      </w:r>
    </w:p>
    <w:p w14:paraId="2FB5ADC4" w14:textId="77777777" w:rsidR="000D1B37" w:rsidRPr="005516CD" w:rsidRDefault="000D1B37" w:rsidP="00FB5829">
      <w:pPr>
        <w:pStyle w:val="Body"/>
        <w:numPr>
          <w:ilvl w:val="0"/>
          <w:numId w:val="137"/>
        </w:numPr>
        <w:spacing w:after="0"/>
        <w:rPr>
          <w:lang w:val="en-US"/>
        </w:rPr>
      </w:pPr>
      <w:r w:rsidRPr="005516CD">
        <w:rPr>
          <w:lang w:val="en-US"/>
        </w:rPr>
        <w:t>Participate in regular internal meetings</w:t>
      </w:r>
    </w:p>
    <w:p w14:paraId="67D80E72" w14:textId="77777777" w:rsidR="000D1B37" w:rsidRPr="005516CD" w:rsidRDefault="000D1B37" w:rsidP="00FB5829">
      <w:pPr>
        <w:pStyle w:val="Body"/>
        <w:numPr>
          <w:ilvl w:val="0"/>
          <w:numId w:val="137"/>
        </w:numPr>
        <w:spacing w:after="0"/>
        <w:rPr>
          <w:lang w:val="en-US"/>
        </w:rPr>
      </w:pPr>
      <w:r w:rsidRPr="005516CD">
        <w:rPr>
          <w:lang w:val="en-US"/>
        </w:rPr>
        <w:t>Check and ensure the existence and conformity of supporting documents relating to financial transactions carried out on the Project account, in particular ensure that each Voucher is accompanied by the corresponding supporting documents</w:t>
      </w:r>
    </w:p>
    <w:p w14:paraId="66AF07E0" w14:textId="77777777" w:rsidR="000D1B37" w:rsidRPr="005516CD" w:rsidRDefault="000D1B37" w:rsidP="00FB5829">
      <w:pPr>
        <w:pStyle w:val="Body"/>
        <w:numPr>
          <w:ilvl w:val="0"/>
          <w:numId w:val="137"/>
        </w:numPr>
        <w:spacing w:after="0"/>
        <w:rPr>
          <w:lang w:val="en-US"/>
        </w:rPr>
      </w:pPr>
      <w:r w:rsidRPr="005516CD">
        <w:rPr>
          <w:lang w:val="en-US"/>
        </w:rPr>
        <w:t>Monitor the regularity of payments made by the Project to third parties and ensure that they are entered in Atlas and maintain a monitoring system</w:t>
      </w:r>
    </w:p>
    <w:p w14:paraId="63CDFBC2" w14:textId="77777777" w:rsidR="000D1B37" w:rsidRPr="005516CD" w:rsidRDefault="000D1B37" w:rsidP="00FB5829">
      <w:pPr>
        <w:pStyle w:val="Body"/>
        <w:numPr>
          <w:ilvl w:val="0"/>
          <w:numId w:val="137"/>
        </w:numPr>
        <w:spacing w:after="0"/>
        <w:rPr>
          <w:lang w:val="en-US"/>
        </w:rPr>
      </w:pPr>
      <w:r w:rsidRPr="005516CD">
        <w:rPr>
          <w:lang w:val="en-US"/>
        </w:rPr>
        <w:t>Perform the role required in the Atlas for the procurement and procurement functions</w:t>
      </w:r>
    </w:p>
    <w:p w14:paraId="70402414" w14:textId="77777777" w:rsidR="000D1B37" w:rsidRPr="005516CD" w:rsidRDefault="000D1B37" w:rsidP="00FB5829">
      <w:pPr>
        <w:pStyle w:val="Body"/>
        <w:numPr>
          <w:ilvl w:val="0"/>
          <w:numId w:val="137"/>
        </w:numPr>
        <w:spacing w:after="0"/>
        <w:rPr>
          <w:lang w:val="en-US"/>
        </w:rPr>
      </w:pPr>
      <w:r w:rsidRPr="005516CD">
        <w:rPr>
          <w:lang w:val="en-US"/>
        </w:rPr>
        <w:t>Ensure the preparation of the necessary documents for disbursements in accordance with UNDP rules and regulations, in particular the FACE forms</w:t>
      </w:r>
    </w:p>
    <w:p w14:paraId="67B514F7" w14:textId="77777777" w:rsidR="000D1B37" w:rsidRPr="005516CD" w:rsidRDefault="000D1B37" w:rsidP="00FB5829">
      <w:pPr>
        <w:pStyle w:val="Body"/>
        <w:numPr>
          <w:ilvl w:val="0"/>
          <w:numId w:val="137"/>
        </w:numPr>
        <w:spacing w:after="0"/>
        <w:rPr>
          <w:lang w:val="en-US"/>
        </w:rPr>
      </w:pPr>
      <w:r w:rsidRPr="005516CD">
        <w:rPr>
          <w:lang w:val="en-US"/>
        </w:rPr>
        <w:t>Contribute to the budget review and check the conformity of the entries of past revisions</w:t>
      </w:r>
    </w:p>
    <w:p w14:paraId="28F231C1" w14:textId="77777777" w:rsidR="000D1B37" w:rsidRPr="005516CD" w:rsidRDefault="000D1B37" w:rsidP="00FB5829">
      <w:pPr>
        <w:pStyle w:val="Body"/>
        <w:numPr>
          <w:ilvl w:val="0"/>
          <w:numId w:val="137"/>
        </w:numPr>
        <w:spacing w:after="0"/>
        <w:rPr>
          <w:lang w:val="en-US"/>
        </w:rPr>
      </w:pPr>
      <w:r w:rsidRPr="005516CD">
        <w:rPr>
          <w:lang w:val="en-US"/>
        </w:rPr>
        <w:t xml:space="preserve">Contribute to the finalization of the Project's periodic narrative and financial reports to the donor and the Government </w:t>
      </w:r>
    </w:p>
    <w:p w14:paraId="6E6B93C6" w14:textId="77777777" w:rsidR="000D1B37" w:rsidRPr="005516CD" w:rsidRDefault="000D1B37" w:rsidP="00FB5829">
      <w:pPr>
        <w:pStyle w:val="Body"/>
        <w:numPr>
          <w:ilvl w:val="0"/>
          <w:numId w:val="137"/>
        </w:numPr>
        <w:spacing w:after="0"/>
        <w:rPr>
          <w:lang w:val="en-US"/>
        </w:rPr>
      </w:pPr>
      <w:r w:rsidRPr="005516CD">
        <w:rPr>
          <w:lang w:val="en-US"/>
        </w:rPr>
        <w:t>Ensure that any disbursement of funds is made on time, in accordance with procedures, budget and disbursement schedules</w:t>
      </w:r>
    </w:p>
    <w:p w14:paraId="30110AE4" w14:textId="77777777" w:rsidR="000D1B37" w:rsidRPr="005516CD" w:rsidRDefault="000D1B37" w:rsidP="00FB5829">
      <w:pPr>
        <w:pStyle w:val="Body"/>
        <w:numPr>
          <w:ilvl w:val="0"/>
          <w:numId w:val="137"/>
        </w:numPr>
        <w:spacing w:after="0"/>
        <w:rPr>
          <w:lang w:val="en-US"/>
        </w:rPr>
      </w:pPr>
      <w:r w:rsidRPr="005516CD">
        <w:rPr>
          <w:lang w:val="en-US"/>
        </w:rPr>
        <w:t>Support the management of the partnership with the national counterpart and partner institutions, municipalities, community-based organizations (CBOs) ensuring that contractual provisions are respected by both parties</w:t>
      </w:r>
    </w:p>
    <w:p w14:paraId="18DB9F54" w14:textId="77777777" w:rsidR="000D1B37" w:rsidRPr="005516CD" w:rsidRDefault="000D1B37" w:rsidP="00FB5829">
      <w:pPr>
        <w:pStyle w:val="Body"/>
        <w:numPr>
          <w:ilvl w:val="0"/>
          <w:numId w:val="137"/>
        </w:numPr>
        <w:spacing w:after="0"/>
        <w:rPr>
          <w:lang w:val="en-US"/>
        </w:rPr>
      </w:pPr>
      <w:r w:rsidRPr="005516CD">
        <w:rPr>
          <w:lang w:val="en-US"/>
        </w:rPr>
        <w:t>Prepare answers to questions asked by Headquarters on the financial aspects of the Project</w:t>
      </w:r>
    </w:p>
    <w:p w14:paraId="3C7C0C78" w14:textId="77777777" w:rsidR="000D1B37" w:rsidRPr="005516CD" w:rsidRDefault="000D1B37" w:rsidP="00FB5829">
      <w:pPr>
        <w:pStyle w:val="Body"/>
        <w:numPr>
          <w:ilvl w:val="0"/>
          <w:numId w:val="137"/>
        </w:numPr>
        <w:spacing w:after="0"/>
        <w:rPr>
          <w:lang w:val="en-US"/>
        </w:rPr>
      </w:pPr>
      <w:r w:rsidRPr="005516CD">
        <w:rPr>
          <w:lang w:val="en-US"/>
        </w:rPr>
        <w:t xml:space="preserve">Manage all activities related to the acquisition of project equipment and assets, maintain and manage an asset register, prepare the necessary documents for disbursements and ensure the timely delivery of goods and services in accordance with UNDP rules and regulations </w:t>
      </w:r>
    </w:p>
    <w:p w14:paraId="7DF71ED9" w14:textId="77777777" w:rsidR="000D1B37" w:rsidRPr="005516CD" w:rsidRDefault="000D1B37" w:rsidP="00FB5829">
      <w:pPr>
        <w:pStyle w:val="Body"/>
        <w:numPr>
          <w:ilvl w:val="0"/>
          <w:numId w:val="137"/>
        </w:numPr>
        <w:spacing w:after="0"/>
        <w:rPr>
          <w:lang w:val="en-US"/>
        </w:rPr>
      </w:pPr>
      <w:r w:rsidRPr="005516CD">
        <w:rPr>
          <w:lang w:val="en-US"/>
        </w:rPr>
        <w:t>Organize procurement processes, including the preparation of requests for quotations, tender documents or requests for proposals, Preparation of purchase orders</w:t>
      </w:r>
    </w:p>
    <w:p w14:paraId="0C676113" w14:textId="77777777" w:rsidR="000D1B37" w:rsidRPr="005516CD" w:rsidRDefault="000D1B37" w:rsidP="00FB5829">
      <w:pPr>
        <w:pStyle w:val="Body"/>
        <w:numPr>
          <w:ilvl w:val="0"/>
          <w:numId w:val="137"/>
        </w:numPr>
        <w:spacing w:after="0"/>
        <w:rPr>
          <w:lang w:val="en-US"/>
        </w:rPr>
      </w:pPr>
      <w:r w:rsidRPr="005516CD">
        <w:rPr>
          <w:lang w:val="en-US"/>
        </w:rPr>
        <w:t>Ensure that the Project's "Assets Management" in Atlas has all the information on the different items purchased by the Project</w:t>
      </w:r>
    </w:p>
    <w:p w14:paraId="7503BB4A" w14:textId="77777777" w:rsidR="000D1B37" w:rsidRPr="005516CD" w:rsidRDefault="000D1B37" w:rsidP="00FB5829">
      <w:pPr>
        <w:pStyle w:val="Body"/>
        <w:numPr>
          <w:ilvl w:val="0"/>
          <w:numId w:val="137"/>
        </w:numPr>
        <w:spacing w:after="0"/>
        <w:rPr>
          <w:lang w:val="en-US"/>
        </w:rPr>
      </w:pPr>
      <w:r w:rsidRPr="005516CD">
        <w:rPr>
          <w:lang w:val="en-US"/>
        </w:rPr>
        <w:t>Contribute to the drafting of the Terms of Reference and the preparation of documentation relating to acquisitions necessary for the purposes of the audit of the common fund, the preparation of responses to audit observations and the examination of the accounts</w:t>
      </w:r>
    </w:p>
    <w:p w14:paraId="2B34F83A" w14:textId="77777777" w:rsidR="000D1B37" w:rsidRPr="005516CD" w:rsidRDefault="000D1B37" w:rsidP="00FB5829">
      <w:pPr>
        <w:pStyle w:val="Body"/>
        <w:numPr>
          <w:ilvl w:val="0"/>
          <w:numId w:val="137"/>
        </w:numPr>
        <w:spacing w:after="0"/>
        <w:rPr>
          <w:lang w:val="en-US"/>
        </w:rPr>
      </w:pPr>
      <w:r w:rsidRPr="005516CD">
        <w:rPr>
          <w:lang w:val="en-US"/>
        </w:rPr>
        <w:t>Support the closure of the project, transfer of assets</w:t>
      </w:r>
    </w:p>
    <w:p w14:paraId="2A2383BE" w14:textId="77777777" w:rsidR="000D1B37" w:rsidRPr="005516CD" w:rsidRDefault="000D1B37" w:rsidP="00FB5829">
      <w:pPr>
        <w:pStyle w:val="Body"/>
        <w:numPr>
          <w:ilvl w:val="0"/>
          <w:numId w:val="137"/>
        </w:numPr>
        <w:spacing w:after="0"/>
        <w:rPr>
          <w:lang w:val="en-US"/>
        </w:rPr>
      </w:pPr>
      <w:r w:rsidRPr="005516CD">
        <w:rPr>
          <w:lang w:val="en-US"/>
        </w:rPr>
        <w:t xml:space="preserve">Ensure regular notification of payment notices to partners and/or service providers </w:t>
      </w:r>
    </w:p>
    <w:p w14:paraId="2F81CC1E" w14:textId="77777777" w:rsidR="000D1B37" w:rsidRPr="005516CD" w:rsidRDefault="000D1B37" w:rsidP="00FB5829">
      <w:pPr>
        <w:pStyle w:val="Body"/>
        <w:numPr>
          <w:ilvl w:val="0"/>
          <w:numId w:val="137"/>
        </w:numPr>
        <w:spacing w:after="0"/>
        <w:rPr>
          <w:lang w:val="en-US"/>
        </w:rPr>
      </w:pPr>
      <w:r w:rsidRPr="005516CD">
        <w:rPr>
          <w:lang w:val="en-US"/>
        </w:rPr>
        <w:t xml:space="preserve">Make timely corrections to non-validated transactions, including those with budget verification errors, matching exceptions and non-approved accounting documents </w:t>
      </w:r>
    </w:p>
    <w:p w14:paraId="2180684D" w14:textId="77777777" w:rsidR="000D1B37" w:rsidRPr="005516CD" w:rsidRDefault="000D1B37" w:rsidP="00FB5829">
      <w:pPr>
        <w:pStyle w:val="Body"/>
        <w:numPr>
          <w:ilvl w:val="0"/>
          <w:numId w:val="137"/>
        </w:numPr>
        <w:spacing w:after="0"/>
        <w:rPr>
          <w:lang w:val="en-US"/>
        </w:rPr>
      </w:pPr>
      <w:r w:rsidRPr="005516CD">
        <w:rPr>
          <w:lang w:val="en-US"/>
        </w:rPr>
        <w:t>Maintain a system for monitoring and tracking grant agreements to ensure that the accounting documents that are processed are verified and complete; that accounting documents are properly recorded and validated in the Atlas system</w:t>
      </w:r>
    </w:p>
    <w:p w14:paraId="562E1DCD" w14:textId="1109BB3C" w:rsidR="000D1B37" w:rsidRPr="005516CD" w:rsidRDefault="000D1B37" w:rsidP="00FB5829">
      <w:pPr>
        <w:pStyle w:val="Body"/>
        <w:numPr>
          <w:ilvl w:val="0"/>
          <w:numId w:val="137"/>
        </w:numPr>
        <w:spacing w:after="120"/>
        <w:ind w:left="714" w:hanging="357"/>
        <w:rPr>
          <w:lang w:val="en-US"/>
        </w:rPr>
      </w:pPr>
      <w:r w:rsidRPr="005516CD">
        <w:rPr>
          <w:lang w:val="en-US"/>
        </w:rPr>
        <w:t xml:space="preserve">Perform, at the request of the Project </w:t>
      </w:r>
      <w:r w:rsidR="00201734">
        <w:rPr>
          <w:lang w:val="en-US"/>
        </w:rPr>
        <w:t>Officer</w:t>
      </w:r>
      <w:r w:rsidRPr="005516CD">
        <w:rPr>
          <w:lang w:val="en-US"/>
        </w:rPr>
        <w:t>, any other tasks within the scope of the terms of reference, project mandate and Project Management Unit (PMU).</w:t>
      </w:r>
    </w:p>
    <w:p w14:paraId="423A146B" w14:textId="77777777" w:rsidR="000D1B37" w:rsidRPr="003B2210" w:rsidRDefault="000D1B37" w:rsidP="000D1B37">
      <w:pPr>
        <w:pStyle w:val="Body"/>
        <w:rPr>
          <w:i/>
        </w:rPr>
      </w:pPr>
      <w:r w:rsidRPr="003B2210">
        <w:rPr>
          <w:i/>
        </w:rPr>
        <w:t xml:space="preserve">Functional skills: </w:t>
      </w:r>
    </w:p>
    <w:p w14:paraId="492E29A2" w14:textId="77777777" w:rsidR="000D1B37" w:rsidRPr="005516CD" w:rsidRDefault="000D1B37" w:rsidP="00FB5829">
      <w:pPr>
        <w:pStyle w:val="Body"/>
        <w:numPr>
          <w:ilvl w:val="0"/>
          <w:numId w:val="137"/>
        </w:numPr>
        <w:spacing w:after="0"/>
        <w:rPr>
          <w:lang w:val="en-US"/>
        </w:rPr>
      </w:pPr>
      <w:r w:rsidRPr="005516CD">
        <w:rPr>
          <w:lang w:val="en-US"/>
        </w:rPr>
        <w:t>Demonstrates integrity and acts in accordance with United Nations values and ethics</w:t>
      </w:r>
    </w:p>
    <w:p w14:paraId="0B0000C0" w14:textId="77777777" w:rsidR="000D1B37" w:rsidRPr="005516CD" w:rsidRDefault="000D1B37" w:rsidP="00FB5829">
      <w:pPr>
        <w:pStyle w:val="Body"/>
        <w:numPr>
          <w:ilvl w:val="0"/>
          <w:numId w:val="137"/>
        </w:numPr>
        <w:spacing w:after="0"/>
        <w:rPr>
          <w:lang w:val="en-US"/>
        </w:rPr>
      </w:pPr>
      <w:r w:rsidRPr="005516CD">
        <w:rPr>
          <w:lang w:val="en-US"/>
        </w:rPr>
        <w:t xml:space="preserve">Demonstrates leadership, guides work effectively, focuses on impact and outcome for the client </w:t>
      </w:r>
    </w:p>
    <w:p w14:paraId="1A297183" w14:textId="77777777" w:rsidR="000D1B37" w:rsidRPr="005516CD" w:rsidRDefault="000D1B37" w:rsidP="00FB5829">
      <w:pPr>
        <w:pStyle w:val="Body"/>
        <w:numPr>
          <w:ilvl w:val="0"/>
          <w:numId w:val="137"/>
        </w:numPr>
        <w:spacing w:after="0"/>
        <w:rPr>
          <w:lang w:val="en-US"/>
        </w:rPr>
      </w:pPr>
      <w:r w:rsidRPr="005516CD">
        <w:rPr>
          <w:lang w:val="en-US"/>
        </w:rPr>
        <w:t>Demonstrates political and diplomatic judgment, impartiality and discretion and responds positively to critical opinions</w:t>
      </w:r>
    </w:p>
    <w:p w14:paraId="42F46510" w14:textId="77777777" w:rsidR="000D1B37" w:rsidRPr="005516CD" w:rsidRDefault="000D1B37" w:rsidP="00FB5829">
      <w:pPr>
        <w:pStyle w:val="Body"/>
        <w:numPr>
          <w:ilvl w:val="0"/>
          <w:numId w:val="137"/>
        </w:numPr>
        <w:spacing w:after="0"/>
        <w:rPr>
          <w:lang w:val="en-US"/>
        </w:rPr>
      </w:pPr>
      <w:r w:rsidRPr="005516CD">
        <w:rPr>
          <w:lang w:val="en-US"/>
        </w:rPr>
        <w:t>Demonstrates creativity and innovation</w:t>
      </w:r>
    </w:p>
    <w:p w14:paraId="34D5F2AD" w14:textId="77777777" w:rsidR="000D1B37" w:rsidRPr="005516CD" w:rsidRDefault="000D1B37" w:rsidP="00FB5829">
      <w:pPr>
        <w:pStyle w:val="Body"/>
        <w:numPr>
          <w:ilvl w:val="0"/>
          <w:numId w:val="137"/>
        </w:numPr>
        <w:spacing w:after="0"/>
        <w:rPr>
          <w:lang w:val="en-US"/>
        </w:rPr>
      </w:pPr>
      <w:r w:rsidRPr="005516CD">
        <w:rPr>
          <w:lang w:val="en-US"/>
        </w:rPr>
        <w:t>Can work independently, pragmatically, under high pressure and manage work frustrations</w:t>
      </w:r>
    </w:p>
    <w:p w14:paraId="0ECBA4DA" w14:textId="77777777" w:rsidR="000D1B37" w:rsidRPr="005516CD" w:rsidRDefault="000D1B37" w:rsidP="00FB5829">
      <w:pPr>
        <w:pStyle w:val="Body"/>
        <w:numPr>
          <w:ilvl w:val="0"/>
          <w:numId w:val="137"/>
        </w:numPr>
        <w:spacing w:after="0"/>
        <w:rPr>
          <w:lang w:val="en-US"/>
        </w:rPr>
      </w:pPr>
      <w:r w:rsidRPr="005516CD">
        <w:rPr>
          <w:lang w:val="en-US"/>
        </w:rPr>
        <w:t>Demonstrates excellent oral and written communication skills</w:t>
      </w:r>
    </w:p>
    <w:p w14:paraId="357FF60B" w14:textId="77777777" w:rsidR="000D1B37" w:rsidRPr="005516CD" w:rsidRDefault="000D1B37" w:rsidP="00FB5829">
      <w:pPr>
        <w:pStyle w:val="Body"/>
        <w:numPr>
          <w:ilvl w:val="0"/>
          <w:numId w:val="137"/>
        </w:numPr>
        <w:spacing w:after="0"/>
        <w:rPr>
          <w:lang w:val="en-US"/>
        </w:rPr>
      </w:pPr>
      <w:r w:rsidRPr="005516CD">
        <w:rPr>
          <w:lang w:val="en-US"/>
        </w:rPr>
        <w:t>Establishes strong relationships with customers and external actors</w:t>
      </w:r>
    </w:p>
    <w:p w14:paraId="090EDC57" w14:textId="77777777" w:rsidR="000D1B37" w:rsidRPr="005516CD" w:rsidRDefault="000D1B37" w:rsidP="00FB5829">
      <w:pPr>
        <w:pStyle w:val="Body"/>
        <w:numPr>
          <w:ilvl w:val="0"/>
          <w:numId w:val="137"/>
        </w:numPr>
        <w:spacing w:after="120"/>
        <w:ind w:left="714" w:hanging="357"/>
        <w:rPr>
          <w:lang w:val="en-US"/>
        </w:rPr>
      </w:pPr>
      <w:r w:rsidRPr="005516CD">
        <w:rPr>
          <w:lang w:val="en-US"/>
        </w:rPr>
        <w:t>Demonstrates sensitivity and adaptability to individual differences (gender, age, religion, etc.)</w:t>
      </w:r>
    </w:p>
    <w:p w14:paraId="1A27AF01" w14:textId="77777777" w:rsidR="000D1B37" w:rsidRPr="003B2210" w:rsidRDefault="000D1B37" w:rsidP="000D1B37">
      <w:pPr>
        <w:pStyle w:val="Body"/>
        <w:rPr>
          <w:i/>
        </w:rPr>
      </w:pPr>
      <w:r w:rsidRPr="003B2210">
        <w:rPr>
          <w:i/>
        </w:rPr>
        <w:t>Operational and Technical Skills:</w:t>
      </w:r>
    </w:p>
    <w:p w14:paraId="7F717215" w14:textId="77777777" w:rsidR="000D1B37" w:rsidRPr="005516CD" w:rsidRDefault="000D1B37" w:rsidP="00FB5829">
      <w:pPr>
        <w:pStyle w:val="Body"/>
        <w:numPr>
          <w:ilvl w:val="0"/>
          <w:numId w:val="137"/>
        </w:numPr>
        <w:spacing w:after="0"/>
        <w:rPr>
          <w:lang w:val="en-US"/>
        </w:rPr>
      </w:pPr>
      <w:r w:rsidRPr="005516CD">
        <w:rPr>
          <w:lang w:val="en-US"/>
        </w:rPr>
        <w:t xml:space="preserve">Strong ability to analyze and synthesize situations and to find solutions </w:t>
      </w:r>
    </w:p>
    <w:p w14:paraId="3E327CBA" w14:textId="77777777" w:rsidR="000D1B37" w:rsidRPr="005516CD" w:rsidRDefault="000D1B37" w:rsidP="00FB5829">
      <w:pPr>
        <w:pStyle w:val="Body"/>
        <w:numPr>
          <w:ilvl w:val="0"/>
          <w:numId w:val="137"/>
        </w:numPr>
        <w:spacing w:after="0"/>
        <w:rPr>
          <w:lang w:val="en-US"/>
        </w:rPr>
      </w:pPr>
      <w:r w:rsidRPr="005516CD">
        <w:rPr>
          <w:lang w:val="en-US"/>
        </w:rPr>
        <w:t xml:space="preserve">Ability to work under time and results constraints </w:t>
      </w:r>
    </w:p>
    <w:p w14:paraId="31E7B108" w14:textId="77777777" w:rsidR="000D1B37" w:rsidRPr="005516CD" w:rsidRDefault="000D1B37" w:rsidP="00FB5829">
      <w:pPr>
        <w:pStyle w:val="Body"/>
        <w:numPr>
          <w:ilvl w:val="0"/>
          <w:numId w:val="137"/>
        </w:numPr>
        <w:spacing w:after="0"/>
        <w:rPr>
          <w:lang w:val="en-US"/>
        </w:rPr>
      </w:pPr>
      <w:r w:rsidRPr="005516CD">
        <w:rPr>
          <w:lang w:val="en-US"/>
        </w:rPr>
        <w:t>Ability and interest in working as a team in a multicultural environment</w:t>
      </w:r>
    </w:p>
    <w:p w14:paraId="207F41FF" w14:textId="77777777" w:rsidR="000D1B37" w:rsidRPr="005516CD" w:rsidRDefault="000D1B37" w:rsidP="00FB5829">
      <w:pPr>
        <w:pStyle w:val="Body"/>
        <w:numPr>
          <w:ilvl w:val="0"/>
          <w:numId w:val="137"/>
        </w:numPr>
        <w:spacing w:after="0"/>
        <w:rPr>
          <w:lang w:val="en-US"/>
        </w:rPr>
      </w:pPr>
      <w:r w:rsidRPr="005516CD">
        <w:rPr>
          <w:lang w:val="en-US"/>
        </w:rPr>
        <w:t>Ability to communicate effectively with the various partners involved</w:t>
      </w:r>
    </w:p>
    <w:p w14:paraId="4D138F0E" w14:textId="77777777" w:rsidR="000D1B37" w:rsidRPr="005516CD" w:rsidRDefault="000D1B37" w:rsidP="00FB5829">
      <w:pPr>
        <w:pStyle w:val="Body"/>
        <w:numPr>
          <w:ilvl w:val="0"/>
          <w:numId w:val="137"/>
        </w:numPr>
        <w:spacing w:after="0"/>
        <w:rPr>
          <w:lang w:val="en-US"/>
        </w:rPr>
      </w:pPr>
      <w:r w:rsidRPr="005516CD">
        <w:rPr>
          <w:lang w:val="en-US"/>
        </w:rPr>
        <w:t xml:space="preserve">Ability to work in a multidisciplinary team </w:t>
      </w:r>
    </w:p>
    <w:p w14:paraId="0263E781" w14:textId="77777777" w:rsidR="000D1B37" w:rsidRPr="005516CD" w:rsidRDefault="000D1B37" w:rsidP="00FB5829">
      <w:pPr>
        <w:pStyle w:val="Body"/>
        <w:numPr>
          <w:ilvl w:val="0"/>
          <w:numId w:val="137"/>
        </w:numPr>
        <w:spacing w:after="0"/>
        <w:rPr>
          <w:lang w:val="en-US"/>
        </w:rPr>
      </w:pPr>
      <w:r w:rsidRPr="005516CD">
        <w:rPr>
          <w:lang w:val="en-US"/>
        </w:rPr>
        <w:t>Ability to plan, prioritize and organize tasks</w:t>
      </w:r>
    </w:p>
    <w:p w14:paraId="4DB4E40E" w14:textId="77777777" w:rsidR="000D1B37" w:rsidRPr="005516CD" w:rsidRDefault="000D1B37" w:rsidP="00FB5829">
      <w:pPr>
        <w:pStyle w:val="Body"/>
        <w:numPr>
          <w:ilvl w:val="0"/>
          <w:numId w:val="137"/>
        </w:numPr>
        <w:spacing w:after="0"/>
        <w:rPr>
          <w:lang w:val="en-US"/>
        </w:rPr>
      </w:pPr>
      <w:r w:rsidRPr="005516CD">
        <w:rPr>
          <w:lang w:val="en-US"/>
        </w:rPr>
        <w:t xml:space="preserve">Proficiency in computer tools, current software and other computer applications, good knowledge of the ATLAS system </w:t>
      </w:r>
    </w:p>
    <w:p w14:paraId="2F9DBCAA" w14:textId="77777777" w:rsidR="000D1B37" w:rsidRPr="005516CD" w:rsidRDefault="000D1B37" w:rsidP="00FB5829">
      <w:pPr>
        <w:pStyle w:val="Body"/>
        <w:numPr>
          <w:ilvl w:val="0"/>
          <w:numId w:val="137"/>
        </w:numPr>
        <w:spacing w:after="0"/>
        <w:rPr>
          <w:lang w:val="en-US"/>
        </w:rPr>
      </w:pPr>
      <w:r w:rsidRPr="005516CD">
        <w:rPr>
          <w:lang w:val="en-US"/>
        </w:rPr>
        <w:t>Excellent knowledge of financial rules and regulations, accounting</w:t>
      </w:r>
    </w:p>
    <w:p w14:paraId="515B8C7D" w14:textId="77777777" w:rsidR="000D1B37" w:rsidRPr="005516CD" w:rsidRDefault="000D1B37" w:rsidP="00FB5829">
      <w:pPr>
        <w:pStyle w:val="Body"/>
        <w:numPr>
          <w:ilvl w:val="0"/>
          <w:numId w:val="137"/>
        </w:numPr>
        <w:spacing w:after="0"/>
        <w:rPr>
          <w:lang w:val="en-US"/>
        </w:rPr>
      </w:pPr>
      <w:r w:rsidRPr="005516CD">
        <w:rPr>
          <w:lang w:val="en-US"/>
        </w:rPr>
        <w:t>A perfect command of the French and Creole languages, both written and oral, is essential; A working knowledge of English is an asset</w:t>
      </w:r>
    </w:p>
    <w:p w14:paraId="4029833B" w14:textId="77777777" w:rsidR="000D1B37" w:rsidRPr="005516CD" w:rsidRDefault="000D1B37" w:rsidP="00FB5829">
      <w:pPr>
        <w:pStyle w:val="Body"/>
        <w:numPr>
          <w:ilvl w:val="0"/>
          <w:numId w:val="137"/>
        </w:numPr>
        <w:spacing w:after="120"/>
        <w:ind w:left="714" w:hanging="357"/>
        <w:rPr>
          <w:lang w:val="en-US"/>
        </w:rPr>
      </w:pPr>
      <w:r w:rsidRPr="005516CD">
        <w:rPr>
          <w:lang w:val="en-US"/>
        </w:rPr>
        <w:t>Knowledge of new information technologies (basic software: Word, Excel, PowerPoint; practice of e-mail and networking etc.).</w:t>
      </w:r>
    </w:p>
    <w:p w14:paraId="139C56E3" w14:textId="77777777" w:rsidR="000D1B37" w:rsidRPr="005516CD" w:rsidRDefault="000D1B37" w:rsidP="00FB5829">
      <w:pPr>
        <w:pStyle w:val="Body"/>
        <w:keepNext/>
        <w:rPr>
          <w:i/>
          <w:u w:val="single"/>
        </w:rPr>
      </w:pPr>
      <w:r w:rsidRPr="005516CD">
        <w:rPr>
          <w:i/>
          <w:u w:val="single"/>
        </w:rPr>
        <w:t>Education and experience requirements:</w:t>
      </w:r>
    </w:p>
    <w:p w14:paraId="6FBDFDE1" w14:textId="77777777" w:rsidR="000D1B37" w:rsidRPr="005516CD" w:rsidRDefault="000D1B37" w:rsidP="00FB5829">
      <w:pPr>
        <w:pStyle w:val="Body"/>
        <w:numPr>
          <w:ilvl w:val="0"/>
          <w:numId w:val="137"/>
        </w:numPr>
        <w:spacing w:after="0"/>
        <w:rPr>
          <w:lang w:val="en-US"/>
        </w:rPr>
      </w:pPr>
      <w:r w:rsidRPr="005516CD">
        <w:rPr>
          <w:lang w:val="en-US"/>
        </w:rPr>
        <w:t xml:space="preserve">Have a degree in economics or management sciences, finance, accounting, auditing or equivalent </w:t>
      </w:r>
    </w:p>
    <w:p w14:paraId="2D846C82" w14:textId="15653ED7" w:rsidR="000D1B37" w:rsidRPr="00EB5D8B" w:rsidRDefault="000D1B37" w:rsidP="00EB5D8B">
      <w:pPr>
        <w:pStyle w:val="Body"/>
        <w:numPr>
          <w:ilvl w:val="0"/>
          <w:numId w:val="137"/>
        </w:numPr>
        <w:spacing w:after="0"/>
        <w:rPr>
          <w:lang w:val="en-US"/>
        </w:rPr>
      </w:pPr>
      <w:r w:rsidRPr="00EB5D8B">
        <w:rPr>
          <w:lang w:val="en-US"/>
        </w:rPr>
        <w:t>Experience:</w:t>
      </w:r>
      <w:r w:rsidR="00EB5D8B" w:rsidRPr="00EB5D8B">
        <w:rPr>
          <w:lang w:val="en-US"/>
        </w:rPr>
        <w:t xml:space="preserve"> </w:t>
      </w:r>
      <w:r w:rsidRPr="00EB5D8B">
        <w:rPr>
          <w:lang w:val="en-US"/>
        </w:rPr>
        <w:t>At least five (5) years' experience of progressive financial or accounting responsibilities required at the national or international level, with knowledge of program and project management</w:t>
      </w:r>
    </w:p>
    <w:p w14:paraId="4C4386CD" w14:textId="77777777" w:rsidR="000D1B37" w:rsidRPr="005516CD" w:rsidRDefault="000D1B37" w:rsidP="00FB5829">
      <w:pPr>
        <w:pStyle w:val="Body"/>
        <w:numPr>
          <w:ilvl w:val="0"/>
          <w:numId w:val="137"/>
        </w:numPr>
        <w:spacing w:after="0"/>
        <w:rPr>
          <w:lang w:val="en-US"/>
        </w:rPr>
      </w:pPr>
      <w:r w:rsidRPr="005516CD">
        <w:rPr>
          <w:lang w:val="en-US"/>
        </w:rPr>
        <w:t>Knowledge of UNDP project management rules and procedures (highly desirable)</w:t>
      </w:r>
    </w:p>
    <w:p w14:paraId="55973C90" w14:textId="77777777" w:rsidR="000D1B37" w:rsidRPr="005516CD" w:rsidRDefault="000D1B37" w:rsidP="00FB5829">
      <w:pPr>
        <w:pStyle w:val="Body"/>
        <w:numPr>
          <w:ilvl w:val="0"/>
          <w:numId w:val="137"/>
        </w:numPr>
        <w:spacing w:after="0"/>
        <w:rPr>
          <w:lang w:val="en-US"/>
        </w:rPr>
      </w:pPr>
      <w:r w:rsidRPr="005516CD">
        <w:rPr>
          <w:lang w:val="en-US"/>
        </w:rPr>
        <w:t xml:space="preserve">Knowledge of United Nations accounting procedures and systems and joint </w:t>
      </w:r>
      <w:proofErr w:type="spellStart"/>
      <w:r w:rsidRPr="005516CD">
        <w:rPr>
          <w:lang w:val="en-US"/>
        </w:rPr>
        <w:t>programmes</w:t>
      </w:r>
      <w:proofErr w:type="spellEnd"/>
      <w:r w:rsidRPr="005516CD">
        <w:rPr>
          <w:lang w:val="en-US"/>
        </w:rPr>
        <w:t xml:space="preserve"> in particular.</w:t>
      </w:r>
    </w:p>
    <w:p w14:paraId="25FB5534" w14:textId="77777777" w:rsidR="000D1B37" w:rsidRPr="005516CD" w:rsidRDefault="000D1B37" w:rsidP="00FB5829">
      <w:pPr>
        <w:pStyle w:val="Body"/>
        <w:numPr>
          <w:ilvl w:val="0"/>
          <w:numId w:val="137"/>
        </w:numPr>
        <w:spacing w:after="0"/>
        <w:rPr>
          <w:lang w:val="en-US"/>
        </w:rPr>
      </w:pPr>
      <w:r w:rsidRPr="005516CD">
        <w:rPr>
          <w:lang w:val="en-US"/>
        </w:rPr>
        <w:t>Experience in accounting, IPSAS standards.</w:t>
      </w:r>
    </w:p>
    <w:p w14:paraId="36006D27" w14:textId="77777777" w:rsidR="000D1B37" w:rsidRPr="005516CD" w:rsidRDefault="000D1B37" w:rsidP="00FB5829">
      <w:pPr>
        <w:pStyle w:val="Body"/>
        <w:numPr>
          <w:ilvl w:val="0"/>
          <w:numId w:val="137"/>
        </w:numPr>
        <w:spacing w:after="0"/>
        <w:rPr>
          <w:lang w:val="en-US"/>
        </w:rPr>
      </w:pPr>
      <w:r w:rsidRPr="005516CD">
        <w:rPr>
          <w:lang w:val="en-US"/>
        </w:rPr>
        <w:t>Perfect knowledge of ERP management software such as Atlas; and of United Nations system procedures in finance and administration (highly desirable).</w:t>
      </w:r>
    </w:p>
    <w:p w14:paraId="49685306" w14:textId="77777777" w:rsidR="000D1B37" w:rsidRPr="005516CD" w:rsidRDefault="000D1B37" w:rsidP="000D1B37">
      <w:pPr>
        <w:pStyle w:val="Body"/>
        <w:rPr>
          <w:b/>
          <w:i/>
        </w:rPr>
      </w:pPr>
    </w:p>
    <w:p w14:paraId="75F2224D" w14:textId="77777777" w:rsidR="00E83450" w:rsidRPr="005516CD" w:rsidRDefault="00E83450" w:rsidP="00FB5829">
      <w:pPr>
        <w:pStyle w:val="Body"/>
        <w:spacing w:after="120"/>
        <w:ind w:left="714"/>
        <w:rPr>
          <w:lang w:val="en-US"/>
        </w:rPr>
      </w:pPr>
    </w:p>
    <w:p w14:paraId="651ACE4B" w14:textId="02CCB61B" w:rsidR="000D1B37" w:rsidRPr="005516CD" w:rsidRDefault="000D1B37" w:rsidP="003B2210">
      <w:pPr>
        <w:pStyle w:val="Body"/>
        <w:numPr>
          <w:ilvl w:val="1"/>
          <w:numId w:val="164"/>
        </w:numPr>
        <w:ind w:left="567"/>
        <w:rPr>
          <w:rStyle w:val="None"/>
          <w:bCs/>
          <w:u w:val="single"/>
          <w:lang w:val="nl-NL"/>
        </w:rPr>
      </w:pPr>
      <w:r w:rsidRPr="003B2210">
        <w:rPr>
          <w:rStyle w:val="None"/>
          <w:b/>
          <w:bCs/>
          <w:u w:val="single"/>
          <w:lang w:val="nl-NL"/>
        </w:rPr>
        <w:t>Technical </w:t>
      </w:r>
      <w:r w:rsidR="00F7427A">
        <w:rPr>
          <w:rStyle w:val="None"/>
          <w:b/>
          <w:bCs/>
          <w:u w:val="single"/>
          <w:lang w:val="nl-NL"/>
        </w:rPr>
        <w:t>Assistant</w:t>
      </w:r>
    </w:p>
    <w:p w14:paraId="506909DB" w14:textId="61A475C4" w:rsidR="000D1B37" w:rsidRPr="005516CD" w:rsidRDefault="000D1B37" w:rsidP="000D1B37">
      <w:pPr>
        <w:pStyle w:val="Body"/>
      </w:pPr>
      <w:r w:rsidRPr="005516CD">
        <w:t xml:space="preserve">Under the authority of </w:t>
      </w:r>
      <w:proofErr w:type="spellStart"/>
      <w:r w:rsidRPr="005516CD">
        <w:t>the</w:t>
      </w:r>
      <w:r w:rsidR="007A137F">
        <w:t>Deputy</w:t>
      </w:r>
      <w:proofErr w:type="spellEnd"/>
      <w:r w:rsidR="007A137F">
        <w:t xml:space="preserve"> Res. Rep. and the</w:t>
      </w:r>
      <w:r w:rsidRPr="005516CD">
        <w:t xml:space="preserve"> Head of the Resilience Unit and </w:t>
      </w:r>
      <w:r w:rsidR="00F7427A">
        <w:t xml:space="preserve">in close collaboration with the </w:t>
      </w:r>
      <w:r w:rsidR="007F6480">
        <w:rPr>
          <w:rStyle w:val="None"/>
          <w:bCs/>
          <w:lang w:val="nl-NL"/>
        </w:rPr>
        <w:t xml:space="preserve">Project </w:t>
      </w:r>
      <w:r w:rsidR="00F7427A">
        <w:t>Officer</w:t>
      </w:r>
      <w:r w:rsidRPr="005516CD">
        <w:t xml:space="preserve">, the Technical </w:t>
      </w:r>
      <w:r w:rsidR="00F7427A">
        <w:t>Assistant</w:t>
      </w:r>
      <w:r w:rsidR="00F7427A" w:rsidRPr="005516CD">
        <w:t xml:space="preserve"> </w:t>
      </w:r>
      <w:r w:rsidRPr="005516CD">
        <w:t>is responsible for the following activities:</w:t>
      </w:r>
      <w:r w:rsidR="007A137F">
        <w:t xml:space="preserve"> </w:t>
      </w:r>
    </w:p>
    <w:p w14:paraId="68AC0500" w14:textId="77777777" w:rsidR="000D1B37" w:rsidRPr="005516CD" w:rsidRDefault="000D1B37" w:rsidP="000D1B37">
      <w:pPr>
        <w:pStyle w:val="Body"/>
      </w:pPr>
      <w:r w:rsidRPr="005516CD">
        <w:t>In general terms:</w:t>
      </w:r>
    </w:p>
    <w:p w14:paraId="2A48C72A" w14:textId="77777777" w:rsidR="000D1B37" w:rsidRPr="005516CD" w:rsidRDefault="000D1B37" w:rsidP="00FB5829">
      <w:pPr>
        <w:pStyle w:val="Body"/>
        <w:numPr>
          <w:ilvl w:val="0"/>
          <w:numId w:val="137"/>
        </w:numPr>
        <w:spacing w:after="0"/>
        <w:rPr>
          <w:lang w:val="en-US"/>
        </w:rPr>
      </w:pPr>
      <w:r w:rsidRPr="005516CD">
        <w:rPr>
          <w:lang w:val="en-US"/>
        </w:rPr>
        <w:t>Support the implementation of the project</w:t>
      </w:r>
    </w:p>
    <w:p w14:paraId="450D5AE4" w14:textId="77777777" w:rsidR="000D1B37" w:rsidRPr="005516CD" w:rsidRDefault="000D1B37" w:rsidP="00FB5829">
      <w:pPr>
        <w:pStyle w:val="Body"/>
        <w:numPr>
          <w:ilvl w:val="0"/>
          <w:numId w:val="137"/>
        </w:numPr>
        <w:spacing w:after="0"/>
        <w:rPr>
          <w:lang w:val="en-US"/>
        </w:rPr>
      </w:pPr>
      <w:r w:rsidRPr="005516CD">
        <w:rPr>
          <w:lang w:val="en-US"/>
        </w:rPr>
        <w:t>Provide support to the project activity planning process</w:t>
      </w:r>
    </w:p>
    <w:p w14:paraId="2C64C55B" w14:textId="77777777" w:rsidR="000D1B37" w:rsidRPr="005516CD" w:rsidRDefault="000D1B37" w:rsidP="00FB5829">
      <w:pPr>
        <w:pStyle w:val="Body"/>
        <w:numPr>
          <w:ilvl w:val="0"/>
          <w:numId w:val="137"/>
        </w:numPr>
        <w:spacing w:after="0"/>
        <w:rPr>
          <w:lang w:val="en-US"/>
        </w:rPr>
      </w:pPr>
      <w:r w:rsidRPr="005516CD">
        <w:rPr>
          <w:lang w:val="en-US"/>
        </w:rPr>
        <w:t>Contribute to the conduct of studies relevant to the identification of project activities</w:t>
      </w:r>
    </w:p>
    <w:p w14:paraId="30F3F672" w14:textId="77777777" w:rsidR="000D1B37" w:rsidRPr="005516CD" w:rsidRDefault="000D1B37" w:rsidP="00FB5829">
      <w:pPr>
        <w:pStyle w:val="Body"/>
        <w:numPr>
          <w:ilvl w:val="0"/>
          <w:numId w:val="137"/>
        </w:numPr>
        <w:spacing w:after="0"/>
        <w:rPr>
          <w:lang w:val="en-US"/>
        </w:rPr>
      </w:pPr>
      <w:r w:rsidRPr="005516CD">
        <w:rPr>
          <w:lang w:val="en-US"/>
        </w:rPr>
        <w:t>Participate in the dissemination of key project results</w:t>
      </w:r>
    </w:p>
    <w:p w14:paraId="1A424AB5" w14:textId="77777777" w:rsidR="000D1B37" w:rsidRPr="005516CD" w:rsidRDefault="000D1B37" w:rsidP="00FB5829">
      <w:pPr>
        <w:pStyle w:val="Body"/>
        <w:numPr>
          <w:ilvl w:val="0"/>
          <w:numId w:val="137"/>
        </w:numPr>
        <w:spacing w:after="0"/>
        <w:rPr>
          <w:lang w:val="en-US"/>
        </w:rPr>
      </w:pPr>
      <w:r w:rsidRPr="005516CD">
        <w:rPr>
          <w:lang w:val="en-US"/>
        </w:rPr>
        <w:t>Support coordination with key project partners</w:t>
      </w:r>
    </w:p>
    <w:p w14:paraId="7C38CCAE" w14:textId="77777777" w:rsidR="000D1B37" w:rsidRPr="005516CD" w:rsidRDefault="000D1B37" w:rsidP="00FB5829">
      <w:pPr>
        <w:pStyle w:val="Body"/>
        <w:numPr>
          <w:ilvl w:val="0"/>
          <w:numId w:val="137"/>
        </w:numPr>
        <w:spacing w:after="0"/>
        <w:rPr>
          <w:lang w:val="en-US"/>
        </w:rPr>
      </w:pPr>
      <w:r w:rsidRPr="005516CD">
        <w:rPr>
          <w:lang w:val="en-US"/>
        </w:rPr>
        <w:t>Support the monitoring and evaluation of project activities</w:t>
      </w:r>
    </w:p>
    <w:p w14:paraId="2A1121A1" w14:textId="77777777" w:rsidR="000D1B37" w:rsidRPr="005516CD" w:rsidRDefault="000D1B37" w:rsidP="00FB5829">
      <w:pPr>
        <w:pStyle w:val="Body"/>
        <w:numPr>
          <w:ilvl w:val="0"/>
          <w:numId w:val="137"/>
        </w:numPr>
        <w:spacing w:after="0"/>
        <w:rPr>
          <w:lang w:val="en-US"/>
        </w:rPr>
      </w:pPr>
      <w:r w:rsidRPr="005516CD">
        <w:rPr>
          <w:lang w:val="en-US"/>
        </w:rPr>
        <w:t>Provide regular reports on the progress of pilot projects;</w:t>
      </w:r>
    </w:p>
    <w:p w14:paraId="6E43DF0C" w14:textId="3D60A4D8" w:rsidR="000D1B37" w:rsidRPr="005516CD" w:rsidRDefault="000D1B37" w:rsidP="00FB5829">
      <w:pPr>
        <w:pStyle w:val="Body"/>
        <w:numPr>
          <w:ilvl w:val="0"/>
          <w:numId w:val="137"/>
        </w:numPr>
        <w:spacing w:after="0"/>
        <w:rPr>
          <w:lang w:val="en-US"/>
        </w:rPr>
      </w:pPr>
      <w:r w:rsidRPr="005516CD">
        <w:rPr>
          <w:lang w:val="en-US"/>
        </w:rPr>
        <w:t xml:space="preserve">Perform, at the request of the Project </w:t>
      </w:r>
      <w:r w:rsidR="00201734">
        <w:rPr>
          <w:lang w:val="en-US"/>
        </w:rPr>
        <w:t>Officer</w:t>
      </w:r>
      <w:r w:rsidRPr="005516CD">
        <w:rPr>
          <w:lang w:val="en-US"/>
        </w:rPr>
        <w:t>, any other task likely to promote the successful implementation of the project.</w:t>
      </w:r>
    </w:p>
    <w:p w14:paraId="3CD0CD17" w14:textId="77777777" w:rsidR="00D45819" w:rsidRPr="005516CD" w:rsidRDefault="00D45819" w:rsidP="00FB5829">
      <w:pPr>
        <w:pStyle w:val="Body"/>
        <w:spacing w:after="0"/>
        <w:rPr>
          <w:lang w:val="en-US"/>
        </w:rPr>
      </w:pPr>
      <w:r w:rsidRPr="005516CD">
        <w:rPr>
          <w:lang w:val="en-US"/>
        </w:rPr>
        <w:t>Specific areas of work:</w:t>
      </w:r>
    </w:p>
    <w:p w14:paraId="3158BD67" w14:textId="77777777" w:rsidR="00D45819" w:rsidRPr="005516CD" w:rsidRDefault="00D45819" w:rsidP="00FC4D29">
      <w:pPr>
        <w:pStyle w:val="Body"/>
        <w:numPr>
          <w:ilvl w:val="0"/>
          <w:numId w:val="137"/>
        </w:numPr>
        <w:spacing w:after="0"/>
        <w:rPr>
          <w:lang w:val="en-US"/>
        </w:rPr>
      </w:pPr>
      <w:r w:rsidRPr="005516CD">
        <w:rPr>
          <w:lang w:val="en-US"/>
        </w:rPr>
        <w:t xml:space="preserve">Advise on and oversee project activities in support of </w:t>
      </w:r>
      <w:proofErr w:type="spellStart"/>
      <w:r w:rsidRPr="005516CD">
        <w:rPr>
          <w:lang w:val="en-US"/>
        </w:rPr>
        <w:t>natual</w:t>
      </w:r>
      <w:proofErr w:type="spellEnd"/>
      <w:r w:rsidRPr="005516CD">
        <w:rPr>
          <w:lang w:val="en-US"/>
        </w:rPr>
        <w:t xml:space="preserve"> resource governance, institutional strengthening and policy development</w:t>
      </w:r>
    </w:p>
    <w:p w14:paraId="3466EE49" w14:textId="77777777" w:rsidR="000D1B37" w:rsidRPr="005516CD" w:rsidRDefault="000D1B37" w:rsidP="00FB5829">
      <w:pPr>
        <w:pStyle w:val="Body"/>
        <w:numPr>
          <w:ilvl w:val="0"/>
          <w:numId w:val="137"/>
        </w:numPr>
        <w:spacing w:after="0"/>
        <w:rPr>
          <w:lang w:val="en-US"/>
        </w:rPr>
      </w:pPr>
      <w:r w:rsidRPr="005516CD">
        <w:rPr>
          <w:lang w:val="en-US"/>
        </w:rPr>
        <w:t>Support project team in the planning and implementation of activities aimed at strengthening natural resources and environmental governance mechanisms.</w:t>
      </w:r>
    </w:p>
    <w:p w14:paraId="6BD04680" w14:textId="77777777" w:rsidR="000D1B37" w:rsidRPr="005516CD" w:rsidRDefault="000D1B37" w:rsidP="00FB5829">
      <w:pPr>
        <w:pStyle w:val="Body"/>
        <w:numPr>
          <w:ilvl w:val="0"/>
          <w:numId w:val="137"/>
        </w:numPr>
        <w:spacing w:after="0"/>
        <w:rPr>
          <w:lang w:val="en-US"/>
        </w:rPr>
      </w:pPr>
      <w:r w:rsidRPr="005516CD">
        <w:rPr>
          <w:lang w:val="en-US"/>
        </w:rPr>
        <w:t xml:space="preserve">Support the development of initiatives aimed at the sustainable management of watersheds, value chains by integrating regulated use and the integration of local populations. </w:t>
      </w:r>
    </w:p>
    <w:p w14:paraId="302D907E" w14:textId="77777777" w:rsidR="000D1B37" w:rsidRPr="005516CD" w:rsidRDefault="000D1B37" w:rsidP="00FB5829">
      <w:pPr>
        <w:pStyle w:val="Body"/>
        <w:numPr>
          <w:ilvl w:val="0"/>
          <w:numId w:val="137"/>
        </w:numPr>
        <w:spacing w:after="0"/>
        <w:rPr>
          <w:lang w:val="en-US"/>
        </w:rPr>
      </w:pPr>
      <w:r w:rsidRPr="005516CD">
        <w:rPr>
          <w:lang w:val="en-US"/>
        </w:rPr>
        <w:t>Facilitate the implementation of viable, adaptable and sustainable alternative strategies to reduce pressure on natural resources and biodiversity conservation</w:t>
      </w:r>
    </w:p>
    <w:p w14:paraId="5F0CEC24" w14:textId="77777777" w:rsidR="000D1B37" w:rsidRPr="005516CD" w:rsidRDefault="000D1B37" w:rsidP="00FB5829">
      <w:pPr>
        <w:pStyle w:val="Body"/>
        <w:numPr>
          <w:ilvl w:val="0"/>
          <w:numId w:val="137"/>
        </w:numPr>
        <w:spacing w:after="0"/>
        <w:rPr>
          <w:lang w:val="en-US"/>
        </w:rPr>
      </w:pPr>
      <w:r w:rsidRPr="005516CD">
        <w:rPr>
          <w:lang w:val="en-US"/>
        </w:rPr>
        <w:t>Contribute to local capacity building activities in a sustainable management perspective for value chain</w:t>
      </w:r>
    </w:p>
    <w:p w14:paraId="0DCC0E07" w14:textId="77777777" w:rsidR="000D1B37" w:rsidRPr="005516CD" w:rsidRDefault="000D1B37" w:rsidP="00FB5829">
      <w:pPr>
        <w:pStyle w:val="Body"/>
        <w:numPr>
          <w:ilvl w:val="0"/>
          <w:numId w:val="137"/>
        </w:numPr>
        <w:spacing w:after="0"/>
        <w:rPr>
          <w:lang w:val="en-US"/>
        </w:rPr>
      </w:pPr>
      <w:r w:rsidRPr="005516CD">
        <w:rPr>
          <w:lang w:val="en-US"/>
        </w:rPr>
        <w:t xml:space="preserve">Promote and support the development of good practices related to the sustainable management, biodiversity conservation </w:t>
      </w:r>
    </w:p>
    <w:p w14:paraId="6842DA10" w14:textId="77777777" w:rsidR="000D1B37" w:rsidRPr="005516CD" w:rsidRDefault="000D1B37" w:rsidP="00FB5829">
      <w:pPr>
        <w:pStyle w:val="Body"/>
        <w:numPr>
          <w:ilvl w:val="0"/>
          <w:numId w:val="137"/>
        </w:numPr>
        <w:spacing w:after="0"/>
        <w:rPr>
          <w:lang w:val="en-US"/>
        </w:rPr>
      </w:pPr>
      <w:r w:rsidRPr="005516CD">
        <w:rPr>
          <w:lang w:val="en-US"/>
        </w:rPr>
        <w:t>Contribute to the strengthening of synergy bridges between the actors (private, civil society, public), strategic operators involved in the implementation of the project at the regional level through better coordination</w:t>
      </w:r>
    </w:p>
    <w:p w14:paraId="67B48881" w14:textId="77777777" w:rsidR="000D1B37" w:rsidRPr="005516CD" w:rsidRDefault="000D1B37" w:rsidP="00FB5829">
      <w:pPr>
        <w:pStyle w:val="Body"/>
        <w:numPr>
          <w:ilvl w:val="0"/>
          <w:numId w:val="137"/>
        </w:numPr>
        <w:spacing w:after="0"/>
        <w:rPr>
          <w:lang w:val="en-US"/>
        </w:rPr>
      </w:pPr>
      <w:r w:rsidRPr="005516CD">
        <w:rPr>
          <w:lang w:val="en-US"/>
        </w:rPr>
        <w:t>Ensure that the development of the main components is aligned with the agenda of the Sustainable Development Goals (SDGs) and the frameworks defined between the government and the United Nations system</w:t>
      </w:r>
    </w:p>
    <w:p w14:paraId="13E59DE6" w14:textId="77777777" w:rsidR="000D1B37" w:rsidRPr="003B2210" w:rsidRDefault="000D1B37" w:rsidP="000D1B37">
      <w:pPr>
        <w:pStyle w:val="Body"/>
        <w:rPr>
          <w:i/>
        </w:rPr>
      </w:pPr>
      <w:r w:rsidRPr="003B2210">
        <w:rPr>
          <w:i/>
        </w:rPr>
        <w:t>Competencies</w:t>
      </w:r>
    </w:p>
    <w:p w14:paraId="6AE73CA5" w14:textId="77777777" w:rsidR="000D1B37" w:rsidRPr="005516CD" w:rsidRDefault="000D1B37" w:rsidP="000D1B37">
      <w:pPr>
        <w:pStyle w:val="Body"/>
        <w:rPr>
          <w:i/>
          <w:u w:val="single"/>
        </w:rPr>
      </w:pPr>
      <w:r w:rsidRPr="005516CD">
        <w:rPr>
          <w:i/>
          <w:u w:val="single"/>
        </w:rPr>
        <w:t>General Qualification:</w:t>
      </w:r>
    </w:p>
    <w:p w14:paraId="440E79B5" w14:textId="77777777" w:rsidR="000D1B37" w:rsidRPr="005516CD" w:rsidRDefault="000D1B37" w:rsidP="00FB5829">
      <w:pPr>
        <w:pStyle w:val="Body"/>
        <w:numPr>
          <w:ilvl w:val="0"/>
          <w:numId w:val="137"/>
        </w:numPr>
        <w:spacing w:after="0"/>
        <w:rPr>
          <w:lang w:val="en-US"/>
        </w:rPr>
      </w:pPr>
      <w:r w:rsidRPr="005516CD">
        <w:rPr>
          <w:lang w:val="en-US"/>
        </w:rPr>
        <w:t>Demonstrates integrity and acts in accordance with United Nations values and ethics;</w:t>
      </w:r>
    </w:p>
    <w:p w14:paraId="7A5FE0A7" w14:textId="77777777" w:rsidR="000D1B37" w:rsidRPr="005516CD" w:rsidRDefault="000D1B37" w:rsidP="00FB5829">
      <w:pPr>
        <w:pStyle w:val="Body"/>
        <w:numPr>
          <w:ilvl w:val="0"/>
          <w:numId w:val="137"/>
        </w:numPr>
        <w:spacing w:after="0"/>
        <w:rPr>
          <w:lang w:val="en-US"/>
        </w:rPr>
      </w:pPr>
      <w:r w:rsidRPr="005516CD">
        <w:rPr>
          <w:lang w:val="en-US"/>
        </w:rPr>
        <w:t>Demonstrates political and diplomatic judgment, impartiality and discretion;</w:t>
      </w:r>
    </w:p>
    <w:p w14:paraId="4B3A66F2" w14:textId="77777777" w:rsidR="000D1B37" w:rsidRPr="005516CD" w:rsidRDefault="000D1B37" w:rsidP="00FB5829">
      <w:pPr>
        <w:pStyle w:val="Body"/>
        <w:numPr>
          <w:ilvl w:val="0"/>
          <w:numId w:val="137"/>
        </w:numPr>
        <w:spacing w:after="0"/>
        <w:rPr>
          <w:lang w:val="en-US"/>
        </w:rPr>
      </w:pPr>
      <w:r w:rsidRPr="005516CD">
        <w:rPr>
          <w:lang w:val="en-US"/>
        </w:rPr>
        <w:t>Works easily in a team environment;</w:t>
      </w:r>
    </w:p>
    <w:p w14:paraId="1A8C2A8F" w14:textId="77777777" w:rsidR="000D1B37" w:rsidRPr="005516CD" w:rsidRDefault="000D1B37" w:rsidP="00FB5829">
      <w:pPr>
        <w:pStyle w:val="Body"/>
        <w:numPr>
          <w:ilvl w:val="0"/>
          <w:numId w:val="137"/>
        </w:numPr>
        <w:spacing w:after="0"/>
        <w:rPr>
          <w:lang w:val="en-US"/>
        </w:rPr>
      </w:pPr>
      <w:r w:rsidRPr="005516CD">
        <w:rPr>
          <w:lang w:val="en-US"/>
        </w:rPr>
        <w:t>Demonstrates sensitivity and adaptability to individual differences (gender, age, religion, etc.).</w:t>
      </w:r>
    </w:p>
    <w:p w14:paraId="0E495EDC" w14:textId="77777777" w:rsidR="000D1B37" w:rsidRPr="005516CD" w:rsidRDefault="000D1B37" w:rsidP="000D1B37">
      <w:pPr>
        <w:pStyle w:val="Body"/>
        <w:rPr>
          <w:i/>
          <w:u w:val="single"/>
        </w:rPr>
      </w:pPr>
      <w:r w:rsidRPr="005516CD">
        <w:rPr>
          <w:i/>
          <w:u w:val="single"/>
        </w:rPr>
        <w:t>Technical skills:</w:t>
      </w:r>
    </w:p>
    <w:p w14:paraId="2FC8C629" w14:textId="77777777" w:rsidR="000D1B37" w:rsidRPr="005516CD" w:rsidRDefault="000D1B37" w:rsidP="00FB5829">
      <w:pPr>
        <w:pStyle w:val="Body"/>
        <w:numPr>
          <w:ilvl w:val="0"/>
          <w:numId w:val="137"/>
        </w:numPr>
        <w:spacing w:after="0"/>
      </w:pPr>
      <w:r w:rsidRPr="005516CD">
        <w:t xml:space="preserve">At least 8 </w:t>
      </w:r>
      <w:r w:rsidRPr="005516CD">
        <w:rPr>
          <w:lang w:val="en-US"/>
        </w:rPr>
        <w:t>years'</w:t>
      </w:r>
      <w:r w:rsidRPr="005516CD">
        <w:t xml:space="preserve"> experience in watershed management, value chains</w:t>
      </w:r>
    </w:p>
    <w:p w14:paraId="4466DB20" w14:textId="3FA0C737" w:rsidR="000D1B37" w:rsidRPr="005516CD" w:rsidRDefault="007A137F" w:rsidP="00FB5829">
      <w:pPr>
        <w:pStyle w:val="Body"/>
        <w:numPr>
          <w:ilvl w:val="0"/>
          <w:numId w:val="137"/>
        </w:numPr>
        <w:spacing w:after="0"/>
        <w:rPr>
          <w:lang w:val="en-US"/>
        </w:rPr>
      </w:pPr>
      <w:r>
        <w:rPr>
          <w:lang w:val="en-US"/>
        </w:rPr>
        <w:t>E</w:t>
      </w:r>
      <w:r w:rsidR="000D1B37" w:rsidRPr="005516CD">
        <w:rPr>
          <w:lang w:val="en-US"/>
        </w:rPr>
        <w:t>xperience in Geomatics</w:t>
      </w:r>
      <w:r>
        <w:rPr>
          <w:lang w:val="en-US"/>
        </w:rPr>
        <w:t xml:space="preserve"> is a plus</w:t>
      </w:r>
      <w:r w:rsidR="000D1B37" w:rsidRPr="005516CD">
        <w:rPr>
          <w:lang w:val="en-US"/>
        </w:rPr>
        <w:t>.</w:t>
      </w:r>
    </w:p>
    <w:p w14:paraId="38F1385C" w14:textId="77777777" w:rsidR="000D1B37" w:rsidRPr="005516CD" w:rsidRDefault="000D1B37" w:rsidP="00FB5829">
      <w:pPr>
        <w:pStyle w:val="Body"/>
        <w:numPr>
          <w:ilvl w:val="0"/>
          <w:numId w:val="137"/>
        </w:numPr>
        <w:spacing w:after="0"/>
        <w:rPr>
          <w:lang w:val="en-US"/>
        </w:rPr>
      </w:pPr>
      <w:r w:rsidRPr="005516CD">
        <w:rPr>
          <w:lang w:val="en-US"/>
        </w:rPr>
        <w:t>Proven experience in field survey coordination and natural resource inventories</w:t>
      </w:r>
    </w:p>
    <w:p w14:paraId="190C042E" w14:textId="77777777" w:rsidR="000D1B37" w:rsidRPr="005516CD" w:rsidRDefault="000D1B37" w:rsidP="00FB5829">
      <w:pPr>
        <w:pStyle w:val="Body"/>
        <w:spacing w:after="0"/>
        <w:ind w:left="720"/>
        <w:rPr>
          <w:lang w:val="en-US"/>
        </w:rPr>
      </w:pPr>
      <w:r w:rsidRPr="005516CD">
        <w:rPr>
          <w:lang w:val="en-US"/>
        </w:rPr>
        <w:t>Ability to lead in defining strategic planning, results-oriented and reporting;</w:t>
      </w:r>
    </w:p>
    <w:p w14:paraId="7D091B9E" w14:textId="77777777" w:rsidR="000D1B37" w:rsidRPr="005516CD" w:rsidRDefault="000D1B37" w:rsidP="000D1B37">
      <w:pPr>
        <w:pStyle w:val="Body"/>
        <w:rPr>
          <w:i/>
          <w:u w:val="single"/>
        </w:rPr>
      </w:pPr>
      <w:r w:rsidRPr="005516CD">
        <w:rPr>
          <w:i/>
          <w:u w:val="single"/>
        </w:rPr>
        <w:t xml:space="preserve">Personal and Professional Skills: </w:t>
      </w:r>
    </w:p>
    <w:p w14:paraId="61758477" w14:textId="77777777" w:rsidR="000D1B37" w:rsidRPr="005516CD" w:rsidRDefault="000D1B37" w:rsidP="00FB5829">
      <w:pPr>
        <w:pStyle w:val="Body"/>
        <w:numPr>
          <w:ilvl w:val="0"/>
          <w:numId w:val="137"/>
        </w:numPr>
        <w:spacing w:after="0"/>
        <w:rPr>
          <w:lang w:val="en-US"/>
        </w:rPr>
      </w:pPr>
      <w:r w:rsidRPr="005516CD">
        <w:rPr>
          <w:lang w:val="en-US"/>
        </w:rPr>
        <w:t>Excellent organizational capacity</w:t>
      </w:r>
    </w:p>
    <w:p w14:paraId="7467C409" w14:textId="77777777" w:rsidR="000D1B37" w:rsidRPr="005516CD" w:rsidRDefault="000D1B37" w:rsidP="00FB5829">
      <w:pPr>
        <w:pStyle w:val="Body"/>
        <w:numPr>
          <w:ilvl w:val="0"/>
          <w:numId w:val="137"/>
        </w:numPr>
        <w:spacing w:after="0"/>
        <w:rPr>
          <w:lang w:val="en-US"/>
        </w:rPr>
      </w:pPr>
      <w:r w:rsidRPr="005516CD">
        <w:rPr>
          <w:lang w:val="en-US"/>
        </w:rPr>
        <w:t xml:space="preserve">Ability to work effectively and efficiently under pressure and in an emergency context </w:t>
      </w:r>
    </w:p>
    <w:p w14:paraId="4BD8824F" w14:textId="77777777" w:rsidR="000D1B37" w:rsidRPr="005516CD" w:rsidRDefault="000D1B37" w:rsidP="00FB5829">
      <w:pPr>
        <w:pStyle w:val="Body"/>
        <w:numPr>
          <w:ilvl w:val="0"/>
          <w:numId w:val="137"/>
        </w:numPr>
        <w:spacing w:after="0"/>
        <w:rPr>
          <w:lang w:val="en-US"/>
        </w:rPr>
      </w:pPr>
      <w:r w:rsidRPr="005516CD">
        <w:rPr>
          <w:lang w:val="en-US"/>
        </w:rPr>
        <w:t>Good knowledge of the environmental and socio-economic reality of Haiti</w:t>
      </w:r>
    </w:p>
    <w:p w14:paraId="4C0BE00C" w14:textId="77777777" w:rsidR="000D1B37" w:rsidRPr="005516CD" w:rsidRDefault="000D1B37" w:rsidP="00FB5829">
      <w:pPr>
        <w:pStyle w:val="Body"/>
        <w:numPr>
          <w:ilvl w:val="0"/>
          <w:numId w:val="137"/>
        </w:numPr>
        <w:spacing w:after="0"/>
        <w:rPr>
          <w:lang w:val="en-US"/>
        </w:rPr>
      </w:pPr>
      <w:r w:rsidRPr="005516CD">
        <w:rPr>
          <w:lang w:val="en-US"/>
        </w:rPr>
        <w:t xml:space="preserve">Excellent ability to prioritize actions and measures to be taken and solve problems </w:t>
      </w:r>
    </w:p>
    <w:p w14:paraId="7E9F13E8" w14:textId="77777777" w:rsidR="000D1B37" w:rsidRPr="005516CD" w:rsidRDefault="000D1B37" w:rsidP="00FB5829">
      <w:pPr>
        <w:pStyle w:val="Body"/>
        <w:numPr>
          <w:ilvl w:val="0"/>
          <w:numId w:val="137"/>
        </w:numPr>
        <w:spacing w:after="0"/>
        <w:rPr>
          <w:lang w:val="en-US"/>
        </w:rPr>
      </w:pPr>
      <w:r w:rsidRPr="005516CD">
        <w:rPr>
          <w:lang w:val="en-US"/>
        </w:rPr>
        <w:t>Good ability to coordinate teams and information</w:t>
      </w:r>
    </w:p>
    <w:p w14:paraId="37CBAC89" w14:textId="77777777" w:rsidR="000D1B37" w:rsidRPr="005516CD" w:rsidRDefault="000D1B37" w:rsidP="00FB5829">
      <w:pPr>
        <w:pStyle w:val="Body"/>
        <w:numPr>
          <w:ilvl w:val="0"/>
          <w:numId w:val="137"/>
        </w:numPr>
        <w:spacing w:after="0"/>
        <w:rPr>
          <w:lang w:val="en-US"/>
        </w:rPr>
      </w:pPr>
      <w:r w:rsidRPr="005516CD">
        <w:rPr>
          <w:lang w:val="en-US"/>
        </w:rPr>
        <w:t>Excellent ability to work alone or in a team</w:t>
      </w:r>
    </w:p>
    <w:p w14:paraId="1BA6C3FC" w14:textId="77777777" w:rsidR="000D1B37" w:rsidRPr="005516CD" w:rsidRDefault="000D1B37" w:rsidP="00FB5829">
      <w:pPr>
        <w:pStyle w:val="Body"/>
        <w:numPr>
          <w:ilvl w:val="0"/>
          <w:numId w:val="137"/>
        </w:numPr>
        <w:spacing w:after="0"/>
        <w:rPr>
          <w:lang w:val="en-US"/>
        </w:rPr>
      </w:pPr>
      <w:r w:rsidRPr="005516CD">
        <w:rPr>
          <w:lang w:val="en-US"/>
        </w:rPr>
        <w:t xml:space="preserve">Ability to work independently and take initiative </w:t>
      </w:r>
    </w:p>
    <w:p w14:paraId="67B96792" w14:textId="77777777" w:rsidR="000D1B37" w:rsidRPr="00F07E30" w:rsidRDefault="000D1B37" w:rsidP="00FB5829">
      <w:pPr>
        <w:pStyle w:val="Body"/>
        <w:numPr>
          <w:ilvl w:val="0"/>
          <w:numId w:val="137"/>
        </w:numPr>
        <w:spacing w:after="0"/>
        <w:rPr>
          <w:lang w:val="en-US"/>
        </w:rPr>
      </w:pPr>
      <w:r w:rsidRPr="00F07E30">
        <w:rPr>
          <w:lang w:val="en-US"/>
        </w:rPr>
        <w:t>A good knowledge of Haitian public administration is a plus</w:t>
      </w:r>
    </w:p>
    <w:p w14:paraId="4EC741C0" w14:textId="77777777" w:rsidR="000D1B37" w:rsidRPr="00F07E30" w:rsidRDefault="000D1B37" w:rsidP="000D1B37">
      <w:pPr>
        <w:pStyle w:val="Body"/>
      </w:pPr>
      <w:r w:rsidRPr="003B2210">
        <w:t>Education</w:t>
      </w:r>
      <w:r w:rsidRPr="00F07E30">
        <w:t xml:space="preserve">: </w:t>
      </w:r>
    </w:p>
    <w:p w14:paraId="4D324A4D" w14:textId="16074D2B" w:rsidR="000D1B37" w:rsidRPr="005516CD" w:rsidRDefault="007A137F" w:rsidP="00FB5829">
      <w:pPr>
        <w:pStyle w:val="Body"/>
        <w:numPr>
          <w:ilvl w:val="0"/>
          <w:numId w:val="137"/>
        </w:numPr>
        <w:spacing w:after="0"/>
        <w:rPr>
          <w:lang w:val="en-US"/>
        </w:rPr>
      </w:pPr>
      <w:r>
        <w:rPr>
          <w:lang w:val="en-US"/>
        </w:rPr>
        <w:t>Master’s degree</w:t>
      </w:r>
      <w:r w:rsidRPr="00F07E30">
        <w:rPr>
          <w:lang w:val="en-US"/>
        </w:rPr>
        <w:t xml:space="preserve"> </w:t>
      </w:r>
      <w:r w:rsidR="000D1B37" w:rsidRPr="00F07E30">
        <w:rPr>
          <w:lang w:val="en-US"/>
        </w:rPr>
        <w:t>in agronomic sciences and all other related disciplines, -A Specialization in natural resource</w:t>
      </w:r>
      <w:r w:rsidR="000D1B37" w:rsidRPr="005516CD">
        <w:rPr>
          <w:lang w:val="en-US"/>
        </w:rPr>
        <w:t xml:space="preserve"> management is an asset</w:t>
      </w:r>
    </w:p>
    <w:p w14:paraId="1D5946DD" w14:textId="77777777" w:rsidR="000D1B37" w:rsidRPr="005516CD" w:rsidRDefault="000D1B37" w:rsidP="000D1B37">
      <w:pPr>
        <w:pStyle w:val="Body"/>
        <w:rPr>
          <w:u w:val="single"/>
        </w:rPr>
      </w:pPr>
      <w:r w:rsidRPr="005516CD">
        <w:rPr>
          <w:u w:val="single"/>
        </w:rPr>
        <w:t>Experience:</w:t>
      </w:r>
    </w:p>
    <w:p w14:paraId="05004C6D" w14:textId="10B2778C" w:rsidR="000D1B37" w:rsidRPr="005516CD" w:rsidRDefault="000D1B37" w:rsidP="00FB5829">
      <w:pPr>
        <w:pStyle w:val="Body"/>
        <w:numPr>
          <w:ilvl w:val="0"/>
          <w:numId w:val="137"/>
        </w:numPr>
        <w:spacing w:after="0"/>
        <w:rPr>
          <w:lang w:val="en-US"/>
        </w:rPr>
      </w:pPr>
      <w:r w:rsidRPr="005516CD">
        <w:rPr>
          <w:lang w:val="en-US"/>
        </w:rPr>
        <w:t xml:space="preserve">Proven professional experience in the fields of </w:t>
      </w:r>
      <w:proofErr w:type="spellStart"/>
      <w:r w:rsidRPr="005516CD">
        <w:rPr>
          <w:lang w:val="en-US"/>
        </w:rPr>
        <w:t>landuse</w:t>
      </w:r>
      <w:proofErr w:type="spellEnd"/>
      <w:r w:rsidRPr="005516CD">
        <w:rPr>
          <w:lang w:val="en-US"/>
        </w:rPr>
        <w:t xml:space="preserve"> mapping, land use conflict and zoning; knowledge on the use of GIS software, knowledge on green commodities, approach to watershed management.</w:t>
      </w:r>
      <w:r w:rsidR="007A137F">
        <w:rPr>
          <w:lang w:val="en-US"/>
        </w:rPr>
        <w:t xml:space="preserve"> (desired)</w:t>
      </w:r>
    </w:p>
    <w:p w14:paraId="7780B7A7" w14:textId="77777777" w:rsidR="000D1B37" w:rsidRPr="005516CD" w:rsidRDefault="000D1B37" w:rsidP="00FB5829">
      <w:pPr>
        <w:pStyle w:val="Body"/>
        <w:numPr>
          <w:ilvl w:val="0"/>
          <w:numId w:val="137"/>
        </w:numPr>
        <w:spacing w:after="0"/>
        <w:rPr>
          <w:lang w:val="en-US"/>
        </w:rPr>
      </w:pPr>
      <w:r w:rsidRPr="005516CD">
        <w:rPr>
          <w:lang w:val="en-US"/>
        </w:rPr>
        <w:t>Specific experience in strategic planning, national policy development, promotion and development of sustainable development initiatives related to biodiversity preservation, strategic watershed management;</w:t>
      </w:r>
    </w:p>
    <w:p w14:paraId="20127B81" w14:textId="77777777" w:rsidR="000D1B37" w:rsidRPr="005516CD" w:rsidRDefault="000D1B37" w:rsidP="00FC4D29">
      <w:pPr>
        <w:pStyle w:val="Body"/>
        <w:rPr>
          <w:u w:val="single"/>
        </w:rPr>
      </w:pPr>
      <w:r w:rsidRPr="005516CD">
        <w:rPr>
          <w:u w:val="single"/>
        </w:rPr>
        <w:t>Languages:</w:t>
      </w:r>
    </w:p>
    <w:p w14:paraId="0018C4D5" w14:textId="77777777" w:rsidR="000D1B37" w:rsidRPr="005516CD" w:rsidRDefault="000D1B37" w:rsidP="00FB5829">
      <w:pPr>
        <w:pStyle w:val="Body"/>
        <w:numPr>
          <w:ilvl w:val="0"/>
          <w:numId w:val="137"/>
        </w:numPr>
        <w:spacing w:after="0"/>
        <w:rPr>
          <w:lang w:val="en-US"/>
        </w:rPr>
      </w:pPr>
      <w:r w:rsidRPr="005516CD">
        <w:rPr>
          <w:lang w:val="en-US"/>
        </w:rPr>
        <w:t>Perfect command of Creole and French language;</w:t>
      </w:r>
    </w:p>
    <w:p w14:paraId="5143BEFF" w14:textId="77777777" w:rsidR="000D1B37" w:rsidRPr="005516CD" w:rsidRDefault="000D1B37" w:rsidP="00FB5829">
      <w:pPr>
        <w:pStyle w:val="Body"/>
        <w:numPr>
          <w:ilvl w:val="0"/>
          <w:numId w:val="137"/>
        </w:numPr>
        <w:spacing w:after="0"/>
        <w:rPr>
          <w:lang w:val="en-US"/>
        </w:rPr>
      </w:pPr>
      <w:r w:rsidRPr="005516CD">
        <w:rPr>
          <w:lang w:val="en-US"/>
        </w:rPr>
        <w:t>Knowledge of English (an asset).</w:t>
      </w:r>
    </w:p>
    <w:p w14:paraId="2F032F81" w14:textId="77777777" w:rsidR="000D1B37" w:rsidRPr="005516CD" w:rsidRDefault="000D1B37" w:rsidP="000D1B37">
      <w:pPr>
        <w:pStyle w:val="Body"/>
      </w:pPr>
    </w:p>
    <w:p w14:paraId="28423A70" w14:textId="77777777" w:rsidR="00CC2A57" w:rsidRPr="005516CD" w:rsidRDefault="00CC2A57" w:rsidP="003B2210">
      <w:pPr>
        <w:pStyle w:val="Body"/>
        <w:numPr>
          <w:ilvl w:val="1"/>
          <w:numId w:val="164"/>
        </w:numPr>
        <w:ind w:left="567"/>
        <w:rPr>
          <w:rStyle w:val="None"/>
          <w:bCs/>
          <w:u w:val="single"/>
          <w:lang w:val="nl-NL"/>
        </w:rPr>
      </w:pPr>
      <w:r w:rsidRPr="005516CD">
        <w:rPr>
          <w:rStyle w:val="None"/>
          <w:bCs/>
          <w:u w:val="single"/>
          <w:lang w:val="nl-NL"/>
        </w:rPr>
        <w:t>Green value chain</w:t>
      </w:r>
      <w:r w:rsidR="000B6BF8" w:rsidRPr="005516CD">
        <w:rPr>
          <w:rStyle w:val="None"/>
          <w:bCs/>
          <w:u w:val="single"/>
          <w:lang w:val="nl-NL"/>
        </w:rPr>
        <w:t xml:space="preserve"> specialist</w:t>
      </w:r>
    </w:p>
    <w:p w14:paraId="0FC8949C" w14:textId="3A0F5AAB" w:rsidR="00CC2A57" w:rsidRPr="005516CD" w:rsidRDefault="00EB27C8" w:rsidP="00EB27C8">
      <w:pPr>
        <w:pStyle w:val="Body"/>
      </w:pPr>
      <w:r w:rsidRPr="005516CD">
        <w:t xml:space="preserve">Under the supervision of the Project </w:t>
      </w:r>
      <w:r w:rsidR="00201734">
        <w:t xml:space="preserve">Officer </w:t>
      </w:r>
      <w:r w:rsidRPr="005516CD">
        <w:t>, the green value chain specialist will oversee the support by the project to the development of green value chains, including the strengthening of the capacities of value chain actors and the promotion of linkages between them.</w:t>
      </w:r>
    </w:p>
    <w:p w14:paraId="1CF9E7CF" w14:textId="77777777" w:rsidR="00EB27C8" w:rsidRPr="005516CD" w:rsidRDefault="003A5B01" w:rsidP="00FB5829">
      <w:pPr>
        <w:pStyle w:val="Body"/>
        <w:rPr>
          <w:rStyle w:val="None"/>
          <w:bCs/>
          <w:lang w:val="nl-NL"/>
        </w:rPr>
      </w:pPr>
      <w:r w:rsidRPr="005516CD">
        <w:rPr>
          <w:rStyle w:val="None"/>
          <w:bCs/>
          <w:lang w:val="nl-NL"/>
        </w:rPr>
        <w:t>Specifically, the green value chain specialist will:</w:t>
      </w:r>
    </w:p>
    <w:p w14:paraId="3A3EC073" w14:textId="77777777" w:rsidR="00EB27C8" w:rsidRPr="005516CD" w:rsidRDefault="003A5B01" w:rsidP="00E155F7">
      <w:pPr>
        <w:pStyle w:val="Body"/>
        <w:numPr>
          <w:ilvl w:val="0"/>
          <w:numId w:val="137"/>
        </w:numPr>
        <w:spacing w:after="0"/>
        <w:rPr>
          <w:lang w:val="en-US"/>
        </w:rPr>
      </w:pPr>
      <w:r w:rsidRPr="005516CD">
        <w:rPr>
          <w:lang w:val="en-US"/>
        </w:rPr>
        <w:t xml:space="preserve">Support and advise project field technicians in their interactions with </w:t>
      </w:r>
      <w:r w:rsidR="00E155F7" w:rsidRPr="005516CD">
        <w:rPr>
          <w:lang w:val="en-US"/>
        </w:rPr>
        <w:t>producers in the project area in relation to value chain issues</w:t>
      </w:r>
    </w:p>
    <w:p w14:paraId="1469C3DD" w14:textId="77777777" w:rsidR="00E155F7" w:rsidRPr="005516CD" w:rsidRDefault="00E155F7" w:rsidP="00E155F7">
      <w:pPr>
        <w:pStyle w:val="Body"/>
        <w:numPr>
          <w:ilvl w:val="0"/>
          <w:numId w:val="137"/>
        </w:numPr>
        <w:spacing w:after="0"/>
        <w:rPr>
          <w:lang w:val="en-US"/>
        </w:rPr>
      </w:pPr>
      <w:r w:rsidRPr="005516CD">
        <w:rPr>
          <w:lang w:val="en-US"/>
        </w:rPr>
        <w:t>Support the identification of market/value chain opportunities for products from sustainable production systems</w:t>
      </w:r>
    </w:p>
    <w:p w14:paraId="388B9EB9" w14:textId="77777777" w:rsidR="00E155F7" w:rsidRPr="005516CD" w:rsidRDefault="00E155F7" w:rsidP="00E155F7">
      <w:pPr>
        <w:pStyle w:val="Body"/>
        <w:numPr>
          <w:ilvl w:val="0"/>
          <w:numId w:val="137"/>
        </w:numPr>
        <w:spacing w:after="0"/>
        <w:rPr>
          <w:lang w:val="en-US"/>
        </w:rPr>
      </w:pPr>
      <w:r w:rsidRPr="005516CD">
        <w:rPr>
          <w:lang w:val="en-US"/>
        </w:rPr>
        <w:t>Carry out/support analyses of the market/value chain opportunities identified, in order to determine their effectiveness and reliability, considering issues such as global price stability, price/</w:t>
      </w:r>
      <w:proofErr w:type="gramStart"/>
      <w:r w:rsidRPr="005516CD">
        <w:rPr>
          <w:lang w:val="en-US"/>
        </w:rPr>
        <w:t>demand  elasticity</w:t>
      </w:r>
      <w:proofErr w:type="gramEnd"/>
      <w:r w:rsidRPr="005516CD">
        <w:rPr>
          <w:lang w:val="en-US"/>
        </w:rPr>
        <w:t xml:space="preserve">, market size and growth potential, requirements in terms of quality and quantity. </w:t>
      </w:r>
    </w:p>
    <w:p w14:paraId="5F54E3D7" w14:textId="77777777" w:rsidR="00E155F7" w:rsidRPr="005516CD" w:rsidRDefault="00E155F7" w:rsidP="00E155F7">
      <w:pPr>
        <w:pStyle w:val="Body"/>
        <w:numPr>
          <w:ilvl w:val="0"/>
          <w:numId w:val="137"/>
        </w:numPr>
        <w:spacing w:after="0"/>
        <w:rPr>
          <w:lang w:val="en-US"/>
        </w:rPr>
      </w:pPr>
      <w:r w:rsidRPr="005516CD">
        <w:rPr>
          <w:lang w:val="en-US"/>
        </w:rPr>
        <w:t xml:space="preserve">Carry out/support analyses of barriers to the effective participation of producers in the identified green value chains, such as technical, financial or administrative capacities or access to information, and propose actions to be undertaken by the project to ensure the sustained removal of the barriers </w:t>
      </w:r>
    </w:p>
    <w:p w14:paraId="56B597A1" w14:textId="77777777" w:rsidR="00E155F7" w:rsidRPr="005516CD" w:rsidRDefault="00E155F7" w:rsidP="00FB5829">
      <w:pPr>
        <w:pStyle w:val="Body"/>
        <w:numPr>
          <w:ilvl w:val="0"/>
          <w:numId w:val="137"/>
        </w:numPr>
        <w:spacing w:after="120"/>
        <w:ind w:left="714" w:hanging="357"/>
        <w:rPr>
          <w:lang w:val="en-US"/>
        </w:rPr>
      </w:pPr>
      <w:r w:rsidRPr="005516CD">
        <w:rPr>
          <w:lang w:val="en-US"/>
        </w:rPr>
        <w:t>Facilitate the establishment of linkages between producers and other value chain actors leading to the establishment/strengthening of value chains that effectively reward producers for the application of sustainable production practices.</w:t>
      </w:r>
    </w:p>
    <w:p w14:paraId="0F86E43E" w14:textId="77777777" w:rsidR="00E155F7" w:rsidRPr="005516CD" w:rsidRDefault="00E155F7" w:rsidP="00E155F7">
      <w:pPr>
        <w:pStyle w:val="Body"/>
        <w:rPr>
          <w:i/>
          <w:u w:val="single"/>
        </w:rPr>
      </w:pPr>
      <w:r w:rsidRPr="005516CD">
        <w:rPr>
          <w:i/>
          <w:u w:val="single"/>
        </w:rPr>
        <w:t>General Qualification:</w:t>
      </w:r>
    </w:p>
    <w:p w14:paraId="44EECF74" w14:textId="77777777" w:rsidR="00E155F7" w:rsidRPr="005516CD" w:rsidRDefault="00E155F7" w:rsidP="00E155F7">
      <w:pPr>
        <w:pStyle w:val="Body"/>
        <w:numPr>
          <w:ilvl w:val="0"/>
          <w:numId w:val="137"/>
        </w:numPr>
        <w:spacing w:after="0"/>
        <w:rPr>
          <w:lang w:val="en-US"/>
        </w:rPr>
      </w:pPr>
      <w:r w:rsidRPr="005516CD">
        <w:rPr>
          <w:lang w:val="en-US"/>
        </w:rPr>
        <w:t>Demonstrates integrity and acts in accordance with United Nations values and ethics;</w:t>
      </w:r>
    </w:p>
    <w:p w14:paraId="18996012" w14:textId="77777777" w:rsidR="00E155F7" w:rsidRPr="005516CD" w:rsidRDefault="00E155F7" w:rsidP="00E155F7">
      <w:pPr>
        <w:pStyle w:val="Body"/>
        <w:numPr>
          <w:ilvl w:val="0"/>
          <w:numId w:val="137"/>
        </w:numPr>
        <w:spacing w:after="0"/>
        <w:rPr>
          <w:lang w:val="en-US"/>
        </w:rPr>
      </w:pPr>
      <w:r w:rsidRPr="005516CD">
        <w:rPr>
          <w:lang w:val="en-US"/>
        </w:rPr>
        <w:t>Demonstrates political and diplomatic judgment, impartiality and discretion;</w:t>
      </w:r>
    </w:p>
    <w:p w14:paraId="4F075E97" w14:textId="77777777" w:rsidR="00E155F7" w:rsidRPr="005516CD" w:rsidRDefault="00E155F7" w:rsidP="00E155F7">
      <w:pPr>
        <w:pStyle w:val="Body"/>
        <w:numPr>
          <w:ilvl w:val="0"/>
          <w:numId w:val="137"/>
        </w:numPr>
        <w:spacing w:after="0"/>
        <w:rPr>
          <w:lang w:val="en-US"/>
        </w:rPr>
      </w:pPr>
      <w:r w:rsidRPr="005516CD">
        <w:rPr>
          <w:lang w:val="en-US"/>
        </w:rPr>
        <w:t>Works easily in a team environment;</w:t>
      </w:r>
    </w:p>
    <w:p w14:paraId="68C4AEB4" w14:textId="77777777" w:rsidR="00E155F7" w:rsidRPr="005516CD" w:rsidRDefault="00E155F7" w:rsidP="00FB5829">
      <w:pPr>
        <w:pStyle w:val="Body"/>
        <w:numPr>
          <w:ilvl w:val="0"/>
          <w:numId w:val="137"/>
        </w:numPr>
        <w:spacing w:after="120"/>
        <w:ind w:left="714" w:hanging="357"/>
        <w:rPr>
          <w:lang w:val="en-US"/>
        </w:rPr>
      </w:pPr>
      <w:r w:rsidRPr="005516CD">
        <w:rPr>
          <w:lang w:val="en-US"/>
        </w:rPr>
        <w:t>Demonstrates sensitivity and adaptability to individual differences (gender, age, religion, etc.).</w:t>
      </w:r>
    </w:p>
    <w:p w14:paraId="5C6F2627" w14:textId="77777777" w:rsidR="00E155F7" w:rsidRPr="005516CD" w:rsidRDefault="00E155F7" w:rsidP="00E155F7">
      <w:pPr>
        <w:pStyle w:val="Body"/>
        <w:rPr>
          <w:i/>
          <w:u w:val="single"/>
        </w:rPr>
      </w:pPr>
      <w:r w:rsidRPr="005516CD">
        <w:rPr>
          <w:i/>
          <w:u w:val="single"/>
        </w:rPr>
        <w:t>Technical skills and experience:</w:t>
      </w:r>
    </w:p>
    <w:p w14:paraId="2F177C30" w14:textId="77777777" w:rsidR="00E155F7" w:rsidRPr="005516CD" w:rsidRDefault="00E155F7" w:rsidP="00E155F7">
      <w:pPr>
        <w:pStyle w:val="Body"/>
        <w:numPr>
          <w:ilvl w:val="0"/>
          <w:numId w:val="137"/>
        </w:numPr>
        <w:spacing w:after="0"/>
        <w:rPr>
          <w:lang w:val="en-US"/>
        </w:rPr>
      </w:pPr>
      <w:r w:rsidRPr="005516CD">
        <w:t xml:space="preserve">At least 5 </w:t>
      </w:r>
      <w:r w:rsidRPr="005516CD">
        <w:rPr>
          <w:lang w:val="en-US"/>
        </w:rPr>
        <w:t>years'</w:t>
      </w:r>
      <w:r w:rsidRPr="005516CD">
        <w:t xml:space="preserve"> experience of working with value chains for natural resource/agriculture-based products in rural Haiti</w:t>
      </w:r>
    </w:p>
    <w:p w14:paraId="330404FF" w14:textId="77777777" w:rsidR="00E155F7" w:rsidRPr="005516CD" w:rsidRDefault="00E155F7" w:rsidP="00E155F7">
      <w:pPr>
        <w:pStyle w:val="Body"/>
        <w:numPr>
          <w:ilvl w:val="0"/>
          <w:numId w:val="137"/>
        </w:numPr>
        <w:spacing w:after="0"/>
        <w:rPr>
          <w:lang w:val="en-US"/>
        </w:rPr>
      </w:pPr>
      <w:r w:rsidRPr="005516CD">
        <w:t>Experience in working with rural communities and farmers in Haiti, and awareness of their livelihood conditions and constraints</w:t>
      </w:r>
    </w:p>
    <w:p w14:paraId="3C407005" w14:textId="77777777" w:rsidR="00E155F7" w:rsidRPr="005516CD" w:rsidRDefault="00E155F7">
      <w:pPr>
        <w:pStyle w:val="Body"/>
        <w:numPr>
          <w:ilvl w:val="0"/>
          <w:numId w:val="137"/>
        </w:numPr>
        <w:spacing w:after="0"/>
        <w:rPr>
          <w:lang w:val="en-US"/>
        </w:rPr>
      </w:pPr>
      <w:r w:rsidRPr="005516CD">
        <w:t>Experience in working with value chain actors, including with private sector companies</w:t>
      </w:r>
      <w:r w:rsidR="00A4170F" w:rsidRPr="005516CD">
        <w:t>, of relevance to the target production systems.</w:t>
      </w:r>
    </w:p>
    <w:p w14:paraId="0F16514D" w14:textId="77777777" w:rsidR="00E155F7" w:rsidRPr="005516CD" w:rsidRDefault="00E155F7" w:rsidP="00FB5829">
      <w:pPr>
        <w:pStyle w:val="Body"/>
        <w:numPr>
          <w:ilvl w:val="0"/>
          <w:numId w:val="137"/>
        </w:numPr>
        <w:spacing w:after="120"/>
        <w:ind w:left="714" w:hanging="357"/>
        <w:rPr>
          <w:lang w:val="en-US"/>
        </w:rPr>
      </w:pPr>
      <w:r w:rsidRPr="005516CD">
        <w:rPr>
          <w:lang w:val="en-US"/>
        </w:rPr>
        <w:t>Ability to lead in defining strategic planning, results-oriented and reporting;</w:t>
      </w:r>
    </w:p>
    <w:p w14:paraId="6639B683" w14:textId="77777777" w:rsidR="00E155F7" w:rsidRPr="005516CD" w:rsidRDefault="00E155F7" w:rsidP="00E155F7">
      <w:pPr>
        <w:pStyle w:val="Body"/>
        <w:rPr>
          <w:i/>
          <w:u w:val="single"/>
        </w:rPr>
      </w:pPr>
      <w:r w:rsidRPr="005516CD">
        <w:rPr>
          <w:i/>
          <w:u w:val="single"/>
        </w:rPr>
        <w:t xml:space="preserve">Personal and Professional Skills: </w:t>
      </w:r>
    </w:p>
    <w:p w14:paraId="4F1B9AA1" w14:textId="77777777" w:rsidR="00E155F7" w:rsidRPr="005516CD" w:rsidRDefault="00E155F7" w:rsidP="00E155F7">
      <w:pPr>
        <w:pStyle w:val="Body"/>
        <w:numPr>
          <w:ilvl w:val="0"/>
          <w:numId w:val="137"/>
        </w:numPr>
        <w:spacing w:after="0"/>
        <w:rPr>
          <w:lang w:val="en-US"/>
        </w:rPr>
      </w:pPr>
      <w:r w:rsidRPr="005516CD">
        <w:rPr>
          <w:lang w:val="en-US"/>
        </w:rPr>
        <w:t>Excellent organizational capacity</w:t>
      </w:r>
    </w:p>
    <w:p w14:paraId="7107E090" w14:textId="77777777" w:rsidR="00E155F7" w:rsidRPr="005516CD" w:rsidRDefault="00E155F7" w:rsidP="00E155F7">
      <w:pPr>
        <w:pStyle w:val="Body"/>
        <w:numPr>
          <w:ilvl w:val="0"/>
          <w:numId w:val="137"/>
        </w:numPr>
        <w:spacing w:after="0"/>
        <w:rPr>
          <w:lang w:val="en-US"/>
        </w:rPr>
      </w:pPr>
      <w:r w:rsidRPr="005516CD">
        <w:rPr>
          <w:lang w:val="en-US"/>
        </w:rPr>
        <w:t xml:space="preserve">Ability to work effectively and efficiently under pressure and in an emergency context </w:t>
      </w:r>
    </w:p>
    <w:p w14:paraId="563ED87E" w14:textId="77777777" w:rsidR="00E155F7" w:rsidRPr="005516CD" w:rsidRDefault="00E155F7" w:rsidP="00E155F7">
      <w:pPr>
        <w:pStyle w:val="Body"/>
        <w:numPr>
          <w:ilvl w:val="0"/>
          <w:numId w:val="137"/>
        </w:numPr>
        <w:spacing w:after="0"/>
        <w:rPr>
          <w:lang w:val="en-US"/>
        </w:rPr>
      </w:pPr>
      <w:r w:rsidRPr="005516CD">
        <w:rPr>
          <w:lang w:val="en-US"/>
        </w:rPr>
        <w:t>Good knowledge of the environmental and socio-economic reality of Haiti</w:t>
      </w:r>
    </w:p>
    <w:p w14:paraId="44042E11" w14:textId="77777777" w:rsidR="00E155F7" w:rsidRPr="005516CD" w:rsidRDefault="00E155F7" w:rsidP="00E155F7">
      <w:pPr>
        <w:pStyle w:val="Body"/>
        <w:numPr>
          <w:ilvl w:val="0"/>
          <w:numId w:val="137"/>
        </w:numPr>
        <w:spacing w:after="0"/>
        <w:rPr>
          <w:lang w:val="en-US"/>
        </w:rPr>
      </w:pPr>
      <w:r w:rsidRPr="005516CD">
        <w:rPr>
          <w:lang w:val="en-US"/>
        </w:rPr>
        <w:t xml:space="preserve">Excellent ability to prioritize actions and measures to be taken and solve problems </w:t>
      </w:r>
    </w:p>
    <w:p w14:paraId="6F682946" w14:textId="77777777" w:rsidR="00E155F7" w:rsidRPr="005516CD" w:rsidRDefault="00E155F7" w:rsidP="00E155F7">
      <w:pPr>
        <w:pStyle w:val="Body"/>
        <w:numPr>
          <w:ilvl w:val="0"/>
          <w:numId w:val="137"/>
        </w:numPr>
        <w:spacing w:after="0"/>
        <w:rPr>
          <w:lang w:val="en-US"/>
        </w:rPr>
      </w:pPr>
      <w:r w:rsidRPr="005516CD">
        <w:rPr>
          <w:lang w:val="en-US"/>
        </w:rPr>
        <w:t>Good ability to coordinate teams and information</w:t>
      </w:r>
    </w:p>
    <w:p w14:paraId="0A04603D" w14:textId="77777777" w:rsidR="00E155F7" w:rsidRPr="005516CD" w:rsidRDefault="00E155F7" w:rsidP="00E155F7">
      <w:pPr>
        <w:pStyle w:val="Body"/>
        <w:numPr>
          <w:ilvl w:val="0"/>
          <w:numId w:val="137"/>
        </w:numPr>
        <w:spacing w:after="0"/>
        <w:rPr>
          <w:lang w:val="en-US"/>
        </w:rPr>
      </w:pPr>
      <w:r w:rsidRPr="005516CD">
        <w:rPr>
          <w:lang w:val="en-US"/>
        </w:rPr>
        <w:t>Excellent ability to work alone or in a team</w:t>
      </w:r>
    </w:p>
    <w:p w14:paraId="64ECB6BC" w14:textId="77777777" w:rsidR="00E155F7" w:rsidRPr="005516CD" w:rsidRDefault="00E155F7" w:rsidP="00E155F7">
      <w:pPr>
        <w:pStyle w:val="Body"/>
        <w:numPr>
          <w:ilvl w:val="0"/>
          <w:numId w:val="137"/>
        </w:numPr>
        <w:spacing w:after="0"/>
        <w:rPr>
          <w:lang w:val="en-US"/>
        </w:rPr>
      </w:pPr>
      <w:r w:rsidRPr="005516CD">
        <w:rPr>
          <w:lang w:val="en-US"/>
        </w:rPr>
        <w:t xml:space="preserve">Ability to work independently and take initiative </w:t>
      </w:r>
    </w:p>
    <w:p w14:paraId="682B3B70" w14:textId="77777777" w:rsidR="00E155F7" w:rsidRPr="005516CD" w:rsidRDefault="00E155F7" w:rsidP="00FB5829">
      <w:pPr>
        <w:pStyle w:val="Body"/>
        <w:numPr>
          <w:ilvl w:val="0"/>
          <w:numId w:val="137"/>
        </w:numPr>
        <w:spacing w:after="120"/>
        <w:ind w:left="714" w:hanging="357"/>
        <w:rPr>
          <w:lang w:val="en-US"/>
        </w:rPr>
      </w:pPr>
      <w:r w:rsidRPr="005516CD">
        <w:rPr>
          <w:lang w:val="en-US"/>
        </w:rPr>
        <w:t>A good knowledge of Haitian public administration is a plus</w:t>
      </w:r>
    </w:p>
    <w:p w14:paraId="5D941C2A" w14:textId="77777777" w:rsidR="00E155F7" w:rsidRPr="005516CD" w:rsidRDefault="00E155F7" w:rsidP="00E155F7">
      <w:pPr>
        <w:pStyle w:val="Body"/>
        <w:rPr>
          <w:u w:val="single"/>
        </w:rPr>
      </w:pPr>
      <w:r w:rsidRPr="005516CD">
        <w:rPr>
          <w:u w:val="single"/>
        </w:rPr>
        <w:t xml:space="preserve">Education: </w:t>
      </w:r>
    </w:p>
    <w:p w14:paraId="1609675A" w14:textId="77777777" w:rsidR="00E155F7" w:rsidRPr="005516CD" w:rsidRDefault="00E155F7" w:rsidP="00FB5829">
      <w:pPr>
        <w:pStyle w:val="Body"/>
        <w:numPr>
          <w:ilvl w:val="0"/>
          <w:numId w:val="137"/>
        </w:numPr>
        <w:spacing w:after="120"/>
        <w:ind w:left="714" w:hanging="357"/>
        <w:rPr>
          <w:lang w:val="en-US"/>
        </w:rPr>
      </w:pPr>
      <w:r w:rsidRPr="005516CD">
        <w:rPr>
          <w:lang w:val="en-US"/>
        </w:rPr>
        <w:t>Diploma in agronomic sciences</w:t>
      </w:r>
      <w:r w:rsidR="00A4170F" w:rsidRPr="005516CD">
        <w:rPr>
          <w:lang w:val="en-US"/>
        </w:rPr>
        <w:t xml:space="preserve"> and/or business management</w:t>
      </w:r>
    </w:p>
    <w:p w14:paraId="01CEB759" w14:textId="77777777" w:rsidR="00E155F7" w:rsidRPr="005516CD" w:rsidRDefault="00E155F7" w:rsidP="00E155F7">
      <w:pPr>
        <w:pStyle w:val="Body"/>
        <w:rPr>
          <w:u w:val="single"/>
        </w:rPr>
      </w:pPr>
      <w:r w:rsidRPr="005516CD">
        <w:rPr>
          <w:u w:val="single"/>
        </w:rPr>
        <w:t>Languages:</w:t>
      </w:r>
    </w:p>
    <w:p w14:paraId="725C8807" w14:textId="77777777" w:rsidR="00E155F7" w:rsidRPr="005516CD" w:rsidRDefault="00E155F7" w:rsidP="00E155F7">
      <w:pPr>
        <w:pStyle w:val="Body"/>
        <w:numPr>
          <w:ilvl w:val="0"/>
          <w:numId w:val="137"/>
        </w:numPr>
        <w:spacing w:after="0"/>
        <w:rPr>
          <w:lang w:val="en-US"/>
        </w:rPr>
      </w:pPr>
      <w:r w:rsidRPr="005516CD">
        <w:rPr>
          <w:lang w:val="en-US"/>
        </w:rPr>
        <w:t>Perfect command of Creole and French language;</w:t>
      </w:r>
    </w:p>
    <w:p w14:paraId="62DB6550" w14:textId="29A0F16E" w:rsidR="00E155F7" w:rsidRDefault="00E155F7" w:rsidP="00FB5829">
      <w:pPr>
        <w:pStyle w:val="Body"/>
        <w:numPr>
          <w:ilvl w:val="0"/>
          <w:numId w:val="137"/>
        </w:numPr>
        <w:spacing w:after="120"/>
        <w:ind w:left="714" w:hanging="357"/>
        <w:rPr>
          <w:lang w:val="en-US"/>
        </w:rPr>
      </w:pPr>
      <w:r w:rsidRPr="005516CD">
        <w:rPr>
          <w:lang w:val="en-US"/>
        </w:rPr>
        <w:t>Knowledge of English (an asset).</w:t>
      </w:r>
    </w:p>
    <w:p w14:paraId="1E5ACBF3" w14:textId="77777777" w:rsidR="007A137F" w:rsidRPr="005516CD" w:rsidRDefault="007A137F" w:rsidP="00FE7303">
      <w:pPr>
        <w:pStyle w:val="Body"/>
        <w:spacing w:after="120"/>
        <w:ind w:left="714"/>
        <w:rPr>
          <w:rStyle w:val="None"/>
          <w:lang w:val="en-US"/>
        </w:rPr>
      </w:pPr>
    </w:p>
    <w:p w14:paraId="15CA86B5" w14:textId="77777777" w:rsidR="000D1B37" w:rsidRPr="005516CD" w:rsidRDefault="000D1B37" w:rsidP="003B2210">
      <w:pPr>
        <w:pStyle w:val="Body"/>
        <w:numPr>
          <w:ilvl w:val="1"/>
          <w:numId w:val="164"/>
        </w:numPr>
        <w:ind w:left="567"/>
        <w:rPr>
          <w:rStyle w:val="None"/>
          <w:bCs/>
          <w:u w:val="single"/>
          <w:lang w:val="nl-NL"/>
        </w:rPr>
      </w:pPr>
      <w:r w:rsidRPr="005516CD">
        <w:rPr>
          <w:rStyle w:val="None"/>
          <w:bCs/>
          <w:u w:val="single"/>
          <w:lang w:val="nl-NL"/>
        </w:rPr>
        <w:t>Gender Specialist</w:t>
      </w:r>
    </w:p>
    <w:p w14:paraId="159E7CA9" w14:textId="7A162F41" w:rsidR="000D1B37" w:rsidRPr="005516CD" w:rsidRDefault="000D1B37" w:rsidP="000D1B37">
      <w:pPr>
        <w:pStyle w:val="Body"/>
      </w:pPr>
      <w:r w:rsidRPr="005516CD">
        <w:t xml:space="preserve">Under the supervision of the Project </w:t>
      </w:r>
      <w:r w:rsidR="00201734">
        <w:t xml:space="preserve">Officer </w:t>
      </w:r>
      <w:r w:rsidRPr="005516CD">
        <w:t>, and in collaboration with the Gender Advisor of the UNDP Office in Port-au-Prince, the Gender Thematic Expert is mandated to ensure that a gender approach is taken into account in the project, which will promote the active participation of women in all activities, systematically considering the needs differentiated between women and men. The expert will support this project approach in the design, analysis and monitoring of the implementation of activities, with an emphasis on awareness-raising and advocacy for gender equality.</w:t>
      </w:r>
    </w:p>
    <w:p w14:paraId="7C212DFE" w14:textId="77777777" w:rsidR="000D1B37" w:rsidRPr="003B2210" w:rsidRDefault="000D1B37" w:rsidP="000D1B37">
      <w:pPr>
        <w:pStyle w:val="Body"/>
        <w:rPr>
          <w:rFonts w:asciiTheme="majorHAnsi" w:hAnsiTheme="majorHAnsi"/>
        </w:rPr>
      </w:pPr>
      <w:r w:rsidRPr="005516CD">
        <w:t xml:space="preserve">More specifically, he or she will assume the following tasks, as well as any other tasks that may be assigned to him or her: </w:t>
      </w:r>
    </w:p>
    <w:p w14:paraId="1FEE57DF" w14:textId="77777777" w:rsidR="000D1B37" w:rsidRPr="003B2210" w:rsidRDefault="000D1B37" w:rsidP="000D1B37">
      <w:pPr>
        <w:pStyle w:val="Body"/>
        <w:rPr>
          <w:rFonts w:asciiTheme="majorHAnsi" w:hAnsiTheme="majorHAnsi"/>
        </w:rPr>
      </w:pPr>
      <w:r w:rsidRPr="003B2210">
        <w:rPr>
          <w:rFonts w:asciiTheme="majorHAnsi" w:hAnsiTheme="majorHAnsi"/>
        </w:rPr>
        <w:t>1.</w:t>
      </w:r>
      <w:r w:rsidRPr="003B2210">
        <w:rPr>
          <w:rFonts w:asciiTheme="majorHAnsi" w:hAnsiTheme="majorHAnsi"/>
        </w:rPr>
        <w:tab/>
        <w:t>Design and analysis</w:t>
      </w:r>
    </w:p>
    <w:p w14:paraId="15ADBD6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Contribute to the development of the project's strategic plan and work plans by ensuring that gender equality issues are effectively taken into account in all project interventions;</w:t>
      </w:r>
    </w:p>
    <w:p w14:paraId="45473B5B"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Make available data, thematic notes and updated analyses on gender equality issues in the country and in particular on the project area; </w:t>
      </w:r>
    </w:p>
    <w:p w14:paraId="58BCFB55"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Produce opinions and develop practical tools for the proper integration of gender equality into territorial planning documents and the implementation of related activities;</w:t>
      </w:r>
    </w:p>
    <w:p w14:paraId="6502CD95"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Provide strategic and technical support to the project's target local authorities for the development of gender-sensitive budgets;</w:t>
      </w:r>
    </w:p>
    <w:p w14:paraId="3795C7F0"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Carry out a mapping of women's </w:t>
      </w:r>
      <w:proofErr w:type="spellStart"/>
      <w:r w:rsidRPr="003B2210">
        <w:rPr>
          <w:rFonts w:asciiTheme="majorHAnsi" w:hAnsiTheme="majorHAnsi"/>
          <w:lang w:val="en-US"/>
        </w:rPr>
        <w:t>organisations</w:t>
      </w:r>
      <w:proofErr w:type="spellEnd"/>
      <w:r w:rsidRPr="003B2210">
        <w:rPr>
          <w:rFonts w:asciiTheme="majorHAnsi" w:hAnsiTheme="majorHAnsi"/>
          <w:lang w:val="en-US"/>
        </w:rPr>
        <w:t xml:space="preserve"> in the border area and or national women's </w:t>
      </w:r>
      <w:proofErr w:type="spellStart"/>
      <w:r w:rsidRPr="003B2210">
        <w:rPr>
          <w:rFonts w:asciiTheme="majorHAnsi" w:hAnsiTheme="majorHAnsi"/>
          <w:lang w:val="en-US"/>
        </w:rPr>
        <w:t>organisations</w:t>
      </w:r>
      <w:proofErr w:type="spellEnd"/>
      <w:r w:rsidRPr="003B2210">
        <w:rPr>
          <w:rFonts w:asciiTheme="majorHAnsi" w:hAnsiTheme="majorHAnsi"/>
          <w:lang w:val="en-US"/>
        </w:rPr>
        <w:t xml:space="preserve"> with representation in the project intervention area;</w:t>
      </w:r>
    </w:p>
    <w:p w14:paraId="082410DE"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Produce thematic gender equality analyses and tools to raise awareness and knowledge among project actors and partners on good practices;</w:t>
      </w:r>
    </w:p>
    <w:p w14:paraId="6AA7BD7B"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Assist in the identification of key and innovative areas for addressing the specific needs and strategic interests of women; </w:t>
      </w:r>
    </w:p>
    <w:p w14:paraId="401D17A9"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Review documentation and strategic plans and produce recommendations and advice for effective gender mainstreaming in the project;   </w:t>
      </w:r>
    </w:p>
    <w:p w14:paraId="37219187" w14:textId="77777777" w:rsidR="000D1B37" w:rsidRPr="003B2210" w:rsidRDefault="000D1B37" w:rsidP="000D1B37">
      <w:pPr>
        <w:pStyle w:val="Body"/>
        <w:rPr>
          <w:rFonts w:asciiTheme="majorHAnsi" w:hAnsiTheme="majorHAnsi"/>
        </w:rPr>
      </w:pPr>
    </w:p>
    <w:p w14:paraId="1DD8A76F" w14:textId="77777777" w:rsidR="000D1B37" w:rsidRPr="003B2210" w:rsidRDefault="000D1B37" w:rsidP="000D1B37">
      <w:pPr>
        <w:pStyle w:val="Body"/>
        <w:rPr>
          <w:rFonts w:asciiTheme="majorHAnsi" w:hAnsiTheme="majorHAnsi"/>
        </w:rPr>
      </w:pPr>
      <w:r w:rsidRPr="003B2210">
        <w:rPr>
          <w:rFonts w:asciiTheme="majorHAnsi" w:hAnsiTheme="majorHAnsi"/>
        </w:rPr>
        <w:t>2.</w:t>
      </w:r>
      <w:r w:rsidRPr="003B2210">
        <w:rPr>
          <w:rFonts w:asciiTheme="majorHAnsi" w:hAnsiTheme="majorHAnsi"/>
        </w:rPr>
        <w:tab/>
        <w:t xml:space="preserve">Monitoring of implementation </w:t>
      </w:r>
    </w:p>
    <w:p w14:paraId="1B9C1A6E"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Monitor the implementation of the strategic plan and work plans on gender aspects, producing reports that include applicable recommendations for better integration of gender equality into the project; </w:t>
      </w:r>
    </w:p>
    <w:p w14:paraId="4EAE9DEA"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Produce opinions on gender equality strategies developed by state actors and project partners as part of strengthening local ownership and ensure follow-up for optimal gender mainstreaming; </w:t>
      </w:r>
    </w:p>
    <w:p w14:paraId="1BECFD71"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Contribute technically to the design and preparation of project documents resulting from the territorial planning of target municipalities, in order to ensure that gender equality is taken into account; </w:t>
      </w:r>
    </w:p>
    <w:p w14:paraId="6DC38CF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Produce opinions on request on key reports provided by selected service providers for gender mainstreaming; </w:t>
      </w:r>
    </w:p>
    <w:p w14:paraId="0203294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Support project implementing partners in planning activities for effective gender mainstreaming; </w:t>
      </w:r>
    </w:p>
    <w:p w14:paraId="4E52A0DE"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Participate in field visits and, if necessary, in steering committee meetings, by preparing technical information notes on the progress of the project with regard to gender equality;</w:t>
      </w:r>
    </w:p>
    <w:p w14:paraId="52F240F6"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Contribute to the preparation of periodic technical reports as provided for in the UNDP funding agreement and procedures, to ensure that gender issues are better taken into account; </w:t>
      </w:r>
    </w:p>
    <w:p w14:paraId="32B305D2"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Contribute to the project's monitoring and evaluation plan with the proposal of gender-sensitive indicators;</w:t>
      </w:r>
    </w:p>
    <w:p w14:paraId="18F304B6"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Work closely with the project monitoring and evaluation officer to ensure the measurement and analysis of gender equality results;</w:t>
      </w:r>
    </w:p>
    <w:p w14:paraId="3E086F2B" w14:textId="77777777" w:rsidR="000D1B37" w:rsidRPr="003B2210" w:rsidRDefault="000D1B37" w:rsidP="00FC4D29">
      <w:pPr>
        <w:pStyle w:val="Body"/>
        <w:numPr>
          <w:ilvl w:val="0"/>
          <w:numId w:val="137"/>
        </w:numPr>
        <w:spacing w:after="0"/>
        <w:rPr>
          <w:rFonts w:asciiTheme="majorHAnsi" w:hAnsiTheme="majorHAnsi"/>
          <w:lang w:val="en-US"/>
        </w:rPr>
      </w:pPr>
      <w:r w:rsidRPr="003B2210">
        <w:rPr>
          <w:rFonts w:asciiTheme="majorHAnsi" w:hAnsiTheme="majorHAnsi"/>
          <w:lang w:val="en-US"/>
        </w:rPr>
        <w:t>Support the process of documenting lessons learned and good project practices with an emphasis on the project's contribution to gender equality</w:t>
      </w:r>
    </w:p>
    <w:p w14:paraId="649D8F2C" w14:textId="77777777" w:rsidR="00FC4D29" w:rsidRPr="003B2210" w:rsidRDefault="00FC4D29" w:rsidP="00FB5829">
      <w:pPr>
        <w:pStyle w:val="Body"/>
        <w:spacing w:after="0"/>
        <w:ind w:left="720"/>
        <w:rPr>
          <w:rFonts w:asciiTheme="majorHAnsi" w:hAnsiTheme="majorHAnsi"/>
          <w:lang w:val="en-US"/>
        </w:rPr>
      </w:pPr>
    </w:p>
    <w:p w14:paraId="0B8A80ED" w14:textId="77777777" w:rsidR="000D1B37" w:rsidRPr="003B2210" w:rsidRDefault="000D1B37" w:rsidP="000D1B37">
      <w:pPr>
        <w:pStyle w:val="Body"/>
        <w:rPr>
          <w:rFonts w:asciiTheme="majorHAnsi" w:hAnsiTheme="majorHAnsi"/>
        </w:rPr>
      </w:pPr>
      <w:r w:rsidRPr="003B2210">
        <w:rPr>
          <w:rFonts w:asciiTheme="majorHAnsi" w:hAnsiTheme="majorHAnsi"/>
        </w:rPr>
        <w:t>3.</w:t>
      </w:r>
      <w:r w:rsidRPr="003B2210">
        <w:rPr>
          <w:rFonts w:asciiTheme="majorHAnsi" w:hAnsiTheme="majorHAnsi"/>
        </w:rPr>
        <w:tab/>
        <w:t>Awareness-raising and support for gender equality advocacy</w:t>
      </w:r>
    </w:p>
    <w:p w14:paraId="5B80B3D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Support field partners (actors and beneficiaries) in the planning and implementation of activities aimed at strengthening women's capacities and female leadership;</w:t>
      </w:r>
    </w:p>
    <w:p w14:paraId="737F9A8A"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Establish communication mechanisms between the different feminist structures in order to achieve broad consultation for greater synergy in the fight for gender equality in local governance;</w:t>
      </w:r>
    </w:p>
    <w:p w14:paraId="015887C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Develop strategies for implementing projects on issues of participation, community involvement, women's participation, inclusion of minorities and transparency in the management of public resources and goods;</w:t>
      </w:r>
    </w:p>
    <w:p w14:paraId="3C5CFF69"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Identify advocacy opportunities on gender equality and local governance, conduct advocacy projects and ensure that fieldwork influences policies at subnational and national levels;</w:t>
      </w:r>
    </w:p>
    <w:p w14:paraId="56BF2221"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Ensure the availability of up-to-date and relevant data and analysis related to local governance, women's leadership and social movements in Haiti;</w:t>
      </w:r>
    </w:p>
    <w:p w14:paraId="7D8D4020"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Facilitate networking of the project with other organizations involved in advocacy for women's empowerment;</w:t>
      </w:r>
    </w:p>
    <w:p w14:paraId="2EE1FA4C"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Facilitate actions to support women's capacity building, participation and leadership, mainly in power and decision-making spaces;</w:t>
      </w:r>
    </w:p>
    <w:p w14:paraId="2E4BF407"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Develop a plan to strengthen civil society organizations and local authorities, focusing on governance and gender equality;</w:t>
      </w:r>
    </w:p>
    <w:p w14:paraId="32DD6FC9"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Ensure that staff involved in the implementation of the project are sensitized to UNDP gender equality policies;</w:t>
      </w:r>
    </w:p>
    <w:p w14:paraId="7416312E"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Ensure that gender equality is cross-cutting with the other thematic experts of the project;</w:t>
      </w:r>
    </w:p>
    <w:p w14:paraId="1269B6A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Align the project's action plan with that of UNDP on gender equality.</w:t>
      </w:r>
    </w:p>
    <w:p w14:paraId="7C9047AE" w14:textId="77777777" w:rsidR="00FC4D29" w:rsidRPr="003B2210" w:rsidRDefault="00FC4D29" w:rsidP="000D1B37">
      <w:pPr>
        <w:pStyle w:val="Body"/>
        <w:rPr>
          <w:rFonts w:asciiTheme="majorHAnsi" w:hAnsiTheme="majorHAnsi"/>
        </w:rPr>
      </w:pPr>
    </w:p>
    <w:p w14:paraId="461ACE74" w14:textId="77777777" w:rsidR="000D1B37" w:rsidRPr="003B2210" w:rsidRDefault="000D1B37" w:rsidP="000D1B37">
      <w:pPr>
        <w:pStyle w:val="Body"/>
        <w:rPr>
          <w:rFonts w:asciiTheme="majorHAnsi" w:hAnsiTheme="majorHAnsi"/>
          <w:i/>
          <w:u w:val="single"/>
        </w:rPr>
      </w:pPr>
      <w:r w:rsidRPr="003B2210">
        <w:rPr>
          <w:rFonts w:asciiTheme="majorHAnsi" w:hAnsiTheme="majorHAnsi"/>
          <w:i/>
          <w:u w:val="single"/>
        </w:rPr>
        <w:t>Competencies</w:t>
      </w:r>
    </w:p>
    <w:p w14:paraId="0D6F15E1" w14:textId="77777777" w:rsidR="000D1B37" w:rsidRPr="003B2210" w:rsidRDefault="000D1B37" w:rsidP="000D1B37">
      <w:pPr>
        <w:pStyle w:val="Body"/>
        <w:rPr>
          <w:rFonts w:asciiTheme="majorHAnsi" w:hAnsiTheme="majorHAnsi"/>
        </w:rPr>
      </w:pPr>
      <w:r w:rsidRPr="003B2210">
        <w:rPr>
          <w:rFonts w:asciiTheme="majorHAnsi" w:hAnsiTheme="majorHAnsi"/>
        </w:rPr>
        <w:t>General skills :</w:t>
      </w:r>
    </w:p>
    <w:p w14:paraId="79A71521"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Respect for the fundamental values of the United Nations: integrity, neutrality, professionalism and respect for diversity;</w:t>
      </w:r>
    </w:p>
    <w:p w14:paraId="19E27C44"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Strong commitment to UNDP; </w:t>
      </w:r>
    </w:p>
    <w:p w14:paraId="20C5F820"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Ability to interact, establish and maintain effective working relationships with colleagues and clients in a manner that respects cultural diversity, gender, religion, nationality and age difference;</w:t>
      </w:r>
    </w:p>
    <w:p w14:paraId="65CC98AC"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Sensitivity to cultural and gender issues; </w:t>
      </w:r>
    </w:p>
    <w:p w14:paraId="7509EF66"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Excellent interpersonal skills; </w:t>
      </w:r>
    </w:p>
    <w:p w14:paraId="193211FF"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Dynamism, </w:t>
      </w:r>
      <w:proofErr w:type="spellStart"/>
      <w:r w:rsidRPr="003B2210">
        <w:rPr>
          <w:rFonts w:asciiTheme="majorHAnsi" w:hAnsiTheme="majorHAnsi"/>
          <w:lang w:val="en-US"/>
        </w:rPr>
        <w:t>rigour</w:t>
      </w:r>
      <w:proofErr w:type="spellEnd"/>
      <w:r w:rsidRPr="003B2210">
        <w:rPr>
          <w:rFonts w:asciiTheme="majorHAnsi" w:hAnsiTheme="majorHAnsi"/>
          <w:lang w:val="en-US"/>
        </w:rPr>
        <w:t>, discipline and a sense of diplomacy;</w:t>
      </w:r>
    </w:p>
    <w:p w14:paraId="30E91384"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Ability to work under pressure in a complex and changing environment;</w:t>
      </w:r>
    </w:p>
    <w:p w14:paraId="789E8B69"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Flexibility and positive attitude towards change;</w:t>
      </w:r>
    </w:p>
    <w:p w14:paraId="755740E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Motivation and ability to pursue personal development and learning.</w:t>
      </w:r>
    </w:p>
    <w:p w14:paraId="2F614D83" w14:textId="77777777" w:rsidR="000D1B37" w:rsidRPr="003B2210" w:rsidRDefault="000D1B37" w:rsidP="000D1B37">
      <w:pPr>
        <w:pStyle w:val="Body"/>
        <w:rPr>
          <w:rFonts w:asciiTheme="majorHAnsi" w:hAnsiTheme="majorHAnsi"/>
        </w:rPr>
      </w:pPr>
    </w:p>
    <w:p w14:paraId="42E7569C" w14:textId="77777777" w:rsidR="000D1B37" w:rsidRPr="003B2210" w:rsidRDefault="000D1B37" w:rsidP="000D1B37">
      <w:pPr>
        <w:pStyle w:val="Body"/>
        <w:rPr>
          <w:rFonts w:asciiTheme="majorHAnsi" w:hAnsiTheme="majorHAnsi"/>
        </w:rPr>
      </w:pPr>
      <w:r w:rsidRPr="003B2210">
        <w:rPr>
          <w:rFonts w:asciiTheme="majorHAnsi" w:hAnsiTheme="majorHAnsi"/>
        </w:rPr>
        <w:t>Functional skills:</w:t>
      </w:r>
    </w:p>
    <w:p w14:paraId="3FF2651B"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Demonstrated technical knowledge to perform the responsibilities and requirements of the position with excellence;</w:t>
      </w:r>
    </w:p>
    <w:p w14:paraId="511D8CC2"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Ability to set clear objectives and performance standards to achieve quality results in line with the objectives;</w:t>
      </w:r>
    </w:p>
    <w:p w14:paraId="75ADC10B"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Creativity, good analytical skills and the search for innovative and practical solutions to deal with complex situations;</w:t>
      </w:r>
    </w:p>
    <w:p w14:paraId="25D3C9A5"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Ability to interact, establish and maintain effective working relationships with colleagues, partners and beneficiaries in a manner that respects diversity;</w:t>
      </w:r>
    </w:p>
    <w:p w14:paraId="48EB8227"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Good communication skills, sharing know-how and interpersonal skills; </w:t>
      </w:r>
    </w:p>
    <w:p w14:paraId="0DECE96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Ability to travel and conduct missions and field visits in hard-to-reach areas.</w:t>
      </w:r>
    </w:p>
    <w:p w14:paraId="54C23EED" w14:textId="77777777" w:rsidR="00FC4D29" w:rsidRPr="003B2210" w:rsidRDefault="00FC4D29" w:rsidP="000D1B37">
      <w:pPr>
        <w:pStyle w:val="Body"/>
        <w:rPr>
          <w:rFonts w:asciiTheme="majorHAnsi" w:hAnsiTheme="majorHAnsi"/>
        </w:rPr>
      </w:pPr>
    </w:p>
    <w:p w14:paraId="3AF4DA46" w14:textId="77777777" w:rsidR="000D1B37" w:rsidRPr="003B2210" w:rsidRDefault="000D1B37" w:rsidP="000D1B37">
      <w:pPr>
        <w:pStyle w:val="Body"/>
        <w:rPr>
          <w:rFonts w:asciiTheme="majorHAnsi" w:hAnsiTheme="majorHAnsi"/>
        </w:rPr>
      </w:pPr>
      <w:r w:rsidRPr="003B2210">
        <w:rPr>
          <w:rFonts w:asciiTheme="majorHAnsi" w:hAnsiTheme="majorHAnsi"/>
        </w:rPr>
        <w:t>Qualifications and Experience</w:t>
      </w:r>
    </w:p>
    <w:p w14:paraId="5E66708A" w14:textId="77777777" w:rsidR="000D1B37" w:rsidRPr="003B2210" w:rsidRDefault="000D1B37" w:rsidP="00FB5829">
      <w:pPr>
        <w:pStyle w:val="Body"/>
        <w:spacing w:after="0"/>
        <w:rPr>
          <w:rFonts w:asciiTheme="majorHAnsi" w:hAnsiTheme="majorHAnsi"/>
        </w:rPr>
      </w:pPr>
      <w:r w:rsidRPr="003B2210">
        <w:rPr>
          <w:rFonts w:asciiTheme="majorHAnsi" w:hAnsiTheme="majorHAnsi"/>
        </w:rPr>
        <w:t>a.</w:t>
      </w:r>
      <w:r w:rsidRPr="003B2210">
        <w:rPr>
          <w:rFonts w:asciiTheme="majorHAnsi" w:hAnsiTheme="majorHAnsi"/>
        </w:rPr>
        <w:tab/>
        <w:t xml:space="preserve">Education </w:t>
      </w:r>
    </w:p>
    <w:p w14:paraId="1AF8586B" w14:textId="77777777" w:rsidR="000D1B37" w:rsidRPr="003B2210" w:rsidRDefault="000D1B37" w:rsidP="00FB5829">
      <w:pPr>
        <w:pStyle w:val="Body"/>
        <w:numPr>
          <w:ilvl w:val="0"/>
          <w:numId w:val="137"/>
        </w:numPr>
        <w:spacing w:after="0"/>
        <w:rPr>
          <w:rFonts w:asciiTheme="majorHAnsi" w:hAnsiTheme="majorHAnsi"/>
        </w:rPr>
      </w:pPr>
      <w:r w:rsidRPr="003B2210">
        <w:rPr>
          <w:rFonts w:asciiTheme="majorHAnsi" w:hAnsiTheme="majorHAnsi"/>
          <w:lang w:val="en-US"/>
        </w:rPr>
        <w:t>University</w:t>
      </w:r>
      <w:r w:rsidRPr="003B2210">
        <w:rPr>
          <w:rFonts w:asciiTheme="majorHAnsi" w:hAnsiTheme="majorHAnsi"/>
        </w:rPr>
        <w:t xml:space="preserve"> degree in gender studies and/or gender equality or in related disciplines (social sciences or political science). </w:t>
      </w:r>
    </w:p>
    <w:p w14:paraId="4464C521" w14:textId="77777777" w:rsidR="000D1B37" w:rsidRPr="003B2210" w:rsidRDefault="000D1B37" w:rsidP="00FB5829">
      <w:pPr>
        <w:pStyle w:val="Body"/>
        <w:spacing w:after="0"/>
        <w:rPr>
          <w:rFonts w:asciiTheme="majorHAnsi" w:hAnsiTheme="majorHAnsi"/>
        </w:rPr>
      </w:pPr>
      <w:r w:rsidRPr="003B2210">
        <w:rPr>
          <w:rFonts w:asciiTheme="majorHAnsi" w:hAnsiTheme="majorHAnsi"/>
        </w:rPr>
        <w:t>b.</w:t>
      </w:r>
      <w:r w:rsidRPr="003B2210">
        <w:rPr>
          <w:rFonts w:asciiTheme="majorHAnsi" w:hAnsiTheme="majorHAnsi"/>
        </w:rPr>
        <w:tab/>
        <w:t>Experience</w:t>
      </w:r>
    </w:p>
    <w:p w14:paraId="68EB6F08"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Have at least five (10) years of professional experience, including five (05) years working specifically on gender equality issues for a development organization, program or project;</w:t>
      </w:r>
    </w:p>
    <w:p w14:paraId="2B0F834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Knowledge of gender equality issues in Haiti, through the preparation of publications, reports or specific studies on this theme;</w:t>
      </w:r>
    </w:p>
    <w:p w14:paraId="0D2B76C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Experience in identifying, designing, planning, </w:t>
      </w:r>
      <w:proofErr w:type="spellStart"/>
      <w:r w:rsidRPr="003B2210">
        <w:rPr>
          <w:rFonts w:asciiTheme="majorHAnsi" w:hAnsiTheme="majorHAnsi"/>
          <w:lang w:val="en-US"/>
        </w:rPr>
        <w:t>analysing</w:t>
      </w:r>
      <w:proofErr w:type="spellEnd"/>
      <w:r w:rsidRPr="003B2210">
        <w:rPr>
          <w:rFonts w:asciiTheme="majorHAnsi" w:hAnsiTheme="majorHAnsi"/>
          <w:lang w:val="en-US"/>
        </w:rPr>
        <w:t xml:space="preserve">, monitoring and evaluating specific projects with a gender equality component  </w:t>
      </w:r>
    </w:p>
    <w:p w14:paraId="5777CD03"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Ability to identify local governance issues related to gender equality;  </w:t>
      </w:r>
    </w:p>
    <w:p w14:paraId="2A00D272"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Good knowledge of public administration, the NGO sector and international organizations; </w:t>
      </w:r>
    </w:p>
    <w:p w14:paraId="7C961788"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Good knowledge of the problems of local governance, </w:t>
      </w:r>
      <w:proofErr w:type="spellStart"/>
      <w:r w:rsidRPr="003B2210">
        <w:rPr>
          <w:rFonts w:asciiTheme="majorHAnsi" w:hAnsiTheme="majorHAnsi"/>
          <w:lang w:val="en-US"/>
        </w:rPr>
        <w:t>deconcentration</w:t>
      </w:r>
      <w:proofErr w:type="spellEnd"/>
      <w:r w:rsidRPr="003B2210">
        <w:rPr>
          <w:rFonts w:asciiTheme="majorHAnsi" w:hAnsiTheme="majorHAnsi"/>
          <w:lang w:val="en-US"/>
        </w:rPr>
        <w:t xml:space="preserve"> and decentralization; </w:t>
      </w:r>
    </w:p>
    <w:p w14:paraId="2511BE7C"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Proficiency in computer tools: Windows environment (Word, Excel, PowerPoint), Email, Internet, Intranet;</w:t>
      </w:r>
    </w:p>
    <w:p w14:paraId="34C55B1D"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An additional </w:t>
      </w:r>
      <w:proofErr w:type="gramStart"/>
      <w:r w:rsidRPr="003B2210">
        <w:rPr>
          <w:rFonts w:asciiTheme="majorHAnsi" w:hAnsiTheme="majorHAnsi"/>
          <w:lang w:val="en-US"/>
        </w:rPr>
        <w:t>Master's</w:t>
      </w:r>
      <w:proofErr w:type="gramEnd"/>
      <w:r w:rsidRPr="003B2210">
        <w:rPr>
          <w:rFonts w:asciiTheme="majorHAnsi" w:hAnsiTheme="majorHAnsi"/>
          <w:lang w:val="en-US"/>
        </w:rPr>
        <w:t xml:space="preserve"> level training on gender equality would be an asset.</w:t>
      </w:r>
    </w:p>
    <w:p w14:paraId="124526A1" w14:textId="77777777" w:rsidR="000D1B37" w:rsidRPr="003B2210" w:rsidRDefault="000D1B37" w:rsidP="00FB5829">
      <w:pPr>
        <w:pStyle w:val="Body"/>
        <w:spacing w:after="0"/>
        <w:rPr>
          <w:rFonts w:asciiTheme="majorHAnsi" w:hAnsiTheme="majorHAnsi"/>
        </w:rPr>
      </w:pPr>
      <w:r w:rsidRPr="003B2210">
        <w:rPr>
          <w:rFonts w:asciiTheme="majorHAnsi" w:hAnsiTheme="majorHAnsi"/>
        </w:rPr>
        <w:t>c.</w:t>
      </w:r>
      <w:r w:rsidRPr="003B2210">
        <w:rPr>
          <w:rFonts w:asciiTheme="majorHAnsi" w:hAnsiTheme="majorHAnsi"/>
        </w:rPr>
        <w:tab/>
        <w:t>Languages</w:t>
      </w:r>
    </w:p>
    <w:p w14:paraId="01E79FB8"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A perfect command of the French and Creole language is essential;</w:t>
      </w:r>
    </w:p>
    <w:p w14:paraId="2DE71649"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A working knowledge of English will be considered an asset.</w:t>
      </w:r>
    </w:p>
    <w:p w14:paraId="154EAA18" w14:textId="77777777" w:rsidR="000D1B37" w:rsidRPr="003B2210" w:rsidRDefault="000D1B37" w:rsidP="00FB5829">
      <w:pPr>
        <w:pStyle w:val="Body"/>
        <w:numPr>
          <w:ilvl w:val="0"/>
          <w:numId w:val="137"/>
        </w:numPr>
        <w:spacing w:after="0"/>
        <w:rPr>
          <w:rFonts w:asciiTheme="majorHAnsi" w:hAnsiTheme="majorHAnsi"/>
          <w:lang w:val="en-US"/>
        </w:rPr>
      </w:pPr>
      <w:r w:rsidRPr="003B2210">
        <w:rPr>
          <w:rFonts w:asciiTheme="majorHAnsi" w:hAnsiTheme="majorHAnsi"/>
          <w:lang w:val="en-US"/>
        </w:rPr>
        <w:t xml:space="preserve">With equal skills, female candidates will be </w:t>
      </w:r>
      <w:proofErr w:type="spellStart"/>
      <w:r w:rsidRPr="003B2210">
        <w:rPr>
          <w:rFonts w:asciiTheme="majorHAnsi" w:hAnsiTheme="majorHAnsi"/>
          <w:lang w:val="en-US"/>
        </w:rPr>
        <w:t>favoured</w:t>
      </w:r>
      <w:proofErr w:type="spellEnd"/>
    </w:p>
    <w:p w14:paraId="05E00E59" w14:textId="77777777" w:rsidR="000D1B37" w:rsidRPr="005516CD" w:rsidRDefault="000D1B37" w:rsidP="000D1B37">
      <w:pPr>
        <w:pStyle w:val="Body"/>
      </w:pPr>
    </w:p>
    <w:p w14:paraId="7F932593" w14:textId="77777777" w:rsidR="000D1B37" w:rsidRPr="003B2210" w:rsidRDefault="000D1B37" w:rsidP="003B2210">
      <w:pPr>
        <w:pStyle w:val="Body"/>
        <w:numPr>
          <w:ilvl w:val="1"/>
          <w:numId w:val="164"/>
        </w:numPr>
        <w:ind w:left="567"/>
        <w:rPr>
          <w:rStyle w:val="None"/>
          <w:b/>
          <w:bCs/>
          <w:lang w:val="nl-NL"/>
        </w:rPr>
      </w:pPr>
      <w:r w:rsidRPr="003B2210">
        <w:rPr>
          <w:rStyle w:val="None"/>
          <w:b/>
          <w:bCs/>
          <w:lang w:val="nl-NL"/>
        </w:rPr>
        <w:t>ESMP Expert</w:t>
      </w:r>
    </w:p>
    <w:p w14:paraId="4B156FEA" w14:textId="6CC6A35A" w:rsidR="000D1B37" w:rsidRPr="005516CD" w:rsidRDefault="000D1B37" w:rsidP="00FB5829">
      <w:pPr>
        <w:pStyle w:val="Body"/>
        <w:rPr>
          <w:rFonts w:asciiTheme="majorHAnsi" w:hAnsiTheme="majorHAnsi" w:cstheme="majorHAnsi"/>
          <w:szCs w:val="22"/>
        </w:rPr>
      </w:pPr>
      <w:r w:rsidRPr="005516CD">
        <w:rPr>
          <w:rFonts w:asciiTheme="majorHAnsi" w:hAnsiTheme="majorHAnsi" w:cstheme="majorHAnsi"/>
          <w:szCs w:val="22"/>
        </w:rPr>
        <w:t xml:space="preserve">The consultant is hired to assist and support the CO in Haiti to work under the supervision of and report to the </w:t>
      </w:r>
      <w:r w:rsidR="007A137F">
        <w:rPr>
          <w:rFonts w:asciiTheme="majorHAnsi" w:hAnsiTheme="majorHAnsi" w:cstheme="majorHAnsi"/>
          <w:szCs w:val="22"/>
        </w:rPr>
        <w:t>Deputy Res. Rep.</w:t>
      </w:r>
      <w:r w:rsidRPr="005516CD">
        <w:rPr>
          <w:rFonts w:asciiTheme="majorHAnsi" w:hAnsiTheme="majorHAnsi" w:cstheme="majorHAnsi"/>
          <w:szCs w:val="22"/>
        </w:rPr>
        <w:t xml:space="preserve"> and the </w:t>
      </w:r>
      <w:r w:rsidR="007A137F">
        <w:rPr>
          <w:rFonts w:asciiTheme="majorHAnsi" w:hAnsiTheme="majorHAnsi" w:cstheme="majorHAnsi"/>
          <w:szCs w:val="22"/>
        </w:rPr>
        <w:t>Head</w:t>
      </w:r>
      <w:r w:rsidR="007A137F" w:rsidRPr="005516CD">
        <w:rPr>
          <w:rFonts w:asciiTheme="majorHAnsi" w:hAnsiTheme="majorHAnsi" w:cstheme="majorHAnsi"/>
          <w:szCs w:val="22"/>
        </w:rPr>
        <w:t xml:space="preserve"> </w:t>
      </w:r>
      <w:r w:rsidRPr="005516CD">
        <w:rPr>
          <w:rFonts w:asciiTheme="majorHAnsi" w:hAnsiTheme="majorHAnsi" w:cstheme="majorHAnsi"/>
          <w:szCs w:val="22"/>
        </w:rPr>
        <w:t xml:space="preserve">of </w:t>
      </w:r>
      <w:r w:rsidR="007A137F">
        <w:rPr>
          <w:rFonts w:asciiTheme="majorHAnsi" w:hAnsiTheme="majorHAnsi" w:cstheme="majorHAnsi"/>
          <w:szCs w:val="22"/>
        </w:rPr>
        <w:t xml:space="preserve">Resilience </w:t>
      </w:r>
      <w:r w:rsidRPr="005516CD">
        <w:rPr>
          <w:rFonts w:asciiTheme="majorHAnsi" w:hAnsiTheme="majorHAnsi" w:cstheme="majorHAnsi"/>
          <w:szCs w:val="22"/>
        </w:rPr>
        <w:t>Unit of the UNDP Country Office in Haiti. Prior to engaging with the UNDP CO in Haiti, the consultant will ensure to be fully familiarized with the UNDP Social and Environmental Standards (SES) as well with GEF requirements on social and environmental risk assessments and safeguards. The consultant will be responsible for the following activities:</w:t>
      </w:r>
    </w:p>
    <w:p w14:paraId="1073330F" w14:textId="77777777" w:rsidR="000D1B37" w:rsidRPr="005516CD" w:rsidRDefault="000D1B37" w:rsidP="00FB5829">
      <w:pPr>
        <w:pStyle w:val="Body"/>
        <w:numPr>
          <w:ilvl w:val="0"/>
          <w:numId w:val="137"/>
        </w:numPr>
        <w:spacing w:after="0"/>
        <w:rPr>
          <w:lang w:val="en-US"/>
        </w:rPr>
      </w:pPr>
      <w:r w:rsidRPr="005516CD">
        <w:rPr>
          <w:lang w:val="en-US"/>
        </w:rPr>
        <w:t>Review project document and SESP study to document/identify potential environmental and social risks.</w:t>
      </w:r>
    </w:p>
    <w:p w14:paraId="2E7A9221" w14:textId="77777777" w:rsidR="000D1B37" w:rsidRPr="005516CD" w:rsidRDefault="000D1B37" w:rsidP="00FB5829">
      <w:pPr>
        <w:pStyle w:val="Body"/>
        <w:numPr>
          <w:ilvl w:val="0"/>
          <w:numId w:val="137"/>
        </w:numPr>
        <w:spacing w:after="0"/>
        <w:rPr>
          <w:lang w:val="en-US"/>
        </w:rPr>
      </w:pPr>
      <w:r w:rsidRPr="005516CD">
        <w:rPr>
          <w:lang w:val="en-US"/>
        </w:rPr>
        <w:t xml:space="preserve">As necessary, recommend issues for further discussion during stakeholder consultations undertaken during project development and in country mission. </w:t>
      </w:r>
    </w:p>
    <w:p w14:paraId="2F44C100" w14:textId="77777777" w:rsidR="000D1B37" w:rsidRPr="005516CD" w:rsidRDefault="000D1B37" w:rsidP="00FB5829">
      <w:pPr>
        <w:pStyle w:val="Body"/>
        <w:numPr>
          <w:ilvl w:val="0"/>
          <w:numId w:val="137"/>
        </w:numPr>
        <w:spacing w:after="0"/>
        <w:rPr>
          <w:lang w:val="en-US"/>
        </w:rPr>
      </w:pPr>
      <w:r w:rsidRPr="005516CD">
        <w:rPr>
          <w:lang w:val="en-US"/>
        </w:rPr>
        <w:t xml:space="preserve">Ensure that identified social and environmental risks at the project proposal are effectively described in a detailed assessment and management planning ESMF. </w:t>
      </w:r>
    </w:p>
    <w:p w14:paraId="7BACDBA3" w14:textId="77777777" w:rsidR="000D1B37" w:rsidRPr="003B2210" w:rsidRDefault="000D1B37" w:rsidP="000D1B37">
      <w:pPr>
        <w:pStyle w:val="Default"/>
        <w:shd w:val="clear" w:color="auto" w:fill="FFFFFF" w:themeFill="background1"/>
        <w:rPr>
          <w:rFonts w:asciiTheme="majorHAnsi" w:hAnsiTheme="majorHAnsi" w:cstheme="majorHAnsi"/>
          <w:color w:val="auto"/>
          <w:sz w:val="20"/>
          <w:szCs w:val="20"/>
        </w:rPr>
      </w:pPr>
      <w:r w:rsidRPr="003B2210">
        <w:rPr>
          <w:rFonts w:asciiTheme="majorHAnsi" w:hAnsiTheme="majorHAnsi" w:cstheme="majorHAnsi"/>
          <w:color w:val="auto"/>
          <w:sz w:val="20"/>
          <w:szCs w:val="20"/>
        </w:rPr>
        <w:t>Qualifications:</w:t>
      </w:r>
    </w:p>
    <w:p w14:paraId="3172F6B9" w14:textId="77777777" w:rsidR="000D1B37" w:rsidRPr="005516CD" w:rsidRDefault="000D1B37" w:rsidP="00FB5829">
      <w:pPr>
        <w:pStyle w:val="Body"/>
        <w:numPr>
          <w:ilvl w:val="0"/>
          <w:numId w:val="137"/>
        </w:numPr>
        <w:spacing w:after="0"/>
      </w:pPr>
      <w:r w:rsidRPr="005516CD">
        <w:rPr>
          <w:lang w:val="en-US"/>
        </w:rPr>
        <w:t>MSc in Environmental, social and development studies or related field</w:t>
      </w:r>
    </w:p>
    <w:tbl>
      <w:tblPr>
        <w:tblW w:w="5000" w:type="pct"/>
        <w:shd w:val="clear" w:color="auto" w:fill="FFFFFF"/>
        <w:tblCellMar>
          <w:left w:w="0" w:type="dxa"/>
          <w:right w:w="0" w:type="dxa"/>
        </w:tblCellMar>
        <w:tblLook w:val="04A0" w:firstRow="1" w:lastRow="0" w:firstColumn="1" w:lastColumn="0" w:noHBand="0" w:noVBand="1"/>
      </w:tblPr>
      <w:tblGrid>
        <w:gridCol w:w="9020"/>
      </w:tblGrid>
      <w:tr w:rsidR="000D1B37" w:rsidRPr="005516CD" w14:paraId="5A2D328B" w14:textId="77777777" w:rsidTr="000D1B37">
        <w:trPr>
          <w:trHeight w:val="1064"/>
        </w:trPr>
        <w:tc>
          <w:tcPr>
            <w:tcW w:w="0" w:type="auto"/>
            <w:shd w:val="clear" w:color="auto" w:fill="FFFFFF"/>
            <w:vAlign w:val="center"/>
            <w:hideMark/>
          </w:tcPr>
          <w:p w14:paraId="226FF073" w14:textId="77777777" w:rsidR="000D1B37" w:rsidRPr="005516CD" w:rsidRDefault="000D1B37" w:rsidP="00FB5829">
            <w:pPr>
              <w:pStyle w:val="Body"/>
              <w:numPr>
                <w:ilvl w:val="0"/>
                <w:numId w:val="137"/>
              </w:numPr>
              <w:pBdr>
                <w:top w:val="none" w:sz="0" w:space="0" w:color="auto"/>
                <w:left w:val="none" w:sz="0" w:space="0" w:color="auto"/>
                <w:bottom w:val="none" w:sz="0" w:space="0" w:color="auto"/>
                <w:right w:val="none" w:sz="0" w:space="0" w:color="auto"/>
                <w:between w:val="none" w:sz="0" w:space="0" w:color="auto"/>
                <w:bar w:val="none" w:sz="0" w:color="auto"/>
              </w:pBdr>
              <w:spacing w:after="0"/>
            </w:pPr>
            <w:r w:rsidRPr="005516CD">
              <w:rPr>
                <w:lang w:val="en-US"/>
              </w:rPr>
              <w:t>Minimum 10 years’ experience in relation to environmental and social safeguards and/or biodiversity conservation in developing countries, including gender assessment</w:t>
            </w:r>
          </w:p>
          <w:p w14:paraId="3B682C11" w14:textId="77777777" w:rsidR="000D1B37" w:rsidRPr="005516CD" w:rsidRDefault="000D1B37" w:rsidP="00FB5829">
            <w:pPr>
              <w:pStyle w:val="Body"/>
              <w:numPr>
                <w:ilvl w:val="0"/>
                <w:numId w:val="137"/>
              </w:numPr>
              <w:pBdr>
                <w:top w:val="none" w:sz="0" w:space="0" w:color="auto"/>
                <w:left w:val="none" w:sz="0" w:space="0" w:color="auto"/>
                <w:bottom w:val="none" w:sz="0" w:space="0" w:color="auto"/>
                <w:right w:val="none" w:sz="0" w:space="0" w:color="auto"/>
                <w:between w:val="none" w:sz="0" w:space="0" w:color="auto"/>
                <w:bar w:val="none" w:sz="0" w:color="auto"/>
              </w:pBdr>
              <w:spacing w:after="0"/>
            </w:pPr>
            <w:r w:rsidRPr="005516CD">
              <w:rPr>
                <w:lang w:val="en-US"/>
              </w:rPr>
              <w:t>Experience with design and/or management of GEF projects or other large-scale environmental management projects</w:t>
            </w:r>
          </w:p>
          <w:p w14:paraId="266F5C2C" w14:textId="77777777" w:rsidR="000D1B37" w:rsidRPr="005516CD" w:rsidRDefault="000D1B37" w:rsidP="00FB5829">
            <w:pPr>
              <w:pStyle w:val="Body"/>
              <w:numPr>
                <w:ilvl w:val="0"/>
                <w:numId w:val="137"/>
              </w:numPr>
              <w:pBdr>
                <w:top w:val="none" w:sz="0" w:space="0" w:color="auto"/>
                <w:left w:val="none" w:sz="0" w:space="0" w:color="auto"/>
                <w:bottom w:val="none" w:sz="0" w:space="0" w:color="auto"/>
                <w:right w:val="none" w:sz="0" w:space="0" w:color="auto"/>
                <w:between w:val="none" w:sz="0" w:space="0" w:color="auto"/>
                <w:bar w:val="none" w:sz="0" w:color="auto"/>
              </w:pBdr>
              <w:spacing w:after="0"/>
              <w:rPr>
                <w:lang w:val="en-US"/>
              </w:rPr>
            </w:pPr>
            <w:r w:rsidRPr="005516CD">
              <w:rPr>
                <w:lang w:val="en-US"/>
              </w:rPr>
              <w:t xml:space="preserve">Fluency in written and spoken French </w:t>
            </w:r>
          </w:p>
          <w:p w14:paraId="192FCF37" w14:textId="77777777" w:rsidR="000D1B37" w:rsidRPr="005516CD" w:rsidRDefault="000D1B37" w:rsidP="00FB5829">
            <w:pPr>
              <w:pStyle w:val="Body"/>
              <w:numPr>
                <w:ilvl w:val="0"/>
                <w:numId w:val="137"/>
              </w:numPr>
              <w:pBdr>
                <w:top w:val="none" w:sz="0" w:space="0" w:color="auto"/>
                <w:left w:val="none" w:sz="0" w:space="0" w:color="auto"/>
                <w:bottom w:val="none" w:sz="0" w:space="0" w:color="auto"/>
                <w:right w:val="none" w:sz="0" w:space="0" w:color="auto"/>
                <w:between w:val="none" w:sz="0" w:space="0" w:color="auto"/>
                <w:bar w:val="none" w:sz="0" w:color="auto"/>
              </w:pBdr>
              <w:spacing w:after="0"/>
              <w:rPr>
                <w:lang w:val="en-US"/>
              </w:rPr>
            </w:pPr>
            <w:r w:rsidRPr="005516CD">
              <w:rPr>
                <w:lang w:val="en-US"/>
              </w:rPr>
              <w:t>A working knowledge of English will be considered an asset.</w:t>
            </w:r>
          </w:p>
        </w:tc>
      </w:tr>
    </w:tbl>
    <w:p w14:paraId="12F8D5DE" w14:textId="77777777" w:rsidR="000D1B37" w:rsidRPr="005516CD" w:rsidRDefault="000D1B37" w:rsidP="000D1B37">
      <w:pPr>
        <w:pStyle w:val="p6"/>
        <w:tabs>
          <w:tab w:val="clear" w:pos="720"/>
          <w:tab w:val="left" w:pos="360"/>
        </w:tabs>
        <w:spacing w:line="240" w:lineRule="auto"/>
        <w:ind w:left="360"/>
        <w:jc w:val="both"/>
        <w:rPr>
          <w:sz w:val="22"/>
          <w:szCs w:val="22"/>
        </w:rPr>
      </w:pPr>
    </w:p>
    <w:p w14:paraId="6F31512E" w14:textId="77777777" w:rsidR="00E53404" w:rsidRPr="005516CD" w:rsidRDefault="00E53404" w:rsidP="001E6E8C">
      <w:pPr>
        <w:pStyle w:val="Body"/>
        <w:spacing w:after="0"/>
        <w:rPr>
          <w:b/>
          <w:i/>
        </w:rPr>
        <w:sectPr w:rsidR="00E53404" w:rsidRPr="005516CD">
          <w:pgSz w:w="11900" w:h="16840"/>
          <w:pgMar w:top="1440" w:right="1440" w:bottom="1440" w:left="1440" w:header="708" w:footer="432" w:gutter="0"/>
          <w:cols w:space="720"/>
        </w:sectPr>
      </w:pPr>
    </w:p>
    <w:p w14:paraId="52044001" w14:textId="77777777" w:rsidR="00F91241" w:rsidRPr="003B2210" w:rsidRDefault="00F91241" w:rsidP="00FB5829">
      <w:pPr>
        <w:pStyle w:val="Heading2"/>
        <w:numPr>
          <w:ilvl w:val="0"/>
          <w:numId w:val="30"/>
        </w:numPr>
        <w:spacing w:after="0"/>
        <w:ind w:left="0" w:firstLine="0"/>
        <w:rPr>
          <w:rStyle w:val="None"/>
          <w:rFonts w:asciiTheme="majorHAnsi" w:hAnsiTheme="majorHAnsi"/>
          <w:sz w:val="22"/>
          <w:lang w:val="en-US"/>
        </w:rPr>
      </w:pPr>
      <w:bookmarkStart w:id="107" w:name="_Toc7438640"/>
      <w:bookmarkStart w:id="108" w:name="_Toc7438759"/>
      <w:bookmarkStart w:id="109" w:name="_Toc7535430"/>
      <w:bookmarkStart w:id="110" w:name="_Toc7535977"/>
      <w:bookmarkStart w:id="111" w:name="_Toc7438641"/>
      <w:bookmarkStart w:id="112" w:name="_Toc7438760"/>
      <w:bookmarkStart w:id="113" w:name="_Toc7535431"/>
      <w:bookmarkStart w:id="114" w:name="_Toc7535978"/>
      <w:bookmarkStart w:id="115" w:name="_Toc786917"/>
      <w:bookmarkStart w:id="116" w:name="_Toc8933111"/>
      <w:bookmarkEnd w:id="107"/>
      <w:bookmarkEnd w:id="108"/>
      <w:bookmarkEnd w:id="109"/>
      <w:bookmarkEnd w:id="110"/>
      <w:bookmarkEnd w:id="111"/>
      <w:bookmarkEnd w:id="112"/>
      <w:bookmarkEnd w:id="113"/>
      <w:bookmarkEnd w:id="114"/>
      <w:r w:rsidRPr="003B2210">
        <w:rPr>
          <w:rStyle w:val="None"/>
          <w:rFonts w:asciiTheme="majorHAnsi" w:hAnsiTheme="majorHAnsi"/>
          <w:sz w:val="22"/>
        </w:rPr>
        <w:t xml:space="preserve">UNDP Social and Environmental Screening </w:t>
      </w:r>
      <w:r w:rsidR="0023263F" w:rsidRPr="003B2210">
        <w:rPr>
          <w:rStyle w:val="None"/>
          <w:rFonts w:asciiTheme="majorHAnsi" w:hAnsiTheme="majorHAnsi"/>
          <w:sz w:val="22"/>
        </w:rPr>
        <w:t xml:space="preserve">Procedure </w:t>
      </w:r>
      <w:r w:rsidRPr="003B2210">
        <w:rPr>
          <w:rStyle w:val="None"/>
          <w:rFonts w:asciiTheme="majorHAnsi" w:hAnsiTheme="majorHAnsi"/>
          <w:sz w:val="22"/>
        </w:rPr>
        <w:t>(SESP)</w:t>
      </w:r>
      <w:bookmarkEnd w:id="115"/>
      <w:bookmarkEnd w:id="116"/>
    </w:p>
    <w:p w14:paraId="08184E98" w14:textId="77777777" w:rsidR="00F91241" w:rsidRPr="005516CD" w:rsidRDefault="00F91241" w:rsidP="00F91241">
      <w:pPr>
        <w:rPr>
          <w:rFonts w:eastAsia="Helvetica"/>
          <w:i/>
          <w:szCs w:val="20"/>
        </w:rPr>
      </w:pPr>
    </w:p>
    <w:p w14:paraId="278BC3BC" w14:textId="77777777" w:rsidR="00F91241" w:rsidRPr="005516CD" w:rsidRDefault="00F91241" w:rsidP="00F91241">
      <w:pPr>
        <w:ind w:left="357"/>
        <w:rPr>
          <w:rFonts w:ascii="Calibri" w:eastAsia="Helvetica" w:hAnsi="Calibri" w:cs="Calibri"/>
          <w:b/>
          <w:color w:val="5B9BD5"/>
        </w:rPr>
      </w:pPr>
      <w:r w:rsidRPr="005516CD">
        <w:rPr>
          <w:rFonts w:ascii="Calibri" w:eastAsia="Helvetica" w:hAnsi="Calibri" w:cs="Calibri"/>
          <w:b/>
          <w:color w:val="5B9BD5"/>
        </w:rPr>
        <w:t>Project Information</w:t>
      </w:r>
    </w:p>
    <w:p w14:paraId="37E0C4B6" w14:textId="77777777" w:rsidR="00F91241" w:rsidRPr="005516CD" w:rsidRDefault="00F91241" w:rsidP="00F91241">
      <w:pPr>
        <w:rPr>
          <w:rFonts w:ascii="Calibri" w:eastAsia="Helvetica" w:hAnsi="Calibri" w:cs="Calibri"/>
        </w:rPr>
      </w:pPr>
    </w:p>
    <w:tbl>
      <w:tblPr>
        <w:tblStyle w:val="TableGrid4"/>
        <w:tblW w:w="13248" w:type="dxa"/>
        <w:tblLook w:val="04A0" w:firstRow="1" w:lastRow="0" w:firstColumn="1" w:lastColumn="0" w:noHBand="0" w:noVBand="1"/>
      </w:tblPr>
      <w:tblGrid>
        <w:gridCol w:w="3325"/>
        <w:gridCol w:w="9923"/>
      </w:tblGrid>
      <w:tr w:rsidR="00F91241" w:rsidRPr="005516CD" w14:paraId="4EFFC32E" w14:textId="77777777" w:rsidTr="000A6F69">
        <w:tc>
          <w:tcPr>
            <w:tcW w:w="3325" w:type="dxa"/>
            <w:shd w:val="clear" w:color="auto" w:fill="EDEDED"/>
            <w:vAlign w:val="center"/>
          </w:tcPr>
          <w:p w14:paraId="44E7438C"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i/>
                <w:szCs w:val="20"/>
                <w:bdr w:val="nil"/>
              </w:rPr>
            </w:pPr>
            <w:r w:rsidRPr="005516CD">
              <w:rPr>
                <w:rFonts w:ascii="Calibri" w:eastAsia="Helvetica" w:hAnsi="Calibri" w:cs="Calibri"/>
                <w:i/>
                <w:szCs w:val="20"/>
                <w:bdr w:val="nil"/>
              </w:rPr>
              <w:t xml:space="preserve">Project Information </w:t>
            </w:r>
          </w:p>
        </w:tc>
        <w:tc>
          <w:tcPr>
            <w:tcW w:w="9923" w:type="dxa"/>
            <w:shd w:val="clear" w:color="auto" w:fill="EDEDED"/>
            <w:vAlign w:val="center"/>
          </w:tcPr>
          <w:p w14:paraId="77172BFF" w14:textId="77777777" w:rsidR="00F91241" w:rsidRPr="005516CD" w:rsidRDefault="00F91241" w:rsidP="00F91241">
            <w:pPr>
              <w:pBdr>
                <w:top w:val="nil"/>
                <w:left w:val="nil"/>
                <w:bottom w:val="nil"/>
                <w:right w:val="nil"/>
                <w:between w:val="nil"/>
                <w:bar w:val="nil"/>
              </w:pBdr>
              <w:rPr>
                <w:rFonts w:ascii="Calibri" w:eastAsia="Helvetica" w:hAnsi="Calibri" w:cs="Calibri"/>
                <w:i/>
                <w:szCs w:val="20"/>
                <w:bdr w:val="nil"/>
              </w:rPr>
            </w:pPr>
          </w:p>
        </w:tc>
      </w:tr>
      <w:tr w:rsidR="00F91241" w:rsidRPr="005516CD" w14:paraId="3BC43218" w14:textId="77777777" w:rsidTr="000A6F69">
        <w:trPr>
          <w:trHeight w:val="288"/>
        </w:trPr>
        <w:tc>
          <w:tcPr>
            <w:tcW w:w="3325" w:type="dxa"/>
            <w:vAlign w:val="center"/>
          </w:tcPr>
          <w:p w14:paraId="44EFAB21" w14:textId="77777777" w:rsidR="00F91241" w:rsidRPr="005516CD" w:rsidRDefault="00F91241" w:rsidP="00F91241">
            <w:pPr>
              <w:numPr>
                <w:ilvl w:val="0"/>
                <w:numId w:val="92"/>
              </w:numPr>
              <w:pBdr>
                <w:top w:val="nil"/>
                <w:left w:val="nil"/>
                <w:bottom w:val="nil"/>
                <w:right w:val="nil"/>
                <w:between w:val="nil"/>
                <w:bar w:val="nil"/>
              </w:pBdr>
              <w:ind w:left="360"/>
              <w:contextualSpacing/>
              <w:rPr>
                <w:rFonts w:ascii="Calibri" w:eastAsia="Arial Unicode MS" w:hAnsi="Calibri" w:cs="Calibri"/>
                <w:sz w:val="18"/>
                <w:szCs w:val="18"/>
                <w:bdr w:val="nil"/>
              </w:rPr>
            </w:pPr>
            <w:r w:rsidRPr="005516CD">
              <w:rPr>
                <w:rFonts w:ascii="Calibri" w:eastAsia="Arial Unicode MS" w:hAnsi="Calibri" w:cs="Calibri"/>
                <w:sz w:val="18"/>
                <w:szCs w:val="18"/>
                <w:bdr w:val="nil"/>
              </w:rPr>
              <w:t>Project Title</w:t>
            </w:r>
          </w:p>
        </w:tc>
        <w:tc>
          <w:tcPr>
            <w:tcW w:w="9923" w:type="dxa"/>
            <w:vAlign w:val="center"/>
          </w:tcPr>
          <w:p w14:paraId="3984EEA6"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 xml:space="preserve">Sustainable management of wooded production landscapes for biodiversity conservation </w:t>
            </w:r>
          </w:p>
        </w:tc>
      </w:tr>
      <w:tr w:rsidR="00F91241" w:rsidRPr="005516CD" w14:paraId="06DE39AC" w14:textId="77777777" w:rsidTr="000A6F69">
        <w:trPr>
          <w:trHeight w:val="288"/>
        </w:trPr>
        <w:tc>
          <w:tcPr>
            <w:tcW w:w="3325" w:type="dxa"/>
            <w:vAlign w:val="center"/>
          </w:tcPr>
          <w:p w14:paraId="70C289C0" w14:textId="77777777" w:rsidR="00F91241" w:rsidRPr="005516CD" w:rsidRDefault="00F91241" w:rsidP="00F91241">
            <w:pPr>
              <w:numPr>
                <w:ilvl w:val="0"/>
                <w:numId w:val="92"/>
              </w:numPr>
              <w:pBdr>
                <w:top w:val="nil"/>
                <w:left w:val="nil"/>
                <w:bottom w:val="nil"/>
                <w:right w:val="nil"/>
                <w:between w:val="nil"/>
                <w:bar w:val="nil"/>
              </w:pBdr>
              <w:ind w:left="360"/>
              <w:contextualSpacing/>
              <w:rPr>
                <w:rFonts w:ascii="Calibri" w:eastAsia="Arial Unicode MS" w:hAnsi="Calibri" w:cs="Calibri"/>
                <w:sz w:val="18"/>
                <w:szCs w:val="18"/>
                <w:bdr w:val="nil"/>
              </w:rPr>
            </w:pPr>
            <w:r w:rsidRPr="005516CD">
              <w:rPr>
                <w:rFonts w:ascii="Calibri" w:eastAsia="Arial Unicode MS" w:hAnsi="Calibri" w:cs="Calibri"/>
                <w:sz w:val="18"/>
                <w:szCs w:val="18"/>
                <w:bdr w:val="nil"/>
              </w:rPr>
              <w:t>Project Number</w:t>
            </w:r>
          </w:p>
        </w:tc>
        <w:tc>
          <w:tcPr>
            <w:tcW w:w="9923" w:type="dxa"/>
            <w:vAlign w:val="center"/>
          </w:tcPr>
          <w:p w14:paraId="722B6C14"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UNDP-GEF PIMS ID number 5765; GEF ID number 9777</w:t>
            </w:r>
          </w:p>
        </w:tc>
      </w:tr>
      <w:tr w:rsidR="00F91241" w:rsidRPr="005516CD" w14:paraId="5A0109F8" w14:textId="77777777" w:rsidTr="000A6F69">
        <w:trPr>
          <w:trHeight w:val="288"/>
        </w:trPr>
        <w:tc>
          <w:tcPr>
            <w:tcW w:w="3325" w:type="dxa"/>
            <w:vAlign w:val="center"/>
          </w:tcPr>
          <w:p w14:paraId="16573F72" w14:textId="77777777" w:rsidR="00F91241" w:rsidRPr="005516CD" w:rsidRDefault="00F91241" w:rsidP="00F91241">
            <w:pPr>
              <w:numPr>
                <w:ilvl w:val="0"/>
                <w:numId w:val="92"/>
              </w:numPr>
              <w:pBdr>
                <w:top w:val="nil"/>
                <w:left w:val="nil"/>
                <w:bottom w:val="nil"/>
                <w:right w:val="nil"/>
                <w:between w:val="nil"/>
                <w:bar w:val="nil"/>
              </w:pBdr>
              <w:ind w:left="360"/>
              <w:contextualSpacing/>
              <w:rPr>
                <w:rFonts w:ascii="Calibri" w:eastAsia="Arial Unicode MS" w:hAnsi="Calibri" w:cs="Calibri"/>
                <w:sz w:val="18"/>
                <w:szCs w:val="18"/>
                <w:bdr w:val="nil"/>
              </w:rPr>
            </w:pPr>
            <w:r w:rsidRPr="005516CD">
              <w:rPr>
                <w:rFonts w:ascii="Calibri" w:eastAsia="Arial Unicode MS" w:hAnsi="Calibri" w:cs="Calibri"/>
                <w:sz w:val="18"/>
                <w:szCs w:val="18"/>
                <w:bdr w:val="nil"/>
              </w:rPr>
              <w:t>Location (Global/Region/Country)</w:t>
            </w:r>
          </w:p>
        </w:tc>
        <w:tc>
          <w:tcPr>
            <w:tcW w:w="9923" w:type="dxa"/>
            <w:vAlign w:val="center"/>
          </w:tcPr>
          <w:p w14:paraId="2C29C897"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Haiti (North and North-East)</w:t>
            </w:r>
          </w:p>
        </w:tc>
      </w:tr>
    </w:tbl>
    <w:p w14:paraId="74E84303" w14:textId="77777777" w:rsidR="00F91241" w:rsidRPr="005516CD" w:rsidRDefault="00F91241" w:rsidP="00F91241">
      <w:pPr>
        <w:tabs>
          <w:tab w:val="left" w:pos="360"/>
        </w:tabs>
        <w:rPr>
          <w:rFonts w:ascii="Calibri" w:eastAsia="Helvetica" w:hAnsi="Calibri" w:cs="Calibri"/>
          <w:szCs w:val="20"/>
        </w:rPr>
      </w:pPr>
    </w:p>
    <w:p w14:paraId="0D5FB4B7" w14:textId="77777777" w:rsidR="00F91241" w:rsidRPr="005516CD" w:rsidRDefault="00F91241" w:rsidP="00F91241">
      <w:pPr>
        <w:ind w:left="357"/>
        <w:rPr>
          <w:rFonts w:ascii="Calibri" w:eastAsia="Helvetica" w:hAnsi="Calibri" w:cs="Calibri"/>
          <w:b/>
          <w:color w:val="2E74B5"/>
        </w:rPr>
      </w:pPr>
      <w:r w:rsidRPr="005516CD">
        <w:rPr>
          <w:rFonts w:ascii="Calibri" w:eastAsia="Helvetica" w:hAnsi="Calibri" w:cs="Calibri"/>
          <w:b/>
          <w:color w:val="2E74B5"/>
        </w:rPr>
        <w:t>Part A. Integrating Overarching Principles to Strengthen Social and Environmental Sustainability</w:t>
      </w:r>
    </w:p>
    <w:p w14:paraId="2BA4963E" w14:textId="77777777" w:rsidR="00F91241" w:rsidRPr="005516CD" w:rsidRDefault="00F91241" w:rsidP="00F91241">
      <w:pPr>
        <w:rPr>
          <w:rFonts w:ascii="Calibri" w:eastAsia="Helvetica" w:hAnsi="Calibri" w:cs="Calibri"/>
          <w:b/>
          <w:szCs w:val="20"/>
        </w:rPr>
      </w:pPr>
    </w:p>
    <w:tbl>
      <w:tblPr>
        <w:tblStyle w:val="TableGrid4"/>
        <w:tblW w:w="13248" w:type="dxa"/>
        <w:tblLook w:val="04A0" w:firstRow="1" w:lastRow="0" w:firstColumn="1" w:lastColumn="0" w:noHBand="0" w:noVBand="1"/>
      </w:tblPr>
      <w:tblGrid>
        <w:gridCol w:w="13248"/>
      </w:tblGrid>
      <w:tr w:rsidR="00F91241" w:rsidRPr="005516CD" w14:paraId="6753F68F" w14:textId="77777777" w:rsidTr="000A6F69">
        <w:trPr>
          <w:trHeight w:val="449"/>
        </w:trPr>
        <w:tc>
          <w:tcPr>
            <w:tcW w:w="13248" w:type="dxa"/>
            <w:shd w:val="clear" w:color="auto" w:fill="D9D9D9"/>
            <w:vAlign w:val="center"/>
          </w:tcPr>
          <w:p w14:paraId="6424801E" w14:textId="77777777" w:rsidR="00F91241" w:rsidRPr="005516CD" w:rsidRDefault="00F91241" w:rsidP="00F91241">
            <w:pPr>
              <w:pBdr>
                <w:top w:val="nil"/>
                <w:left w:val="nil"/>
                <w:bottom w:val="nil"/>
                <w:right w:val="nil"/>
                <w:between w:val="nil"/>
                <w:bar w:val="nil"/>
              </w:pBdr>
              <w:rPr>
                <w:rFonts w:ascii="Calibri" w:eastAsia="Helvetica" w:hAnsi="Calibri" w:cs="Calibri"/>
                <w:sz w:val="20"/>
                <w:szCs w:val="20"/>
                <w:bdr w:val="nil"/>
              </w:rPr>
            </w:pPr>
            <w:r w:rsidRPr="005516CD">
              <w:rPr>
                <w:rFonts w:ascii="Calibri" w:eastAsia="Helvetica" w:hAnsi="Calibri" w:cs="Calibri"/>
                <w:sz w:val="20"/>
                <w:szCs w:val="20"/>
                <w:bdr w:val="nil"/>
              </w:rPr>
              <w:t>QUESTION 1: How Does the Project Integrate the Overarching Principles in order to Strengthen Social and Environmental Sustainability?</w:t>
            </w:r>
          </w:p>
        </w:tc>
      </w:tr>
      <w:tr w:rsidR="00F91241" w:rsidRPr="005516CD" w14:paraId="3528E2C1" w14:textId="77777777" w:rsidTr="000A6F69">
        <w:tc>
          <w:tcPr>
            <w:tcW w:w="13248" w:type="dxa"/>
            <w:shd w:val="clear" w:color="auto" w:fill="EDEDED"/>
          </w:tcPr>
          <w:p w14:paraId="1B26A8DD" w14:textId="77777777" w:rsidR="00F91241" w:rsidRPr="005516CD" w:rsidRDefault="00F91241" w:rsidP="00F91241">
            <w:pPr>
              <w:pBdr>
                <w:top w:val="nil"/>
                <w:left w:val="nil"/>
                <w:bottom w:val="nil"/>
                <w:right w:val="nil"/>
                <w:between w:val="nil"/>
                <w:bar w:val="nil"/>
              </w:pBdr>
              <w:tabs>
                <w:tab w:val="left" w:pos="432"/>
              </w:tabs>
              <w:spacing w:before="60" w:after="60"/>
              <w:rPr>
                <w:rFonts w:ascii="Calibri" w:eastAsia="Times New Roman" w:hAnsi="Calibri" w:cs="Calibri"/>
                <w:i/>
                <w:sz w:val="20"/>
                <w:szCs w:val="20"/>
                <w:bdr w:val="nil"/>
              </w:rPr>
            </w:pPr>
            <w:r w:rsidRPr="005516CD">
              <w:rPr>
                <w:rFonts w:ascii="Calibri" w:eastAsia="Times New Roman" w:hAnsi="Calibri" w:cs="Calibri"/>
                <w:i/>
                <w:sz w:val="20"/>
                <w:szCs w:val="20"/>
                <w:bdr w:val="nil"/>
              </w:rPr>
              <w:t xml:space="preserve">Briefly describe in the space below how the Project mainstreams the human-rights based approach </w:t>
            </w:r>
          </w:p>
        </w:tc>
      </w:tr>
      <w:tr w:rsidR="00F91241" w:rsidRPr="005516CD" w14:paraId="342B20DC" w14:textId="77777777" w:rsidTr="000A6F69">
        <w:tc>
          <w:tcPr>
            <w:tcW w:w="13248" w:type="dxa"/>
          </w:tcPr>
          <w:p w14:paraId="7C8FCFFD" w14:textId="77777777" w:rsidR="00F91241" w:rsidRPr="005516CD" w:rsidRDefault="00F91241" w:rsidP="00F91241">
            <w:pPr>
              <w:keepLines/>
              <w:pBdr>
                <w:top w:val="nil"/>
                <w:left w:val="nil"/>
                <w:bottom w:val="nil"/>
                <w:right w:val="nil"/>
                <w:between w:val="nil"/>
                <w:bar w:val="nil"/>
              </w:pBdr>
              <w:tabs>
                <w:tab w:val="left" w:pos="318"/>
              </w:tabs>
              <w:spacing w:before="60" w:after="60"/>
              <w:outlineLvl w:val="7"/>
              <w:rPr>
                <w:rFonts w:ascii="Calibri" w:eastAsia="Helvetica" w:hAnsi="Calibri" w:cs="Calibri"/>
                <w:sz w:val="20"/>
                <w:szCs w:val="20"/>
                <w:bdr w:val="nil"/>
              </w:rPr>
            </w:pPr>
            <w:r w:rsidRPr="005516CD">
              <w:rPr>
                <w:rFonts w:ascii="Calibri" w:eastAsia="Helvetica" w:hAnsi="Calibri" w:cs="Calibri"/>
                <w:sz w:val="20"/>
                <w:szCs w:val="20"/>
                <w:bdr w:val="nil"/>
              </w:rPr>
              <w:t xml:space="preserve">The project mainstreams a human rights-based approach by supporting the resilience and restoration of the wooded production landscapes on which the extremely vulnerable rural Haitian population directly depends for their livelihoods.  Furthermore, the Haitian population, both rural and urban, is extremely vulnerable to flood events, affecting the safety and security of millions of Haitians. It has been widely recognized that the severity of flooding in Haiti is a direct result of the lack of tree cover, and hence an important co-benefit of project will also be to improve infiltration and slow run-off, resulting in reduced mortality in the case of future flood events. Furthermore, the project will support the development of governance conditions in local communities, in order to ensure adequate representation of all stakeholders’ interests in the planning of landscape management, promoting the right to expression and democratic processes.  Finally, the project promotes multiple environmental and social benefits at the landscape scale, ensuring the sustainability of restored wooded areas and production systems by explicitly valuing not only the biodiversity value of these areas, but also the quantity and quality of farm-produced food, and the revenues received for livelihood support, through the creation of viable value chains for cocoa, coffee, fruit, medicinal plants and enhanced transformation of traditional products. By supporting such diverse production and farming systems, the project will help to ensure access to income (to help meet the basic rights to education and health) as well as food security for a range </w:t>
            </w:r>
            <w:r w:rsidR="00DD4014" w:rsidRPr="005516CD">
              <w:rPr>
                <w:rFonts w:ascii="Calibri" w:eastAsia="Helvetica" w:hAnsi="Calibri" w:cs="Calibri"/>
                <w:sz w:val="20"/>
                <w:szCs w:val="20"/>
                <w:bdr w:val="nil"/>
              </w:rPr>
              <w:t xml:space="preserve">of </w:t>
            </w:r>
            <w:r w:rsidRPr="005516CD">
              <w:rPr>
                <w:rFonts w:ascii="Calibri" w:eastAsia="Helvetica" w:hAnsi="Calibri" w:cs="Calibri"/>
                <w:sz w:val="20"/>
                <w:szCs w:val="20"/>
                <w:bdr w:val="nil"/>
              </w:rPr>
              <w:t>Haitian farmers.</w:t>
            </w:r>
          </w:p>
        </w:tc>
      </w:tr>
      <w:tr w:rsidR="00F91241" w:rsidRPr="005516CD" w14:paraId="7393600B" w14:textId="77777777" w:rsidTr="000A6F69">
        <w:trPr>
          <w:trHeight w:val="296"/>
        </w:trPr>
        <w:tc>
          <w:tcPr>
            <w:tcW w:w="13248" w:type="dxa"/>
            <w:shd w:val="clear" w:color="auto" w:fill="EDEDED"/>
          </w:tcPr>
          <w:p w14:paraId="75986CD0" w14:textId="77777777" w:rsidR="00F91241" w:rsidRPr="005516CD" w:rsidRDefault="00F91241" w:rsidP="00F91241">
            <w:pPr>
              <w:pBdr>
                <w:top w:val="nil"/>
                <w:left w:val="nil"/>
                <w:bottom w:val="nil"/>
                <w:right w:val="nil"/>
                <w:between w:val="nil"/>
                <w:bar w:val="nil"/>
              </w:pBdr>
              <w:spacing w:after="120"/>
              <w:contextualSpacing/>
              <w:rPr>
                <w:rFonts w:ascii="Calibri" w:eastAsia="Helvetica" w:hAnsi="Calibri" w:cs="Calibri"/>
                <w:i/>
                <w:sz w:val="20"/>
                <w:szCs w:val="20"/>
                <w:bdr w:val="nil"/>
              </w:rPr>
            </w:pPr>
            <w:r w:rsidRPr="005516CD">
              <w:rPr>
                <w:rFonts w:ascii="Calibri" w:eastAsia="Times New Roman" w:hAnsi="Calibri" w:cs="Calibri"/>
                <w:i/>
                <w:sz w:val="20"/>
                <w:szCs w:val="20"/>
                <w:bdr w:val="nil"/>
              </w:rPr>
              <w:t>Briefly describe in the space below how the Project is likely to improve gender equality and women’s empowerment</w:t>
            </w:r>
          </w:p>
        </w:tc>
      </w:tr>
      <w:tr w:rsidR="00F91241" w:rsidRPr="005516CD" w14:paraId="49141F1A" w14:textId="77777777" w:rsidTr="000A6F69">
        <w:tc>
          <w:tcPr>
            <w:tcW w:w="13248" w:type="dxa"/>
          </w:tcPr>
          <w:p w14:paraId="77D88931" w14:textId="77777777" w:rsidR="00F91241" w:rsidRPr="005516CD" w:rsidRDefault="00F91241" w:rsidP="00FB5829">
            <w:pPr>
              <w:pBdr>
                <w:top w:val="nil"/>
                <w:left w:val="nil"/>
                <w:bottom w:val="nil"/>
                <w:right w:val="nil"/>
                <w:between w:val="nil"/>
                <w:bar w:val="nil"/>
              </w:pBdr>
              <w:tabs>
                <w:tab w:val="left" w:pos="318"/>
              </w:tabs>
              <w:spacing w:before="60" w:after="60"/>
              <w:outlineLvl w:val="7"/>
              <w:rPr>
                <w:rFonts w:ascii="Calibri" w:eastAsia="Calibri" w:hAnsi="Calibri" w:cs="Calibri"/>
                <w:sz w:val="20"/>
                <w:szCs w:val="20"/>
                <w:bdr w:val="nil"/>
              </w:rPr>
            </w:pPr>
            <w:r w:rsidRPr="005516CD">
              <w:rPr>
                <w:rFonts w:ascii="Calibri" w:eastAsia="Calibri" w:hAnsi="Calibri" w:cs="Calibri"/>
                <w:sz w:val="20"/>
                <w:szCs w:val="20"/>
                <w:bdr w:val="nil"/>
              </w:rPr>
              <w:t xml:space="preserve">The project </w:t>
            </w:r>
            <w:r w:rsidRPr="005516CD">
              <w:rPr>
                <w:rFonts w:ascii="Calibri" w:eastAsia="Helvetica" w:hAnsi="Calibri" w:cs="Calibri"/>
                <w:sz w:val="20"/>
                <w:szCs w:val="20"/>
                <w:bdr w:val="nil"/>
              </w:rPr>
              <w:t>supports</w:t>
            </w:r>
            <w:r w:rsidRPr="005516CD">
              <w:rPr>
                <w:rFonts w:ascii="Calibri" w:eastAsia="Calibri" w:hAnsi="Calibri" w:cs="Calibri"/>
                <w:sz w:val="20"/>
                <w:szCs w:val="20"/>
                <w:bdr w:val="nil"/>
              </w:rPr>
              <w:t xml:space="preserve"> a participatory and gender-equitable approach to both the design and implementation of interventions.  By supporting the target population in generating revenue from tree-based systems of agricultural production, the project provides direct economic </w:t>
            </w:r>
            <w:r w:rsidRPr="005516CD">
              <w:rPr>
                <w:rFonts w:ascii="Calibri" w:eastAsia="Helvetica" w:hAnsi="Calibri" w:cs="Calibri"/>
                <w:sz w:val="20"/>
                <w:szCs w:val="20"/>
                <w:bdr w:val="nil"/>
              </w:rPr>
              <w:t>benefits</w:t>
            </w:r>
            <w:r w:rsidRPr="005516CD">
              <w:rPr>
                <w:rFonts w:ascii="Calibri" w:eastAsia="Calibri" w:hAnsi="Calibri" w:cs="Calibri"/>
                <w:sz w:val="20"/>
                <w:szCs w:val="20"/>
                <w:bdr w:val="nil"/>
              </w:rPr>
              <w:t xml:space="preserve">, while contributing to the motivation of farmers to adopt and maintain the trees and management practices. In order to ensure that that revenue-generation incentives are gender-responsive, community consultations were conducted to assess which types of fruit trees and secondary products from native species, typically managed in association with crops or </w:t>
            </w:r>
            <w:proofErr w:type="gramStart"/>
            <w:r w:rsidRPr="005516CD">
              <w:rPr>
                <w:rFonts w:ascii="Calibri" w:eastAsia="Calibri" w:hAnsi="Calibri" w:cs="Calibri"/>
                <w:sz w:val="20"/>
                <w:szCs w:val="20"/>
                <w:bdr w:val="nil"/>
              </w:rPr>
              <w:t>in home</w:t>
            </w:r>
            <w:proofErr w:type="gramEnd"/>
            <w:r w:rsidRPr="005516CD">
              <w:rPr>
                <w:rFonts w:ascii="Calibri" w:eastAsia="Calibri" w:hAnsi="Calibri" w:cs="Calibri"/>
                <w:sz w:val="20"/>
                <w:szCs w:val="20"/>
                <w:bdr w:val="nil"/>
              </w:rPr>
              <w:t xml:space="preserve"> gardens, would be of most interest to female beneficiaries. As many aspects of the coffee and cacao value chains, as well as agricultural involvement more broadly is gendered in Haiti, a comprehensive gender analysis was carried out to understand roles, land tenure, governance and community dynamics in order to inform gender-specific actions as part of the Gender Assessment and Action Plan (GAAP) prepared for this project. As women often take a leading role in small-scale processing and the commercialization of several tree products (such as the making of fruit preserves), this project strategy will have particular potential to generate benefits for women and in women-headed households. The project promotes adequate representation of women in agricultural extension activities (see Gender </w:t>
            </w:r>
            <w:proofErr w:type="spellStart"/>
            <w:r w:rsidRPr="005516CD">
              <w:rPr>
                <w:rFonts w:ascii="Calibri" w:eastAsia="Calibri" w:hAnsi="Calibri" w:cs="Calibri"/>
                <w:sz w:val="20"/>
                <w:szCs w:val="20"/>
                <w:bdr w:val="nil"/>
              </w:rPr>
              <w:t>Asessment</w:t>
            </w:r>
            <w:proofErr w:type="spellEnd"/>
            <w:r w:rsidRPr="005516CD">
              <w:rPr>
                <w:rFonts w:ascii="Calibri" w:eastAsia="Calibri" w:hAnsi="Calibri" w:cs="Calibri"/>
                <w:sz w:val="20"/>
                <w:szCs w:val="20"/>
                <w:bdr w:val="nil"/>
              </w:rPr>
              <w:t xml:space="preserve"> and Action Plan), as well as in decision-making and governance mechanisms related to natural resource management at the community and local government level and will ensure that extension and support activities are delivered in a gender sensitive manner. Finally, the project’s focus not only on value chains with commercial potential such as cocoa and coffee, but also household creole gardens </w:t>
            </w:r>
            <w:proofErr w:type="spellStart"/>
            <w:r w:rsidRPr="005516CD">
              <w:rPr>
                <w:rFonts w:ascii="Calibri" w:eastAsia="Calibri" w:hAnsi="Calibri" w:cs="Calibri"/>
                <w:sz w:val="20"/>
                <w:szCs w:val="20"/>
                <w:bdr w:val="nil"/>
              </w:rPr>
              <w:t>jaden</w:t>
            </w:r>
            <w:proofErr w:type="spellEnd"/>
            <w:r w:rsidRPr="005516CD">
              <w:rPr>
                <w:rFonts w:ascii="Calibri" w:eastAsia="Calibri" w:hAnsi="Calibri" w:cs="Calibri"/>
                <w:sz w:val="20"/>
                <w:szCs w:val="20"/>
                <w:bdr w:val="nil"/>
              </w:rPr>
              <w:t xml:space="preserve"> </w:t>
            </w:r>
            <w:proofErr w:type="spellStart"/>
            <w:r w:rsidRPr="005516CD">
              <w:rPr>
                <w:rFonts w:ascii="Calibri" w:eastAsia="Calibri" w:hAnsi="Calibri" w:cs="Calibri"/>
                <w:sz w:val="20"/>
                <w:szCs w:val="20"/>
                <w:bdr w:val="nil"/>
              </w:rPr>
              <w:t>lakou</w:t>
            </w:r>
            <w:proofErr w:type="spellEnd"/>
            <w:r w:rsidRPr="005516CD">
              <w:rPr>
                <w:rFonts w:ascii="Calibri" w:eastAsia="Calibri" w:hAnsi="Calibri" w:cs="Calibri"/>
                <w:sz w:val="20"/>
                <w:szCs w:val="20"/>
                <w:bdr w:val="nil"/>
              </w:rPr>
              <w:t xml:space="preserve">, </w:t>
            </w:r>
            <w:proofErr w:type="spellStart"/>
            <w:r w:rsidRPr="005516CD">
              <w:rPr>
                <w:rFonts w:ascii="Calibri" w:eastAsia="Calibri" w:hAnsi="Calibri" w:cs="Calibri"/>
                <w:sz w:val="20"/>
                <w:szCs w:val="20"/>
                <w:bdr w:val="nil"/>
              </w:rPr>
              <w:t>pré</w:t>
            </w:r>
            <w:proofErr w:type="spellEnd"/>
            <w:r w:rsidRPr="005516CD">
              <w:rPr>
                <w:rFonts w:ascii="Calibri" w:eastAsia="Calibri" w:hAnsi="Calibri" w:cs="Calibri"/>
                <w:sz w:val="20"/>
                <w:szCs w:val="20"/>
                <w:bdr w:val="nil"/>
              </w:rPr>
              <w:t xml:space="preserve">-kay, and </w:t>
            </w:r>
            <w:proofErr w:type="spellStart"/>
            <w:r w:rsidRPr="005516CD">
              <w:rPr>
                <w:rFonts w:ascii="Calibri" w:eastAsia="Calibri" w:hAnsi="Calibri" w:cs="Calibri"/>
                <w:sz w:val="20"/>
                <w:szCs w:val="20"/>
                <w:bdr w:val="nil"/>
              </w:rPr>
              <w:t>lwen</w:t>
            </w:r>
            <w:proofErr w:type="spellEnd"/>
            <w:r w:rsidRPr="005516CD">
              <w:rPr>
                <w:rFonts w:ascii="Calibri" w:eastAsia="Calibri" w:hAnsi="Calibri" w:cs="Calibri"/>
                <w:sz w:val="20"/>
                <w:szCs w:val="20"/>
                <w:bdr w:val="nil"/>
              </w:rPr>
              <w:t>-kay, primarily managed by women</w:t>
            </w:r>
          </w:p>
        </w:tc>
      </w:tr>
      <w:tr w:rsidR="00F91241" w:rsidRPr="005516CD" w14:paraId="487E8478" w14:textId="77777777" w:rsidTr="000A6F69">
        <w:trPr>
          <w:trHeight w:val="305"/>
        </w:trPr>
        <w:tc>
          <w:tcPr>
            <w:tcW w:w="13248" w:type="dxa"/>
            <w:shd w:val="clear" w:color="auto" w:fill="EDEDED"/>
          </w:tcPr>
          <w:p w14:paraId="23F9FD7E" w14:textId="77777777" w:rsidR="00F91241" w:rsidRPr="005516CD" w:rsidRDefault="00F91241" w:rsidP="00F91241">
            <w:pPr>
              <w:pBdr>
                <w:top w:val="nil"/>
                <w:left w:val="nil"/>
                <w:bottom w:val="nil"/>
                <w:right w:val="nil"/>
                <w:between w:val="nil"/>
                <w:bar w:val="nil"/>
              </w:pBdr>
              <w:spacing w:after="120"/>
              <w:contextualSpacing/>
              <w:rPr>
                <w:rFonts w:ascii="Calibri" w:eastAsia="Helvetica" w:hAnsi="Calibri" w:cs="Calibri"/>
                <w:i/>
                <w:sz w:val="20"/>
                <w:szCs w:val="20"/>
                <w:u w:val="single"/>
                <w:bdr w:val="nil"/>
              </w:rPr>
            </w:pPr>
            <w:r w:rsidRPr="005516CD">
              <w:rPr>
                <w:rFonts w:ascii="Calibri" w:eastAsia="Times New Roman" w:hAnsi="Calibri" w:cs="Calibri"/>
                <w:i/>
                <w:sz w:val="20"/>
                <w:szCs w:val="20"/>
                <w:bdr w:val="nil"/>
              </w:rPr>
              <w:t>Briefly describe in the space below how the Project mainstreams environmental sustainability</w:t>
            </w:r>
          </w:p>
        </w:tc>
      </w:tr>
      <w:tr w:rsidR="00F91241" w:rsidRPr="005516CD" w14:paraId="56EF420C" w14:textId="77777777" w:rsidTr="000A6F69">
        <w:tc>
          <w:tcPr>
            <w:tcW w:w="13248" w:type="dxa"/>
          </w:tcPr>
          <w:p w14:paraId="38ACC430" w14:textId="77777777" w:rsidR="00F91241" w:rsidRPr="005516CD" w:rsidRDefault="00F91241" w:rsidP="00F91241">
            <w:pPr>
              <w:widowControl w:val="0"/>
              <w:pBdr>
                <w:top w:val="nil"/>
                <w:left w:val="nil"/>
                <w:bottom w:val="nil"/>
                <w:right w:val="nil"/>
                <w:between w:val="nil"/>
                <w:bar w:val="nil"/>
              </w:pBdr>
              <w:tabs>
                <w:tab w:val="left" w:pos="426"/>
              </w:tabs>
              <w:spacing w:after="120"/>
              <w:ind w:right="96"/>
              <w:rPr>
                <w:rFonts w:ascii="Calibri" w:eastAsia="Calibri" w:hAnsi="Calibri" w:cs="Calibri"/>
                <w:sz w:val="20"/>
                <w:szCs w:val="20"/>
                <w:bdr w:val="nil"/>
              </w:rPr>
            </w:pPr>
            <w:r w:rsidRPr="005516CD">
              <w:rPr>
                <w:rFonts w:ascii="Calibri" w:eastAsia="Calibri" w:hAnsi="Calibri" w:cs="Calibri"/>
                <w:sz w:val="20"/>
                <w:szCs w:val="20"/>
                <w:bdr w:val="nil"/>
              </w:rPr>
              <w:t xml:space="preserve">The main focus of the project will be on promoting the integration of diverse agroforestry perennial-based production systems into existing farming systems, which will have multiple inherent benefits in terms of environmental sustainability through improved connectivity of landscapes for habitat integrity and biodiversity, soil protection, hydrological and nutrient cycling, carbon capture, and climate resilience Furthermore the projects focuses on the promotion of diverse low-input systems, rather than agriculture extension with a sole focus on productivity, thereby promoting practices which tend to conserve soil, and without the </w:t>
            </w:r>
            <w:proofErr w:type="spellStart"/>
            <w:r w:rsidRPr="005516CD">
              <w:rPr>
                <w:rFonts w:ascii="Calibri" w:eastAsia="Calibri" w:hAnsi="Calibri" w:cs="Calibri"/>
                <w:sz w:val="20"/>
                <w:szCs w:val="20"/>
                <w:bdr w:val="nil"/>
              </w:rPr>
              <w:t>advense</w:t>
            </w:r>
            <w:proofErr w:type="spellEnd"/>
            <w:r w:rsidRPr="005516CD">
              <w:rPr>
                <w:rFonts w:ascii="Calibri" w:eastAsia="Calibri" w:hAnsi="Calibri" w:cs="Calibri"/>
                <w:sz w:val="20"/>
                <w:szCs w:val="20"/>
                <w:bdr w:val="nil"/>
              </w:rPr>
              <w:t xml:space="preserve"> environmental impacts of input intensive cash crops. The long-term solution is to create conditions and capacities in national, regional and local institutions, local communities and the private sector that will allow farmers to manage their lands in ways that generate multiple environmental benefits and respond to landscape-wide social, productive and environmental dynamics, especially through the increased incorporation and improved management of woody perennials in diverse components of their farming systems.  As Haiti is host to dozens of Key Biodiversity Areas, a selection of which are “wholly irreplaceable sites” with populations of globally threatened species, including many endemic and range-restricted species, the project interventions have been designed to protect this critical biodiversity in a sustainable manner which strikes a balance between the conservation, rehabilitation and livelihood needs. Finally</w:t>
            </w:r>
            <w:r w:rsidR="008117D1" w:rsidRPr="005516CD">
              <w:rPr>
                <w:rFonts w:ascii="Calibri" w:eastAsia="Calibri" w:hAnsi="Calibri" w:cs="Calibri"/>
                <w:sz w:val="20"/>
                <w:szCs w:val="20"/>
                <w:bdr w:val="nil"/>
              </w:rPr>
              <w:t>,</w:t>
            </w:r>
            <w:r w:rsidRPr="005516CD">
              <w:rPr>
                <w:rFonts w:ascii="Calibri" w:eastAsia="Calibri" w:hAnsi="Calibri" w:cs="Calibri"/>
                <w:sz w:val="20"/>
                <w:szCs w:val="20"/>
                <w:bdr w:val="nil"/>
              </w:rPr>
              <w:t xml:space="preserve"> the project also supports market-based instruments to promote sustainability in coffee and cacao systems through training on voluntary certification schemes, with improved environmental and social outcomes.</w:t>
            </w:r>
          </w:p>
        </w:tc>
      </w:tr>
    </w:tbl>
    <w:p w14:paraId="33C5B3AE" w14:textId="77777777" w:rsidR="00F91241" w:rsidRPr="005516CD" w:rsidRDefault="00F91241" w:rsidP="00F91241">
      <w:pPr>
        <w:rPr>
          <w:rFonts w:ascii="Calibri" w:eastAsia="Helvetica" w:hAnsi="Calibri" w:cs="Calibri"/>
          <w:b/>
          <w:szCs w:val="20"/>
        </w:rPr>
      </w:pPr>
    </w:p>
    <w:p w14:paraId="428AF493" w14:textId="77777777" w:rsidR="00F91241" w:rsidRPr="005516CD" w:rsidRDefault="00F91241" w:rsidP="00F91241">
      <w:pPr>
        <w:keepNext/>
        <w:spacing w:before="200"/>
        <w:ind w:left="360"/>
        <w:rPr>
          <w:rFonts w:ascii="Calibri" w:eastAsia="Helvetica" w:hAnsi="Calibri" w:cs="Calibri"/>
          <w:b/>
          <w:color w:val="2E74B5"/>
        </w:rPr>
      </w:pPr>
      <w:r w:rsidRPr="005516CD">
        <w:rPr>
          <w:rFonts w:ascii="Calibri" w:eastAsia="Helvetica" w:hAnsi="Calibri" w:cs="Calibri"/>
          <w:b/>
          <w:color w:val="2E74B5"/>
        </w:rPr>
        <w:t xml:space="preserve">Part B. Identifying and Managing Social and Environmental </w:t>
      </w:r>
      <w:r w:rsidRPr="005516CD">
        <w:rPr>
          <w:rFonts w:ascii="Calibri" w:eastAsia="Helvetica" w:hAnsi="Calibri" w:cs="Calibri"/>
          <w:b/>
          <w:color w:val="2E74B5"/>
          <w:u w:val="single"/>
        </w:rPr>
        <w:t>Risks</w:t>
      </w:r>
    </w:p>
    <w:p w14:paraId="67D5877D" w14:textId="77777777" w:rsidR="00F91241" w:rsidRPr="005516CD" w:rsidRDefault="00F91241" w:rsidP="00F91241">
      <w:pPr>
        <w:keepNext/>
        <w:rPr>
          <w:rFonts w:ascii="Calibri" w:eastAsia="Helvetica" w:hAnsi="Calibri" w:cs="Calibri"/>
          <w:b/>
          <w:szCs w:val="20"/>
        </w:rPr>
      </w:pPr>
    </w:p>
    <w:tbl>
      <w:tblPr>
        <w:tblStyle w:val="TableGrid4"/>
        <w:tblW w:w="13140" w:type="dxa"/>
        <w:tblInd w:w="-5" w:type="dxa"/>
        <w:tblLayout w:type="fixed"/>
        <w:tblLook w:val="04A0" w:firstRow="1" w:lastRow="0" w:firstColumn="1" w:lastColumn="0" w:noHBand="0" w:noVBand="1"/>
      </w:tblPr>
      <w:tblGrid>
        <w:gridCol w:w="3261"/>
        <w:gridCol w:w="1134"/>
        <w:gridCol w:w="1275"/>
        <w:gridCol w:w="3261"/>
        <w:gridCol w:w="4209"/>
      </w:tblGrid>
      <w:tr w:rsidR="00F91241" w:rsidRPr="005516CD" w14:paraId="5993EFEF" w14:textId="77777777" w:rsidTr="00FB5829">
        <w:trPr>
          <w:trHeight w:val="1061"/>
          <w:tblHeader/>
        </w:trPr>
        <w:tc>
          <w:tcPr>
            <w:tcW w:w="3261" w:type="dxa"/>
            <w:shd w:val="clear" w:color="auto" w:fill="D9D9D9"/>
          </w:tcPr>
          <w:p w14:paraId="05BBA952" w14:textId="77777777" w:rsidR="00F91241" w:rsidRPr="005516CD" w:rsidRDefault="00F91241" w:rsidP="00F91241">
            <w:pPr>
              <w:pBdr>
                <w:top w:val="nil"/>
                <w:left w:val="nil"/>
                <w:bottom w:val="nil"/>
                <w:right w:val="nil"/>
                <w:between w:val="nil"/>
                <w:bar w:val="nil"/>
              </w:pBdr>
              <w:tabs>
                <w:tab w:val="left" w:pos="101"/>
              </w:tabs>
              <w:ind w:right="252" w:firstLine="11"/>
              <w:rPr>
                <w:rFonts w:ascii="Calibri" w:eastAsia="Helvetica" w:hAnsi="Calibri" w:cs="Calibri"/>
                <w:szCs w:val="20"/>
                <w:bdr w:val="nil"/>
              </w:rPr>
            </w:pPr>
            <w:r w:rsidRPr="005516CD">
              <w:rPr>
                <w:rFonts w:ascii="Calibri" w:eastAsia="Helvetica" w:hAnsi="Calibri" w:cs="Calibri"/>
                <w:szCs w:val="20"/>
                <w:bdr w:val="nil"/>
              </w:rPr>
              <w:t xml:space="preserve">QUESTION 2: What are the Potential Social and Environmental Risks? </w:t>
            </w:r>
          </w:p>
          <w:p w14:paraId="0B5B5947" w14:textId="77777777" w:rsidR="00F91241" w:rsidRPr="005516CD" w:rsidRDefault="00F91241" w:rsidP="00F91241">
            <w:pPr>
              <w:pBdr>
                <w:top w:val="nil"/>
                <w:left w:val="nil"/>
                <w:bottom w:val="nil"/>
                <w:right w:val="nil"/>
                <w:between w:val="nil"/>
                <w:bar w:val="nil"/>
              </w:pBdr>
              <w:tabs>
                <w:tab w:val="left" w:pos="101"/>
              </w:tabs>
              <w:ind w:right="252" w:firstLine="11"/>
              <w:rPr>
                <w:rFonts w:ascii="Calibri" w:eastAsia="Helvetica" w:hAnsi="Calibri" w:cs="Calibri"/>
                <w:szCs w:val="20"/>
                <w:bdr w:val="nil"/>
              </w:rPr>
            </w:pPr>
          </w:p>
        </w:tc>
        <w:tc>
          <w:tcPr>
            <w:tcW w:w="5670" w:type="dxa"/>
            <w:gridSpan w:val="3"/>
            <w:shd w:val="clear" w:color="auto" w:fill="D9D9D9"/>
          </w:tcPr>
          <w:p w14:paraId="4A7CABE5" w14:textId="77777777" w:rsidR="00F91241" w:rsidRPr="005516CD" w:rsidRDefault="00F91241" w:rsidP="00F91241">
            <w:pPr>
              <w:pBdr>
                <w:top w:val="nil"/>
                <w:left w:val="nil"/>
                <w:bottom w:val="nil"/>
                <w:right w:val="nil"/>
                <w:between w:val="nil"/>
                <w:bar w:val="nil"/>
              </w:pBdr>
              <w:tabs>
                <w:tab w:val="left" w:pos="101"/>
              </w:tabs>
              <w:ind w:right="252" w:firstLine="11"/>
              <w:rPr>
                <w:rFonts w:ascii="Calibri" w:eastAsia="Helvetica" w:hAnsi="Calibri" w:cs="Calibri"/>
                <w:szCs w:val="20"/>
                <w:bdr w:val="nil"/>
              </w:rPr>
            </w:pPr>
            <w:r w:rsidRPr="005516CD">
              <w:rPr>
                <w:rFonts w:ascii="Calibri" w:eastAsia="Helvetica" w:hAnsi="Calibri" w:cs="Calibri"/>
                <w:szCs w:val="20"/>
                <w:bdr w:val="nil"/>
              </w:rPr>
              <w:t>QUESTION 3: What is the level of significance of the potential social and environmental risks?</w:t>
            </w:r>
          </w:p>
          <w:p w14:paraId="2BDB4563" w14:textId="77777777" w:rsidR="00F91241" w:rsidRPr="005516CD" w:rsidRDefault="00F91241" w:rsidP="00F91241">
            <w:pPr>
              <w:pBdr>
                <w:top w:val="nil"/>
                <w:left w:val="nil"/>
                <w:bottom w:val="nil"/>
                <w:right w:val="nil"/>
                <w:between w:val="nil"/>
                <w:bar w:val="nil"/>
              </w:pBdr>
              <w:tabs>
                <w:tab w:val="left" w:pos="432"/>
              </w:tabs>
              <w:rPr>
                <w:rFonts w:ascii="Calibri" w:eastAsia="Helvetica" w:hAnsi="Calibri" w:cs="Calibri"/>
                <w:szCs w:val="20"/>
                <w:bdr w:val="nil"/>
              </w:rPr>
            </w:pPr>
            <w:r w:rsidRPr="005516CD">
              <w:rPr>
                <w:rFonts w:ascii="Calibri" w:eastAsia="Helvetica" w:hAnsi="Calibri" w:cs="Calibri"/>
                <w:i/>
                <w:sz w:val="18"/>
                <w:szCs w:val="18"/>
                <w:bdr w:val="nil"/>
              </w:rPr>
              <w:t>Note: Respond to Questions 4 and 5 below before proceeding to Question 6</w:t>
            </w:r>
          </w:p>
        </w:tc>
        <w:tc>
          <w:tcPr>
            <w:tcW w:w="4209" w:type="dxa"/>
            <w:shd w:val="clear" w:color="auto" w:fill="D9D9D9"/>
          </w:tcPr>
          <w:p w14:paraId="1601AE99" w14:textId="77777777" w:rsidR="00F91241" w:rsidRPr="005516CD" w:rsidRDefault="00F91241" w:rsidP="00F91241">
            <w:pPr>
              <w:pBdr>
                <w:top w:val="nil"/>
                <w:left w:val="nil"/>
                <w:bottom w:val="nil"/>
                <w:right w:val="nil"/>
                <w:between w:val="nil"/>
                <w:bar w:val="nil"/>
              </w:pBdr>
              <w:tabs>
                <w:tab w:val="left" w:pos="432"/>
              </w:tabs>
              <w:rPr>
                <w:rFonts w:ascii="Calibri" w:eastAsia="Helvetica" w:hAnsi="Calibri" w:cs="Calibri"/>
                <w:szCs w:val="20"/>
                <w:bdr w:val="nil"/>
              </w:rPr>
            </w:pPr>
            <w:r w:rsidRPr="005516CD">
              <w:rPr>
                <w:rFonts w:ascii="Calibri" w:eastAsia="Helvetica" w:hAnsi="Calibri" w:cs="Calibri"/>
                <w:szCs w:val="20"/>
                <w:bdr w:val="nil"/>
              </w:rPr>
              <w:t>QUESTION 6: What social and environmental assessment and management measures have been conducted and/or are required to address potential risks (for Risks with Moderate and High Significance)?</w:t>
            </w:r>
          </w:p>
        </w:tc>
      </w:tr>
      <w:tr w:rsidR="00F91241" w:rsidRPr="005516CD" w14:paraId="1942B51C" w14:textId="77777777" w:rsidTr="000A6F69">
        <w:tc>
          <w:tcPr>
            <w:tcW w:w="3261" w:type="dxa"/>
            <w:shd w:val="clear" w:color="auto" w:fill="EDEDED"/>
          </w:tcPr>
          <w:p w14:paraId="1B688130" w14:textId="77777777" w:rsidR="00F91241" w:rsidRPr="005516CD" w:rsidRDefault="00F91241" w:rsidP="00F91241">
            <w:pPr>
              <w:pBdr>
                <w:top w:val="nil"/>
                <w:left w:val="nil"/>
                <w:bottom w:val="nil"/>
                <w:right w:val="nil"/>
                <w:between w:val="nil"/>
                <w:bar w:val="nil"/>
              </w:pBdr>
              <w:rPr>
                <w:rFonts w:ascii="Calibri" w:eastAsia="Helvetica" w:hAnsi="Calibri" w:cs="Calibri"/>
                <w:i/>
                <w:sz w:val="18"/>
                <w:szCs w:val="18"/>
                <w:bdr w:val="nil"/>
              </w:rPr>
            </w:pPr>
            <w:r w:rsidRPr="005516CD">
              <w:rPr>
                <w:rFonts w:ascii="Calibri" w:eastAsia="Helvetica" w:hAnsi="Calibri" w:cs="Calibri"/>
                <w:i/>
                <w:sz w:val="18"/>
                <w:szCs w:val="18"/>
                <w:bdr w:val="nil"/>
              </w:rPr>
              <w:t>Risk Description</w:t>
            </w:r>
          </w:p>
        </w:tc>
        <w:tc>
          <w:tcPr>
            <w:tcW w:w="1134" w:type="dxa"/>
            <w:shd w:val="clear" w:color="auto" w:fill="EDEDED"/>
          </w:tcPr>
          <w:p w14:paraId="1330CE5B" w14:textId="77777777" w:rsidR="00F91241" w:rsidRPr="005516CD" w:rsidRDefault="00F91241" w:rsidP="00F91241">
            <w:pPr>
              <w:pBdr>
                <w:top w:val="nil"/>
                <w:left w:val="nil"/>
                <w:bottom w:val="nil"/>
                <w:right w:val="nil"/>
                <w:between w:val="nil"/>
                <w:bar w:val="nil"/>
              </w:pBdr>
              <w:rPr>
                <w:rFonts w:ascii="Calibri" w:eastAsia="Helvetica" w:hAnsi="Calibri" w:cs="Calibri"/>
                <w:i/>
                <w:sz w:val="18"/>
                <w:szCs w:val="18"/>
                <w:bdr w:val="nil"/>
              </w:rPr>
            </w:pPr>
            <w:r w:rsidRPr="005516CD">
              <w:rPr>
                <w:rFonts w:ascii="Calibri" w:eastAsia="Helvetica" w:hAnsi="Calibri" w:cs="Calibri"/>
                <w:i/>
                <w:sz w:val="18"/>
                <w:szCs w:val="18"/>
                <w:bdr w:val="nil"/>
              </w:rPr>
              <w:t>Impact and Probability  (1-5)</w:t>
            </w:r>
          </w:p>
        </w:tc>
        <w:tc>
          <w:tcPr>
            <w:tcW w:w="1275" w:type="dxa"/>
            <w:shd w:val="clear" w:color="auto" w:fill="EDEDED"/>
          </w:tcPr>
          <w:p w14:paraId="52692A36" w14:textId="77777777" w:rsidR="00F91241" w:rsidRPr="005516CD" w:rsidRDefault="00F91241" w:rsidP="00F91241">
            <w:pPr>
              <w:pBdr>
                <w:top w:val="nil"/>
                <w:left w:val="nil"/>
                <w:bottom w:val="nil"/>
                <w:right w:val="nil"/>
                <w:between w:val="nil"/>
                <w:bar w:val="nil"/>
              </w:pBdr>
              <w:rPr>
                <w:rFonts w:ascii="Calibri" w:eastAsia="Helvetica" w:hAnsi="Calibri" w:cs="Calibri"/>
                <w:i/>
                <w:sz w:val="18"/>
                <w:szCs w:val="18"/>
                <w:bdr w:val="nil"/>
              </w:rPr>
            </w:pPr>
            <w:r w:rsidRPr="005516CD">
              <w:rPr>
                <w:rFonts w:ascii="Calibri" w:eastAsia="Helvetica" w:hAnsi="Calibri" w:cs="Calibri"/>
                <w:i/>
                <w:sz w:val="18"/>
                <w:szCs w:val="18"/>
                <w:bdr w:val="nil"/>
              </w:rPr>
              <w:t>Significance</w:t>
            </w:r>
          </w:p>
          <w:p w14:paraId="27853974" w14:textId="77777777" w:rsidR="00F91241" w:rsidRPr="005516CD" w:rsidRDefault="00F91241" w:rsidP="00F91241">
            <w:pPr>
              <w:pBdr>
                <w:top w:val="nil"/>
                <w:left w:val="nil"/>
                <w:bottom w:val="nil"/>
                <w:right w:val="nil"/>
                <w:between w:val="nil"/>
                <w:bar w:val="nil"/>
              </w:pBdr>
              <w:rPr>
                <w:rFonts w:ascii="Calibri" w:eastAsia="Helvetica" w:hAnsi="Calibri" w:cs="Calibri"/>
                <w:i/>
                <w:sz w:val="18"/>
                <w:szCs w:val="18"/>
                <w:bdr w:val="nil"/>
              </w:rPr>
            </w:pPr>
            <w:r w:rsidRPr="005516CD">
              <w:rPr>
                <w:rFonts w:ascii="Calibri" w:eastAsia="Helvetica" w:hAnsi="Calibri" w:cs="Calibri"/>
                <w:i/>
                <w:sz w:val="18"/>
                <w:szCs w:val="18"/>
                <w:bdr w:val="nil"/>
              </w:rPr>
              <w:t>(Low, Moderate, High)</w:t>
            </w:r>
          </w:p>
        </w:tc>
        <w:tc>
          <w:tcPr>
            <w:tcW w:w="3261" w:type="dxa"/>
            <w:shd w:val="clear" w:color="auto" w:fill="EDEDED"/>
          </w:tcPr>
          <w:p w14:paraId="3CF9D6D5" w14:textId="77777777" w:rsidR="00F91241" w:rsidRPr="005516CD" w:rsidRDefault="00F91241" w:rsidP="00F91241">
            <w:pPr>
              <w:pBdr>
                <w:top w:val="nil"/>
                <w:left w:val="nil"/>
                <w:bottom w:val="nil"/>
                <w:right w:val="nil"/>
                <w:between w:val="nil"/>
                <w:bar w:val="nil"/>
              </w:pBdr>
              <w:rPr>
                <w:rFonts w:ascii="Calibri" w:eastAsia="Helvetica" w:hAnsi="Calibri" w:cs="Calibri"/>
                <w:i/>
                <w:sz w:val="18"/>
                <w:szCs w:val="18"/>
                <w:bdr w:val="nil"/>
              </w:rPr>
            </w:pPr>
            <w:r w:rsidRPr="005516CD">
              <w:rPr>
                <w:rFonts w:ascii="Calibri" w:eastAsia="Helvetica" w:hAnsi="Calibri" w:cs="Calibri"/>
                <w:i/>
                <w:sz w:val="18"/>
                <w:szCs w:val="18"/>
                <w:bdr w:val="nil"/>
              </w:rPr>
              <w:t>Comments</w:t>
            </w:r>
          </w:p>
        </w:tc>
        <w:tc>
          <w:tcPr>
            <w:tcW w:w="4209" w:type="dxa"/>
            <w:shd w:val="clear" w:color="auto" w:fill="EDEDED"/>
          </w:tcPr>
          <w:p w14:paraId="57B36BFD" w14:textId="77777777" w:rsidR="00F91241" w:rsidRPr="005516CD" w:rsidRDefault="00F91241" w:rsidP="00F91241">
            <w:pPr>
              <w:pBdr>
                <w:top w:val="nil"/>
                <w:left w:val="nil"/>
                <w:bottom w:val="nil"/>
                <w:right w:val="nil"/>
                <w:between w:val="nil"/>
                <w:bar w:val="nil"/>
              </w:pBdr>
              <w:rPr>
                <w:rFonts w:ascii="Calibri" w:eastAsia="Helvetica" w:hAnsi="Calibri" w:cs="Calibri"/>
                <w:i/>
                <w:sz w:val="18"/>
                <w:szCs w:val="18"/>
                <w:bdr w:val="nil"/>
              </w:rPr>
            </w:pPr>
            <w:r w:rsidRPr="005516CD">
              <w:rPr>
                <w:rFonts w:ascii="Calibri" w:eastAsia="Helvetica" w:hAnsi="Calibri" w:cs="Calibri"/>
                <w:i/>
                <w:sz w:val="18"/>
                <w:szCs w:val="18"/>
                <w:bdr w:val="nil"/>
              </w:rPr>
              <w:t>Description of assessment and management measures as reflected in the Project design.  If ESIA or SESA is required note that the assessment should consider all potential impacts and risks.</w:t>
            </w:r>
          </w:p>
        </w:tc>
      </w:tr>
      <w:tr w:rsidR="00F91241" w:rsidRPr="005516CD" w14:paraId="3B0E677B" w14:textId="77777777" w:rsidTr="000A6F69">
        <w:tc>
          <w:tcPr>
            <w:tcW w:w="3261" w:type="dxa"/>
            <w:vAlign w:val="center"/>
          </w:tcPr>
          <w:p w14:paraId="2F2AB1BD"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 xml:space="preserve">Risk 1: The </w:t>
            </w:r>
            <w:r w:rsidRPr="005516CD">
              <w:rPr>
                <w:rFonts w:ascii="Calibri" w:eastAsia="Times New Roman" w:hAnsi="Calibri" w:cs="Calibri"/>
                <w:sz w:val="18"/>
                <w:szCs w:val="18"/>
                <w:bdr w:val="nil"/>
              </w:rPr>
              <w:t>Project would potentially reproduce discriminations against women based on gender</w:t>
            </w:r>
          </w:p>
        </w:tc>
        <w:tc>
          <w:tcPr>
            <w:tcW w:w="1134" w:type="dxa"/>
          </w:tcPr>
          <w:p w14:paraId="13F16CD7"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 = 3</w:t>
            </w:r>
          </w:p>
          <w:p w14:paraId="2FE92B07"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P = 2</w:t>
            </w:r>
          </w:p>
        </w:tc>
        <w:tc>
          <w:tcPr>
            <w:tcW w:w="1275" w:type="dxa"/>
          </w:tcPr>
          <w:p w14:paraId="1F248ADB"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Moderate</w:t>
            </w:r>
          </w:p>
        </w:tc>
        <w:tc>
          <w:tcPr>
            <w:tcW w:w="3261" w:type="dxa"/>
          </w:tcPr>
          <w:p w14:paraId="57EFA8D5"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If inadequately formulated and managed there is the potential for a focus on perennial cash crops to have differentiated, and potentially negative, gender implications due to existing gendered differences in economic and productive roles within coffee and cacao value chains. Given women’s roles in the charcoal value chain, sensitization among project beneficiaries regarding environmentally damaging activities such as cutting down trees, may also indirectly limit women’s opportunities to use natural resources as a source of livelihood support.</w:t>
            </w:r>
          </w:p>
        </w:tc>
        <w:tc>
          <w:tcPr>
            <w:tcW w:w="4209" w:type="dxa"/>
          </w:tcPr>
          <w:p w14:paraId="202CD2D7"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Analyses of gender a differentiation in economic and productive roles has been carried out during the PPG phase and comprehensive Gender Assessment and Action Plan (GAPP) prepared accordingly. The GAAP has informed the design of the project activities, including a focus on a diversity of value chains, including support for household creole gardens in which women dominate, as well as support of fruit, and medicinal plant value chains and the transformation of products (such as creating sweets with coconut using traditional methods), in which women can play a leading role. As part of monitoring of the GAAP the following indicators are included:</w:t>
            </w:r>
          </w:p>
          <w:p w14:paraId="72A14550"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lang w:val="en-US"/>
              </w:rPr>
            </w:pPr>
          </w:p>
          <w:p w14:paraId="2FED0BA5"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lang w:val="en-US"/>
              </w:rPr>
            </w:pPr>
            <w:r w:rsidRPr="005516CD">
              <w:rPr>
                <w:rFonts w:ascii="Calibri" w:eastAsia="Helvetica" w:hAnsi="Calibri" w:cs="Calibri"/>
                <w:sz w:val="18"/>
                <w:szCs w:val="18"/>
                <w:bdr w:val="nil"/>
                <w:lang w:val="en-US"/>
              </w:rPr>
              <w:t>Percentage of participatory activities promoting production in gardens, diversified and nutritious varieties, and crops for sale in domestic markets</w:t>
            </w:r>
          </w:p>
          <w:p w14:paraId="33E47CE7"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lang w:val="en-US"/>
              </w:rPr>
            </w:pPr>
          </w:p>
          <w:p w14:paraId="5F987A17"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lang w:val="en-US"/>
              </w:rPr>
            </w:pPr>
            <w:r w:rsidRPr="005516CD">
              <w:rPr>
                <w:rFonts w:ascii="Calibri" w:eastAsia="Helvetica" w:hAnsi="Calibri" w:cs="Calibri"/>
                <w:sz w:val="18"/>
                <w:szCs w:val="18"/>
                <w:bdr w:val="nil"/>
                <w:lang w:val="en-US"/>
              </w:rPr>
              <w:t xml:space="preserve">Number/% of women and men participating in activities targeting commercialization of tree products, small-scale processing, transformation of products into handicrafts - Total/% of participatory activities </w:t>
            </w:r>
          </w:p>
          <w:p w14:paraId="7790ABD4"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p>
          <w:p w14:paraId="041CDE4D"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Various other gender-specific activities and indicators have also been identified and promoted to ensure equitable opportunities for women to benefit from the target production systems and their value chains, or from productive alternatives. Of particular significance is that the baseline situation is characterized by cash tree crops (cacao and coffee) principally managed by men; with project interventions allowing those same plantations to also provide productive opportunities for women (herbs, fruit etc.). Finally, the project also emphasizes integration of women’s group in local governance mechanisms and the equitable participation of women in local institutional planning structure and as recipients of agricultural extension activities.</w:t>
            </w:r>
          </w:p>
          <w:p w14:paraId="6288F43B"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p>
        </w:tc>
      </w:tr>
      <w:tr w:rsidR="00F91241" w:rsidRPr="005516CD" w14:paraId="3A9B3AAA" w14:textId="77777777" w:rsidTr="000A6F69">
        <w:tc>
          <w:tcPr>
            <w:tcW w:w="3261" w:type="dxa"/>
            <w:vAlign w:val="center"/>
          </w:tcPr>
          <w:p w14:paraId="32A4B0AD"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Times New Roman" w:hAnsi="Calibri" w:cs="Calibri"/>
                <w:sz w:val="18"/>
                <w:szCs w:val="18"/>
                <w:bdr w:val="nil"/>
              </w:rPr>
              <w:t>Risk 2: The potential outcomes of the Project would be sensitive or vulnerable to potential impacts of climate change</w:t>
            </w:r>
          </w:p>
        </w:tc>
        <w:tc>
          <w:tcPr>
            <w:tcW w:w="1134" w:type="dxa"/>
          </w:tcPr>
          <w:p w14:paraId="731AB243"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 = 2</w:t>
            </w:r>
          </w:p>
          <w:p w14:paraId="6235B73D"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P = 3</w:t>
            </w:r>
          </w:p>
        </w:tc>
        <w:tc>
          <w:tcPr>
            <w:tcW w:w="1275" w:type="dxa"/>
          </w:tcPr>
          <w:p w14:paraId="41C38596"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Moderate</w:t>
            </w:r>
          </w:p>
        </w:tc>
        <w:tc>
          <w:tcPr>
            <w:tcW w:w="3261" w:type="dxa"/>
          </w:tcPr>
          <w:p w14:paraId="04E8B0F3"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 xml:space="preserve">Climate change could affect the viability of coffee and cocoa production systems, but these are more resilient than most of the current annual production systems </w:t>
            </w:r>
          </w:p>
        </w:tc>
        <w:tc>
          <w:tcPr>
            <w:tcW w:w="4209" w:type="dxa"/>
          </w:tcPr>
          <w:p w14:paraId="6DD90B81"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 xml:space="preserve">Haiti is one of the </w:t>
            </w:r>
            <w:proofErr w:type="spellStart"/>
            <w:r w:rsidRPr="005516CD">
              <w:rPr>
                <w:rFonts w:ascii="Calibri" w:eastAsia="Helvetica" w:hAnsi="Calibri" w:cs="Calibri"/>
                <w:sz w:val="18"/>
                <w:szCs w:val="18"/>
                <w:bdr w:val="nil"/>
              </w:rPr>
              <w:t>countries</w:t>
            </w:r>
            <w:proofErr w:type="spellEnd"/>
            <w:r w:rsidRPr="005516CD">
              <w:rPr>
                <w:rFonts w:ascii="Calibri" w:eastAsia="Helvetica" w:hAnsi="Calibri" w:cs="Calibri"/>
                <w:sz w:val="18"/>
                <w:szCs w:val="18"/>
                <w:bdr w:val="nil"/>
              </w:rPr>
              <w:t xml:space="preserve"> most vulnerable to the impacts of climate change on agricultural production systems, so any interventions will carry this risk. The project however will promote production systems with high levels of structural and compositional diversity, the use of climate-resistant varieties, and the maintenance of overall diversity of livelihood support options and farm systems, in order to maximize climate resilience, and therefore improves overall vulnerability to climate change compared to the baseline situation. The interventions also draw on the extensive experience of FAO on climate resilient agricultural interventions, </w:t>
            </w:r>
            <w:proofErr w:type="gramStart"/>
            <w:r w:rsidRPr="005516CD">
              <w:rPr>
                <w:rFonts w:ascii="Calibri" w:eastAsia="Helvetica" w:hAnsi="Calibri" w:cs="Calibri"/>
                <w:sz w:val="18"/>
                <w:szCs w:val="18"/>
                <w:bdr w:val="nil"/>
              </w:rPr>
              <w:t>in regards to</w:t>
            </w:r>
            <w:proofErr w:type="gramEnd"/>
            <w:r w:rsidRPr="005516CD">
              <w:rPr>
                <w:rFonts w:ascii="Calibri" w:eastAsia="Helvetica" w:hAnsi="Calibri" w:cs="Calibri"/>
                <w:sz w:val="18"/>
                <w:szCs w:val="18"/>
                <w:bdr w:val="nil"/>
              </w:rPr>
              <w:t xml:space="preserve"> species selection. Species that show the most resistance to changing environmental conditions will be used.</w:t>
            </w:r>
          </w:p>
        </w:tc>
      </w:tr>
      <w:tr w:rsidR="00F91241" w:rsidRPr="005516CD" w14:paraId="009F039C" w14:textId="77777777" w:rsidTr="000A6F69">
        <w:trPr>
          <w:trHeight w:val="3064"/>
        </w:trPr>
        <w:tc>
          <w:tcPr>
            <w:tcW w:w="3261" w:type="dxa"/>
            <w:vAlign w:val="center"/>
          </w:tcPr>
          <w:p w14:paraId="70266DB0"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Times New Roman" w:hAnsi="Calibri" w:cs="Calibri"/>
                <w:sz w:val="18"/>
                <w:szCs w:val="18"/>
                <w:bdr w:val="nil"/>
              </w:rPr>
              <w:t>Risk 3: The proposed Project would be susceptible to earthquakes, subsidence, landslides, erosion, flooding or extreme climatic conditions:</w:t>
            </w:r>
          </w:p>
        </w:tc>
        <w:tc>
          <w:tcPr>
            <w:tcW w:w="1134" w:type="dxa"/>
          </w:tcPr>
          <w:p w14:paraId="0D4AE24A"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 = 2</w:t>
            </w:r>
          </w:p>
          <w:p w14:paraId="0CD7F359"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P = 3</w:t>
            </w:r>
          </w:p>
        </w:tc>
        <w:tc>
          <w:tcPr>
            <w:tcW w:w="1275" w:type="dxa"/>
          </w:tcPr>
          <w:p w14:paraId="539F553A"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Moderate</w:t>
            </w:r>
          </w:p>
        </w:tc>
        <w:tc>
          <w:tcPr>
            <w:tcW w:w="3261" w:type="dxa"/>
          </w:tcPr>
          <w:p w14:paraId="22957F3E"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Natural disasters could damage the target production systems and affect market access routes, but the target production systems would not be more susceptible than existing systems.</w:t>
            </w:r>
          </w:p>
        </w:tc>
        <w:tc>
          <w:tcPr>
            <w:tcW w:w="4209" w:type="dxa"/>
          </w:tcPr>
          <w:p w14:paraId="5C3F39F3"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 xml:space="preserve">Haiti is one of the </w:t>
            </w:r>
            <w:proofErr w:type="spellStart"/>
            <w:r w:rsidRPr="005516CD">
              <w:rPr>
                <w:rFonts w:ascii="Calibri" w:eastAsia="Helvetica" w:hAnsi="Calibri" w:cs="Calibri"/>
                <w:sz w:val="18"/>
                <w:szCs w:val="18"/>
                <w:bdr w:val="nil"/>
              </w:rPr>
              <w:t>countries</w:t>
            </w:r>
            <w:proofErr w:type="spellEnd"/>
            <w:r w:rsidRPr="005516CD">
              <w:rPr>
                <w:rFonts w:ascii="Calibri" w:eastAsia="Helvetica" w:hAnsi="Calibri" w:cs="Calibri"/>
                <w:sz w:val="18"/>
                <w:szCs w:val="18"/>
                <w:bdr w:val="nil"/>
              </w:rPr>
              <w:t xml:space="preserve"> most vulnerable to the impacts of extreme climatic conditions, so any interventions will carry this risk. The project activities however will support the maintenance of diverse, as well as robust/resilient livelihood support and farming systems in order to minimize the livelihood implications of the failure of individual productive components due to natural disasters. As mentioned above, the interventions will also draw on the extensive experience of FAO on climate resilient agricultural interventions, </w:t>
            </w:r>
            <w:proofErr w:type="gramStart"/>
            <w:r w:rsidRPr="005516CD">
              <w:rPr>
                <w:rFonts w:ascii="Calibri" w:eastAsia="Helvetica" w:hAnsi="Calibri" w:cs="Calibri"/>
                <w:sz w:val="18"/>
                <w:szCs w:val="18"/>
                <w:bdr w:val="nil"/>
              </w:rPr>
              <w:t>in regards to</w:t>
            </w:r>
            <w:proofErr w:type="gramEnd"/>
            <w:r w:rsidRPr="005516CD">
              <w:rPr>
                <w:rFonts w:ascii="Calibri" w:eastAsia="Helvetica" w:hAnsi="Calibri" w:cs="Calibri"/>
                <w:sz w:val="18"/>
                <w:szCs w:val="18"/>
                <w:bdr w:val="nil"/>
              </w:rPr>
              <w:t xml:space="preserve"> species selection, time and location of planting, to minimize any possible losses.</w:t>
            </w:r>
          </w:p>
        </w:tc>
      </w:tr>
      <w:tr w:rsidR="00F91241" w:rsidRPr="005516CD" w14:paraId="70E57F7D" w14:textId="77777777" w:rsidTr="000A6F69">
        <w:trPr>
          <w:trHeight w:val="5136"/>
        </w:trPr>
        <w:tc>
          <w:tcPr>
            <w:tcW w:w="3261" w:type="dxa"/>
            <w:vAlign w:val="center"/>
          </w:tcPr>
          <w:p w14:paraId="6F5A3376" w14:textId="77777777" w:rsidR="00F91241" w:rsidRPr="005516CD" w:rsidDel="003F577D" w:rsidRDefault="00F91241" w:rsidP="00F91241">
            <w:pPr>
              <w:pBdr>
                <w:top w:val="nil"/>
                <w:left w:val="nil"/>
                <w:bottom w:val="nil"/>
                <w:right w:val="nil"/>
                <w:between w:val="nil"/>
                <w:bar w:val="nil"/>
              </w:pBdr>
              <w:rPr>
                <w:rFonts w:ascii="Calibri" w:eastAsia="Times New Roman" w:hAnsi="Calibri" w:cs="Calibri"/>
                <w:sz w:val="18"/>
                <w:szCs w:val="18"/>
                <w:bdr w:val="nil"/>
              </w:rPr>
            </w:pPr>
            <w:r w:rsidRPr="005516CD">
              <w:rPr>
                <w:rFonts w:ascii="Calibri" w:eastAsia="Times New Roman" w:hAnsi="Calibri" w:cs="Calibri"/>
                <w:sz w:val="18"/>
                <w:szCs w:val="18"/>
                <w:bdr w:val="nil"/>
                <w:lang w:val="en-US"/>
              </w:rPr>
              <w:t>Risk 4: The Project would potentially result in the release of pollutants to the environment due to routine or non-routine circumstances with the potential for adverse impacts. This release may lead to adverse impacts to habitats and/or ecosystems</w:t>
            </w:r>
            <w:r w:rsidR="008117D1" w:rsidRPr="005516CD">
              <w:rPr>
                <w:rFonts w:ascii="Calibri" w:eastAsia="Times New Roman" w:hAnsi="Calibri" w:cs="Calibri"/>
                <w:sz w:val="18"/>
                <w:szCs w:val="18"/>
                <w:bdr w:val="nil"/>
                <w:lang w:val="en-US"/>
              </w:rPr>
              <w:t>.</w:t>
            </w:r>
            <w:r w:rsidRPr="005516CD">
              <w:rPr>
                <w:rFonts w:ascii="Calibri" w:eastAsia="Times New Roman" w:hAnsi="Calibri" w:cs="Calibri"/>
                <w:sz w:val="18"/>
                <w:szCs w:val="18"/>
                <w:bdr w:val="nil"/>
                <w:lang w:val="en-US"/>
              </w:rPr>
              <w:t xml:space="preserve"> </w:t>
            </w:r>
          </w:p>
        </w:tc>
        <w:tc>
          <w:tcPr>
            <w:tcW w:w="1134" w:type="dxa"/>
          </w:tcPr>
          <w:p w14:paraId="7275341F"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 = 2</w:t>
            </w:r>
          </w:p>
          <w:p w14:paraId="155D7131"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P = 1</w:t>
            </w:r>
          </w:p>
        </w:tc>
        <w:tc>
          <w:tcPr>
            <w:tcW w:w="1275" w:type="dxa"/>
          </w:tcPr>
          <w:p w14:paraId="3CCC15E1" w14:textId="77777777" w:rsidR="00F91241" w:rsidRPr="005516CD" w:rsidDel="009B2B80"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Low</w:t>
            </w:r>
          </w:p>
        </w:tc>
        <w:tc>
          <w:tcPr>
            <w:tcW w:w="3261" w:type="dxa"/>
          </w:tcPr>
          <w:p w14:paraId="7C70319A"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One potential limited environmental risk of expansion and promotion of the coffee and cacao value chains is the potential for wet coffee milling to result in the release of organic pollutants (from leachate) to watercourses, if significantly expanded and inadequately managed. Watercourses, which act as habitats for aquatic flora and fauna may thereby be negatively impacted by increased Biological oxygen demand (BOD).</w:t>
            </w:r>
          </w:p>
          <w:p w14:paraId="772BCB1E"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p>
          <w:p w14:paraId="661C2692"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In the very limited locations where wet milling might occur within the areas of intervention of the project, the project will support the use of “ecological” washing and milling facilities in order to minimize the environmental impact of these existing facilities. The project will also provide technical assistance to farmers on converting waste coffee pulp into organic compost. Finally, the project PPG studies have shown that certification schemes (carrying both environmental and social conditions) are a viable option as a market-based incentive for environmental sustainability.</w:t>
            </w:r>
          </w:p>
        </w:tc>
        <w:tc>
          <w:tcPr>
            <w:tcW w:w="4209" w:type="dxa"/>
          </w:tcPr>
          <w:p w14:paraId="6100A5CC"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To be further assessed prior to project inception and captured in subsequent management plan(s)</w:t>
            </w:r>
          </w:p>
        </w:tc>
      </w:tr>
      <w:tr w:rsidR="00F91241" w:rsidRPr="005516CD" w14:paraId="3BA9693B" w14:textId="77777777" w:rsidTr="000A6F69">
        <w:trPr>
          <w:trHeight w:val="1420"/>
        </w:trPr>
        <w:tc>
          <w:tcPr>
            <w:tcW w:w="3261" w:type="dxa"/>
            <w:vAlign w:val="center"/>
          </w:tcPr>
          <w:p w14:paraId="2F58CC55" w14:textId="77777777" w:rsidR="00F91241" w:rsidRPr="005516CD" w:rsidRDefault="00F91241" w:rsidP="00F91241">
            <w:pPr>
              <w:pBdr>
                <w:top w:val="nil"/>
                <w:left w:val="nil"/>
                <w:bottom w:val="nil"/>
                <w:right w:val="nil"/>
                <w:between w:val="nil"/>
                <w:bar w:val="nil"/>
              </w:pBdr>
              <w:rPr>
                <w:rFonts w:ascii="Calibri" w:eastAsia="Times New Roman" w:hAnsi="Calibri" w:cs="Calibri"/>
                <w:sz w:val="18"/>
                <w:szCs w:val="18"/>
                <w:bdr w:val="nil"/>
              </w:rPr>
            </w:pPr>
            <w:r w:rsidRPr="005516CD">
              <w:rPr>
                <w:rFonts w:ascii="Calibri" w:eastAsia="Times New Roman" w:hAnsi="Calibri" w:cs="Calibri"/>
                <w:sz w:val="18"/>
                <w:szCs w:val="18"/>
                <w:bdr w:val="nil"/>
              </w:rPr>
              <w:t>Risk 5: Potential child labour in promoted agroforestry for coffee, cacao and home gardens.</w:t>
            </w:r>
          </w:p>
        </w:tc>
        <w:tc>
          <w:tcPr>
            <w:tcW w:w="1134" w:type="dxa"/>
          </w:tcPr>
          <w:p w14:paraId="7CA39E56"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 = 2</w:t>
            </w:r>
          </w:p>
          <w:p w14:paraId="2BFE31B2"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P = 2</w:t>
            </w:r>
          </w:p>
        </w:tc>
        <w:tc>
          <w:tcPr>
            <w:tcW w:w="1275" w:type="dxa"/>
          </w:tcPr>
          <w:p w14:paraId="51C5353B" w14:textId="77777777" w:rsidR="00F91241" w:rsidRPr="005516CD" w:rsidDel="009B2B80"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Low</w:t>
            </w:r>
          </w:p>
        </w:tc>
        <w:tc>
          <w:tcPr>
            <w:tcW w:w="3261" w:type="dxa"/>
          </w:tcPr>
          <w:p w14:paraId="159801C9"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There is a low risk of the use of child labour in home gardens, cacao and coffee agroforestry systems in Haiti.</w:t>
            </w:r>
          </w:p>
          <w:p w14:paraId="03893E56"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p>
          <w:p w14:paraId="43291334"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lang w:val="en-US"/>
              </w:rPr>
              <w:t xml:space="preserve">The risk was investigated through the stakeholder consultations, which occurred in the project PPG phase and was not considered significant among the stakeholders consulted. Furthermore, in the 2017 report produced by the Bureau of International </w:t>
            </w:r>
            <w:proofErr w:type="spellStart"/>
            <w:r w:rsidRPr="005516CD">
              <w:rPr>
                <w:rFonts w:ascii="Calibri" w:eastAsia="Helvetica" w:hAnsi="Calibri" w:cs="Calibri"/>
                <w:sz w:val="18"/>
                <w:szCs w:val="18"/>
                <w:bdr w:val="nil"/>
                <w:lang w:val="en-US"/>
              </w:rPr>
              <w:t>Labour</w:t>
            </w:r>
            <w:proofErr w:type="spellEnd"/>
            <w:r w:rsidRPr="005516CD">
              <w:rPr>
                <w:rFonts w:ascii="Calibri" w:eastAsia="Helvetica" w:hAnsi="Calibri" w:cs="Calibri"/>
                <w:sz w:val="18"/>
                <w:szCs w:val="18"/>
                <w:bdr w:val="nil"/>
                <w:lang w:val="en-US"/>
              </w:rPr>
              <w:t xml:space="preserve"> Affairs of the US Department of </w:t>
            </w:r>
            <w:proofErr w:type="spellStart"/>
            <w:r w:rsidRPr="005516CD">
              <w:rPr>
                <w:rFonts w:ascii="Calibri" w:eastAsia="Helvetica" w:hAnsi="Calibri" w:cs="Calibri"/>
                <w:sz w:val="18"/>
                <w:szCs w:val="18"/>
                <w:bdr w:val="nil"/>
                <w:lang w:val="en-US"/>
              </w:rPr>
              <w:t>Labour</w:t>
            </w:r>
            <w:proofErr w:type="spellEnd"/>
            <w:r w:rsidRPr="005516CD">
              <w:rPr>
                <w:rFonts w:ascii="Calibri" w:eastAsia="Helvetica" w:hAnsi="Calibri" w:cs="Calibri"/>
                <w:sz w:val="18"/>
                <w:szCs w:val="18"/>
                <w:bdr w:val="nil"/>
                <w:lang w:val="en-US"/>
              </w:rPr>
              <w:t xml:space="preserve"> ‘Worst forms of child </w:t>
            </w:r>
            <w:proofErr w:type="spellStart"/>
            <w:r w:rsidRPr="005516CD">
              <w:rPr>
                <w:rFonts w:ascii="Calibri" w:eastAsia="Helvetica" w:hAnsi="Calibri" w:cs="Calibri"/>
                <w:sz w:val="18"/>
                <w:szCs w:val="18"/>
                <w:bdr w:val="nil"/>
                <w:lang w:val="en-US"/>
              </w:rPr>
              <w:t>labour</w:t>
            </w:r>
            <w:proofErr w:type="spellEnd"/>
            <w:r w:rsidRPr="005516CD">
              <w:rPr>
                <w:rFonts w:ascii="Calibri" w:eastAsia="Helvetica" w:hAnsi="Calibri" w:cs="Calibri"/>
                <w:sz w:val="18"/>
                <w:szCs w:val="18"/>
                <w:bdr w:val="nil"/>
                <w:lang w:val="en-US"/>
              </w:rPr>
              <w:t xml:space="preserve">’ Report from Haiti, there is no indication of child </w:t>
            </w:r>
            <w:proofErr w:type="spellStart"/>
            <w:r w:rsidRPr="005516CD">
              <w:rPr>
                <w:rFonts w:ascii="Calibri" w:eastAsia="Helvetica" w:hAnsi="Calibri" w:cs="Calibri"/>
                <w:sz w:val="18"/>
                <w:szCs w:val="18"/>
                <w:bdr w:val="nil"/>
                <w:lang w:val="en-US"/>
              </w:rPr>
              <w:t>labour</w:t>
            </w:r>
            <w:proofErr w:type="spellEnd"/>
            <w:r w:rsidRPr="005516CD">
              <w:rPr>
                <w:rFonts w:ascii="Calibri" w:eastAsia="Helvetica" w:hAnsi="Calibri" w:cs="Calibri"/>
                <w:sz w:val="18"/>
                <w:szCs w:val="18"/>
                <w:bdr w:val="nil"/>
                <w:lang w:val="en-US"/>
              </w:rPr>
              <w:t xml:space="preserve"> in the coffee, cacao and home garden production systems. The sectors identified in the report are sugarcane agriculture, fishing and livestock, domestic work and construction. The risk has therefore been considered low but should be reassessed in the project inception phase.</w:t>
            </w:r>
          </w:p>
        </w:tc>
        <w:tc>
          <w:tcPr>
            <w:tcW w:w="4209" w:type="dxa"/>
          </w:tcPr>
          <w:p w14:paraId="19D280F1"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To be further assessed prior to project inception and captured in subsequent management plan(s)</w:t>
            </w:r>
            <w:r w:rsidR="002C761B" w:rsidRPr="005516CD">
              <w:rPr>
                <w:rFonts w:ascii="Calibri" w:eastAsia="Helvetica" w:hAnsi="Calibri" w:cs="Calibri"/>
                <w:sz w:val="18"/>
                <w:szCs w:val="18"/>
                <w:bdr w:val="nil"/>
              </w:rPr>
              <w:t>.</w:t>
            </w:r>
          </w:p>
        </w:tc>
      </w:tr>
      <w:tr w:rsidR="00DB546B" w:rsidRPr="005516CD" w14:paraId="5522F391" w14:textId="77777777" w:rsidTr="00FB5829">
        <w:trPr>
          <w:trHeight w:val="1420"/>
        </w:trPr>
        <w:tc>
          <w:tcPr>
            <w:tcW w:w="3261" w:type="dxa"/>
          </w:tcPr>
          <w:p w14:paraId="6D36C171" w14:textId="77777777" w:rsidR="00DB546B" w:rsidRPr="005516CD" w:rsidRDefault="00641B30" w:rsidP="00DB546B">
            <w:pPr>
              <w:pBdr>
                <w:top w:val="nil"/>
                <w:left w:val="nil"/>
                <w:bottom w:val="nil"/>
                <w:right w:val="nil"/>
                <w:between w:val="nil"/>
                <w:bar w:val="nil"/>
              </w:pBdr>
              <w:rPr>
                <w:rFonts w:ascii="Calibri" w:eastAsia="Times New Roman" w:hAnsi="Calibri" w:cs="Calibri"/>
                <w:sz w:val="18"/>
                <w:szCs w:val="18"/>
                <w:bdr w:val="nil"/>
              </w:rPr>
            </w:pPr>
            <w:r w:rsidRPr="005516CD">
              <w:rPr>
                <w:rFonts w:ascii="Calibri" w:eastAsia="Times New Roman" w:hAnsi="Calibri" w:cs="Calibri"/>
                <w:sz w:val="18"/>
                <w:szCs w:val="18"/>
              </w:rPr>
              <w:t xml:space="preserve">Risk 6: </w:t>
            </w:r>
            <w:r w:rsidR="00DB546B" w:rsidRPr="005516CD">
              <w:rPr>
                <w:rFonts w:ascii="Calibri" w:eastAsia="Times New Roman" w:hAnsi="Calibri" w:cs="Calibri"/>
                <w:sz w:val="18"/>
                <w:szCs w:val="18"/>
              </w:rPr>
              <w:t>The Project would potentially limit women’s ability to use, develop and protect natural resources, taking into account different roles and positions of women and men in accessing environmental goods and services</w:t>
            </w:r>
          </w:p>
        </w:tc>
        <w:tc>
          <w:tcPr>
            <w:tcW w:w="1134" w:type="dxa"/>
          </w:tcPr>
          <w:p w14:paraId="68A7F10D"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 = 3</w:t>
            </w:r>
          </w:p>
          <w:p w14:paraId="0DD77A3C"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P = 2</w:t>
            </w:r>
          </w:p>
        </w:tc>
        <w:tc>
          <w:tcPr>
            <w:tcW w:w="1275" w:type="dxa"/>
          </w:tcPr>
          <w:p w14:paraId="1E79029A"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Moderate</w:t>
            </w:r>
          </w:p>
        </w:tc>
        <w:tc>
          <w:tcPr>
            <w:tcW w:w="3261" w:type="dxa"/>
          </w:tcPr>
          <w:p w14:paraId="23658744"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If inadequately formulated and managed there is the potential for a focus on perennial cash crops to have differentiated, and potentially negative, gender implications due to existing gendered differences in economic and productive roles within coffee and cacao value chains. Given women’s roles in the charcoal value chain, sensitization among project beneficiaries regarding environmentally damaging activities such as cutting down trees, may also indirectly limit women’s opportunities to use natural resources as a source of livelihood support.</w:t>
            </w:r>
          </w:p>
        </w:tc>
        <w:tc>
          <w:tcPr>
            <w:tcW w:w="4209" w:type="dxa"/>
          </w:tcPr>
          <w:p w14:paraId="090313D3"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Analyses of gender a differentiation in economic and productive roles has been carried out during the PPG phase and comprehensive Gender Assessment and Action Plan (GAPP) prepared accordingly. The GAAP has informed the design of the project activities, including a focus on a diversity of value chains, including support for household creole gardens in which women dominate, as well as support of fruit, and medicinal plant value chains and the transformation of products (such as creating sweets with coconut using traditional methods), in which women can play a leading role. As part of monitoring of the GAAP the following indicators are included:</w:t>
            </w:r>
          </w:p>
          <w:p w14:paraId="561C2A24"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lang w:val="en-US"/>
              </w:rPr>
            </w:pPr>
          </w:p>
          <w:p w14:paraId="11899287"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lang w:val="en-US"/>
              </w:rPr>
            </w:pPr>
            <w:r w:rsidRPr="005516CD">
              <w:rPr>
                <w:rFonts w:ascii="Calibri" w:eastAsia="Helvetica" w:hAnsi="Calibri" w:cs="Calibri"/>
                <w:sz w:val="18"/>
                <w:szCs w:val="18"/>
                <w:bdr w:val="nil"/>
                <w:lang w:val="en-US"/>
              </w:rPr>
              <w:t>Percentage of participatory activities promoting production in gardens, diversified and nutritious varieties, and crops for sale in domestic markets</w:t>
            </w:r>
          </w:p>
          <w:p w14:paraId="65C70AA6"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lang w:val="en-US"/>
              </w:rPr>
            </w:pPr>
          </w:p>
          <w:p w14:paraId="1FF078B2"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lang w:val="en-US"/>
              </w:rPr>
            </w:pPr>
            <w:r w:rsidRPr="005516CD">
              <w:rPr>
                <w:rFonts w:ascii="Calibri" w:eastAsia="Helvetica" w:hAnsi="Calibri" w:cs="Calibri"/>
                <w:sz w:val="18"/>
                <w:szCs w:val="18"/>
                <w:bdr w:val="nil"/>
                <w:lang w:val="en-US"/>
              </w:rPr>
              <w:t xml:space="preserve">Number/% of women and men participating in activities targeting commercialization of tree products, small-scale processing, transformation of products into handicrafts - Total/% of participatory activities </w:t>
            </w:r>
          </w:p>
          <w:p w14:paraId="6752F7D7"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p>
          <w:p w14:paraId="74FACF44"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Various other gender-specific activities and indicators have also been identified and promoted to ensure equitable opportunities for women to benefit from the target production systems and their value chains, or from productive alternatives. Of particular significance is that the baseline situation is characterized by cash tree crops (cacao and coffee) principally managed by men; with project interventions allowing those same plantations to also provide productive opportunities for women (herbs, fruit etc.). Finally, the project also emphasizes integration of women’s group in local governance mechanisms and the equitable participation of women in local institutional planning structure and as recipients of agricultural extension activities.</w:t>
            </w:r>
          </w:p>
          <w:p w14:paraId="54EE4D93"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p>
        </w:tc>
      </w:tr>
      <w:tr w:rsidR="00DB546B" w:rsidRPr="005516CD" w14:paraId="08FF7CA0" w14:textId="77777777" w:rsidTr="00FB5829">
        <w:trPr>
          <w:trHeight w:val="1420"/>
        </w:trPr>
        <w:tc>
          <w:tcPr>
            <w:tcW w:w="3261" w:type="dxa"/>
          </w:tcPr>
          <w:p w14:paraId="38E6E27C" w14:textId="77777777" w:rsidR="00DB546B" w:rsidRPr="005516CD" w:rsidRDefault="00641B30" w:rsidP="00FB5829">
            <w:pPr>
              <w:rPr>
                <w:rFonts w:ascii="Calibri" w:eastAsia="Times New Roman" w:hAnsi="Calibri" w:cs="Calibri"/>
                <w:sz w:val="18"/>
                <w:szCs w:val="18"/>
              </w:rPr>
            </w:pPr>
            <w:r w:rsidRPr="005516CD">
              <w:rPr>
                <w:rFonts w:ascii="Calibri" w:eastAsia="Times New Roman" w:hAnsi="Calibri" w:cs="Calibri"/>
                <w:sz w:val="18"/>
                <w:szCs w:val="18"/>
              </w:rPr>
              <w:t xml:space="preserve">Risk 7: </w:t>
            </w:r>
            <w:r w:rsidR="00DB546B" w:rsidRPr="005516CD">
              <w:rPr>
                <w:rFonts w:ascii="Calibri" w:eastAsia="Times New Roman" w:hAnsi="Calibri" w:cs="Calibri"/>
                <w:sz w:val="18"/>
                <w:szCs w:val="18"/>
              </w:rPr>
              <w:t>he Project could potentially cause adverse impacts to habitats (e.g. modified, natural, and critical habitats) and/or ecosystems and ecosystem services</w:t>
            </w:r>
          </w:p>
          <w:p w14:paraId="0C8B7C9A" w14:textId="77777777" w:rsidR="00DB546B" w:rsidRPr="005516CD" w:rsidRDefault="00DB546B" w:rsidP="00DB546B">
            <w:pPr>
              <w:pBdr>
                <w:top w:val="nil"/>
                <w:left w:val="nil"/>
                <w:bottom w:val="nil"/>
                <w:right w:val="nil"/>
                <w:between w:val="nil"/>
                <w:bar w:val="nil"/>
              </w:pBdr>
              <w:rPr>
                <w:rFonts w:ascii="Calibri" w:eastAsia="Times New Roman" w:hAnsi="Calibri" w:cs="Calibri"/>
                <w:sz w:val="18"/>
                <w:szCs w:val="18"/>
                <w:bdr w:val="nil"/>
              </w:rPr>
            </w:pPr>
            <w:r w:rsidRPr="005516CD">
              <w:rPr>
                <w:rFonts w:ascii="Calibri" w:eastAsia="Times New Roman" w:hAnsi="Calibri" w:cs="Calibri"/>
                <w:bCs/>
                <w:sz w:val="18"/>
                <w:szCs w:val="18"/>
              </w:rPr>
              <w:t>Risk to have any Project activities proposed within or adjacent to critical habitats and/or environmentally sensitive areas, recognized as such by authoritative sources and/or indigenous peoples or local communities</w:t>
            </w:r>
            <w:r w:rsidRPr="005516CD">
              <w:rPr>
                <w:rFonts w:ascii="Calibri" w:eastAsia="Times New Roman" w:hAnsi="Calibri" w:cs="Calibri"/>
                <w:color w:val="000000"/>
                <w:sz w:val="18"/>
                <w:szCs w:val="18"/>
                <w:u w:color="000000"/>
                <w:bdr w:val="nil"/>
                <w:lang w:val="en-US"/>
              </w:rPr>
              <w:br/>
            </w:r>
          </w:p>
        </w:tc>
        <w:tc>
          <w:tcPr>
            <w:tcW w:w="1134" w:type="dxa"/>
          </w:tcPr>
          <w:p w14:paraId="5E37D358"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 = 2</w:t>
            </w:r>
          </w:p>
          <w:p w14:paraId="1EB3C80A"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P = 1</w:t>
            </w:r>
          </w:p>
        </w:tc>
        <w:tc>
          <w:tcPr>
            <w:tcW w:w="1275" w:type="dxa"/>
          </w:tcPr>
          <w:p w14:paraId="720DDEC7"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Low</w:t>
            </w:r>
          </w:p>
        </w:tc>
        <w:tc>
          <w:tcPr>
            <w:tcW w:w="3261" w:type="dxa"/>
          </w:tcPr>
          <w:p w14:paraId="19286C82" w14:textId="77777777" w:rsidR="00DB546B" w:rsidRPr="005516CD" w:rsidRDefault="00DB546B" w:rsidP="00DB546B">
            <w:pPr>
              <w:rPr>
                <w:rFonts w:ascii="Calibri" w:eastAsia="Helvetica" w:hAnsi="Calibri" w:cs="Calibri"/>
                <w:sz w:val="18"/>
                <w:szCs w:val="18"/>
              </w:rPr>
            </w:pPr>
            <w:r w:rsidRPr="005516CD">
              <w:rPr>
                <w:rFonts w:ascii="Calibri" w:eastAsia="Helvetica" w:hAnsi="Calibri" w:cs="Calibri"/>
                <w:sz w:val="18"/>
                <w:szCs w:val="18"/>
              </w:rPr>
              <w:t>One potential limited environmental risk of expansion and promotion of the coffee and cacao value chains is the potential for wet coffee milling to result in the release of organic pollutants (from leachate) to watercourses, if significantly expanded and inadequately managed. Watercourses, which act as habitats for aquatic flora and fauna may thereby be negatively impacted by increased Biological oxygen demand (BOD).</w:t>
            </w:r>
          </w:p>
          <w:p w14:paraId="3ED78693" w14:textId="77777777" w:rsidR="00DB546B" w:rsidRPr="005516CD" w:rsidRDefault="00DB546B" w:rsidP="00DB546B">
            <w:pPr>
              <w:rPr>
                <w:rFonts w:ascii="Calibri" w:eastAsia="Helvetica" w:hAnsi="Calibri" w:cs="Calibri"/>
                <w:sz w:val="18"/>
                <w:szCs w:val="18"/>
              </w:rPr>
            </w:pPr>
          </w:p>
          <w:p w14:paraId="6D529CF3"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rPr>
              <w:t>In the very limited locations where wet milling might occur within the areas of intervention of the project, the project will support the use of “ecological” washing and milling facilities in order to minimize the environmental impact of these existing facilities. The project will also provide technical assistance to farmers on converting waste coffee pulp into organic compost. Finally, the project PPG studies have shown that certification schemes (carrying both environmental and social conditions) are a viable option as a market-based incentive for environmental sustainability.</w:t>
            </w:r>
          </w:p>
        </w:tc>
        <w:tc>
          <w:tcPr>
            <w:tcW w:w="4209" w:type="dxa"/>
          </w:tcPr>
          <w:p w14:paraId="155C1788" w14:textId="77777777" w:rsidR="00DB546B" w:rsidRPr="005516CD" w:rsidRDefault="00DB546B" w:rsidP="00DB546B">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To be further assessed prior to project inception and captured in subsequent management plan(s).</w:t>
            </w:r>
          </w:p>
        </w:tc>
      </w:tr>
    </w:tbl>
    <w:p w14:paraId="4C5CACCA" w14:textId="77777777" w:rsidR="00D841F7" w:rsidRPr="005516CD" w:rsidRDefault="00D841F7"/>
    <w:tbl>
      <w:tblPr>
        <w:tblStyle w:val="TableGrid4"/>
        <w:tblW w:w="13140" w:type="dxa"/>
        <w:tblInd w:w="-5" w:type="dxa"/>
        <w:tblLayout w:type="fixed"/>
        <w:tblLook w:val="04A0" w:firstRow="1" w:lastRow="0" w:firstColumn="1" w:lastColumn="0" w:noHBand="0" w:noVBand="1"/>
      </w:tblPr>
      <w:tblGrid>
        <w:gridCol w:w="3261"/>
        <w:gridCol w:w="4592"/>
        <w:gridCol w:w="1078"/>
        <w:gridCol w:w="4209"/>
      </w:tblGrid>
      <w:tr w:rsidR="00F91241" w:rsidRPr="005516CD" w14:paraId="42F198EF" w14:textId="77777777" w:rsidTr="000A6F69">
        <w:trPr>
          <w:trHeight w:val="593"/>
        </w:trPr>
        <w:tc>
          <w:tcPr>
            <w:tcW w:w="3261" w:type="dxa"/>
            <w:vMerge w:val="restart"/>
          </w:tcPr>
          <w:p w14:paraId="1A5D90BC" w14:textId="77777777" w:rsidR="00F91241" w:rsidRPr="005516CD" w:rsidRDefault="00F91241" w:rsidP="00F91241">
            <w:pPr>
              <w:pBdr>
                <w:top w:val="nil"/>
                <w:left w:val="nil"/>
                <w:bottom w:val="nil"/>
                <w:right w:val="nil"/>
                <w:between w:val="nil"/>
                <w:bar w:val="nil"/>
              </w:pBdr>
              <w:rPr>
                <w:rFonts w:ascii="Calibri" w:eastAsia="Helvetica" w:hAnsi="Calibri" w:cs="Calibri"/>
                <w:szCs w:val="20"/>
                <w:bdr w:val="nil"/>
              </w:rPr>
            </w:pPr>
          </w:p>
        </w:tc>
        <w:tc>
          <w:tcPr>
            <w:tcW w:w="9879" w:type="dxa"/>
            <w:gridSpan w:val="3"/>
            <w:shd w:val="clear" w:color="auto" w:fill="D9D9D9"/>
          </w:tcPr>
          <w:p w14:paraId="12863D7D"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Cs w:val="20"/>
                <w:bdr w:val="nil"/>
              </w:rPr>
              <w:t xml:space="preserve">QUESTION 4: What is the overall Project risk categorization? </w:t>
            </w:r>
          </w:p>
        </w:tc>
      </w:tr>
      <w:tr w:rsidR="00F91241" w:rsidRPr="005516CD" w14:paraId="1771EEDA" w14:textId="77777777" w:rsidTr="000A6F69">
        <w:tc>
          <w:tcPr>
            <w:tcW w:w="3261" w:type="dxa"/>
            <w:vMerge/>
          </w:tcPr>
          <w:p w14:paraId="4984EF53"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u w:val="single"/>
                <w:bdr w:val="nil"/>
              </w:rPr>
            </w:pPr>
          </w:p>
        </w:tc>
        <w:tc>
          <w:tcPr>
            <w:tcW w:w="5670" w:type="dxa"/>
            <w:gridSpan w:val="2"/>
          </w:tcPr>
          <w:p w14:paraId="0BDE2F94" w14:textId="77777777" w:rsidR="00F91241" w:rsidRPr="005516CD" w:rsidRDefault="00F91241" w:rsidP="00F91241">
            <w:pPr>
              <w:pBdr>
                <w:top w:val="nil"/>
                <w:left w:val="nil"/>
                <w:bottom w:val="nil"/>
                <w:right w:val="nil"/>
                <w:between w:val="nil"/>
                <w:bar w:val="nil"/>
              </w:pBdr>
              <w:jc w:val="center"/>
              <w:rPr>
                <w:rFonts w:ascii="Calibri" w:eastAsia="Helvetica" w:hAnsi="Calibri" w:cs="Calibri"/>
                <w:sz w:val="18"/>
                <w:szCs w:val="18"/>
                <w:bdr w:val="nil"/>
              </w:rPr>
            </w:pPr>
            <w:r w:rsidRPr="005516CD">
              <w:rPr>
                <w:rFonts w:ascii="Calibri" w:eastAsia="Helvetica" w:hAnsi="Calibri" w:cs="Calibri"/>
                <w:sz w:val="18"/>
                <w:szCs w:val="18"/>
                <w:bdr w:val="nil"/>
              </w:rPr>
              <w:t xml:space="preserve">Select one (see </w:t>
            </w:r>
            <w:hyperlink r:id="rId81" w:history="1">
              <w:r w:rsidRPr="005516CD">
                <w:rPr>
                  <w:rFonts w:ascii="Calibri" w:eastAsia="Helvetica" w:hAnsi="Calibri" w:cs="Calibri"/>
                  <w:sz w:val="18"/>
                  <w:szCs w:val="18"/>
                  <w:u w:val="single"/>
                  <w:bdr w:val="nil"/>
                </w:rPr>
                <w:t>SESP</w:t>
              </w:r>
            </w:hyperlink>
            <w:r w:rsidRPr="005516CD">
              <w:rPr>
                <w:rFonts w:ascii="Calibri" w:eastAsia="Helvetica" w:hAnsi="Calibri" w:cs="Calibri"/>
                <w:sz w:val="18"/>
                <w:szCs w:val="18"/>
                <w:bdr w:val="nil"/>
              </w:rPr>
              <w:t xml:space="preserve"> for guidance)</w:t>
            </w:r>
          </w:p>
        </w:tc>
        <w:tc>
          <w:tcPr>
            <w:tcW w:w="4209" w:type="dxa"/>
          </w:tcPr>
          <w:p w14:paraId="65D3EDDF" w14:textId="77777777" w:rsidR="00F91241" w:rsidRPr="005516CD" w:rsidRDefault="00F91241" w:rsidP="00F91241">
            <w:pPr>
              <w:pBdr>
                <w:top w:val="nil"/>
                <w:left w:val="nil"/>
                <w:bottom w:val="nil"/>
                <w:right w:val="nil"/>
                <w:between w:val="nil"/>
                <w:bar w:val="nil"/>
              </w:pBdr>
              <w:jc w:val="center"/>
              <w:rPr>
                <w:rFonts w:ascii="Calibri" w:eastAsia="Helvetica" w:hAnsi="Calibri" w:cs="Calibri"/>
                <w:sz w:val="18"/>
                <w:szCs w:val="18"/>
                <w:bdr w:val="nil"/>
              </w:rPr>
            </w:pPr>
            <w:r w:rsidRPr="005516CD">
              <w:rPr>
                <w:rFonts w:ascii="Calibri" w:eastAsia="Helvetica" w:hAnsi="Calibri" w:cs="Calibri"/>
                <w:sz w:val="18"/>
                <w:szCs w:val="18"/>
                <w:bdr w:val="nil"/>
              </w:rPr>
              <w:t>Comments</w:t>
            </w:r>
          </w:p>
          <w:p w14:paraId="0E596B31" w14:textId="77777777" w:rsidR="00F91241" w:rsidRPr="005516CD" w:rsidRDefault="00F91241" w:rsidP="00F91241">
            <w:pPr>
              <w:pBdr>
                <w:top w:val="nil"/>
                <w:left w:val="nil"/>
                <w:bottom w:val="nil"/>
                <w:right w:val="nil"/>
                <w:between w:val="nil"/>
                <w:bar w:val="nil"/>
              </w:pBdr>
              <w:jc w:val="center"/>
              <w:rPr>
                <w:rFonts w:ascii="Calibri" w:eastAsia="Helvetica" w:hAnsi="Calibri" w:cs="Calibri"/>
                <w:sz w:val="18"/>
                <w:szCs w:val="18"/>
                <w:bdr w:val="nil"/>
              </w:rPr>
            </w:pPr>
          </w:p>
        </w:tc>
      </w:tr>
      <w:tr w:rsidR="00F91241" w:rsidRPr="005516CD" w14:paraId="3D7DEE08" w14:textId="77777777" w:rsidTr="000A6F69">
        <w:trPr>
          <w:trHeight w:val="329"/>
        </w:trPr>
        <w:tc>
          <w:tcPr>
            <w:tcW w:w="3261" w:type="dxa"/>
            <w:vMerge/>
          </w:tcPr>
          <w:p w14:paraId="08E4CF94"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p>
        </w:tc>
        <w:tc>
          <w:tcPr>
            <w:tcW w:w="4592" w:type="dxa"/>
            <w:shd w:val="clear" w:color="auto" w:fill="auto"/>
          </w:tcPr>
          <w:p w14:paraId="4CFC24F3" w14:textId="77777777" w:rsidR="00F91241" w:rsidRPr="005516CD" w:rsidRDefault="00F91241" w:rsidP="00F91241">
            <w:pPr>
              <w:pBdr>
                <w:top w:val="nil"/>
                <w:left w:val="nil"/>
                <w:bottom w:val="nil"/>
                <w:right w:val="nil"/>
                <w:between w:val="nil"/>
                <w:bar w:val="nil"/>
              </w:pBdr>
              <w:jc w:val="right"/>
              <w:rPr>
                <w:rFonts w:ascii="Calibri" w:eastAsia="Helvetica" w:hAnsi="Calibri" w:cs="Calibri"/>
                <w:i/>
                <w:sz w:val="18"/>
                <w:szCs w:val="18"/>
                <w:bdr w:val="nil"/>
              </w:rPr>
            </w:pPr>
            <w:r w:rsidRPr="005516CD">
              <w:rPr>
                <w:rFonts w:ascii="Calibri" w:eastAsia="Helvetica" w:hAnsi="Calibri" w:cs="Calibri"/>
                <w:i/>
                <w:sz w:val="18"/>
                <w:szCs w:val="18"/>
                <w:bdr w:val="nil"/>
              </w:rPr>
              <w:t>Low Risk</w:t>
            </w:r>
          </w:p>
        </w:tc>
        <w:tc>
          <w:tcPr>
            <w:tcW w:w="1078" w:type="dxa"/>
          </w:tcPr>
          <w:p w14:paraId="0022635C" w14:textId="77777777" w:rsidR="00F91241" w:rsidRPr="005516CD" w:rsidRDefault="00F91241" w:rsidP="00F91241">
            <w:pPr>
              <w:pBdr>
                <w:top w:val="nil"/>
                <w:left w:val="nil"/>
                <w:bottom w:val="nil"/>
                <w:right w:val="nil"/>
                <w:between w:val="nil"/>
                <w:bar w:val="nil"/>
              </w:pBdr>
              <w:ind w:left="-2230" w:firstLine="2230"/>
              <w:rPr>
                <w:rFonts w:ascii="Calibri" w:eastAsia="Helvetica" w:hAnsi="Calibri" w:cs="Calibri"/>
                <w:sz w:val="18"/>
                <w:szCs w:val="18"/>
                <w:bdr w:val="nil"/>
              </w:rPr>
            </w:pPr>
          </w:p>
        </w:tc>
        <w:tc>
          <w:tcPr>
            <w:tcW w:w="4209" w:type="dxa"/>
          </w:tcPr>
          <w:p w14:paraId="424A752C"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p>
        </w:tc>
      </w:tr>
      <w:tr w:rsidR="00F91241" w:rsidRPr="005516CD" w14:paraId="558C5300" w14:textId="77777777" w:rsidTr="000A6F69">
        <w:tc>
          <w:tcPr>
            <w:tcW w:w="3261" w:type="dxa"/>
            <w:vMerge/>
          </w:tcPr>
          <w:p w14:paraId="232170FD"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p>
        </w:tc>
        <w:tc>
          <w:tcPr>
            <w:tcW w:w="4592" w:type="dxa"/>
            <w:shd w:val="clear" w:color="auto" w:fill="auto"/>
          </w:tcPr>
          <w:p w14:paraId="54F869B5" w14:textId="77777777" w:rsidR="00F91241" w:rsidRPr="005516CD" w:rsidRDefault="00F91241" w:rsidP="00F91241">
            <w:pPr>
              <w:pBdr>
                <w:top w:val="nil"/>
                <w:left w:val="nil"/>
                <w:bottom w:val="nil"/>
                <w:right w:val="nil"/>
                <w:between w:val="nil"/>
                <w:bar w:val="nil"/>
              </w:pBdr>
              <w:jc w:val="right"/>
              <w:rPr>
                <w:rFonts w:ascii="Calibri" w:eastAsia="Helvetica" w:hAnsi="Calibri" w:cs="Calibri"/>
                <w:i/>
                <w:sz w:val="18"/>
                <w:szCs w:val="18"/>
                <w:bdr w:val="nil"/>
              </w:rPr>
            </w:pPr>
            <w:r w:rsidRPr="005516CD">
              <w:rPr>
                <w:rFonts w:ascii="Calibri" w:eastAsia="Helvetica" w:hAnsi="Calibri" w:cs="Calibri"/>
                <w:i/>
                <w:sz w:val="18"/>
                <w:szCs w:val="18"/>
                <w:bdr w:val="nil"/>
              </w:rPr>
              <w:t>Moderate Risk</w:t>
            </w:r>
          </w:p>
        </w:tc>
        <w:tc>
          <w:tcPr>
            <w:tcW w:w="1078" w:type="dxa"/>
          </w:tcPr>
          <w:p w14:paraId="58FC2FC0" w14:textId="77777777" w:rsidR="00F91241" w:rsidRPr="005516CD" w:rsidRDefault="00F91241" w:rsidP="00F91241">
            <w:pPr>
              <w:pBdr>
                <w:top w:val="nil"/>
                <w:left w:val="nil"/>
                <w:bottom w:val="nil"/>
                <w:right w:val="nil"/>
                <w:between w:val="nil"/>
                <w:bar w:val="nil"/>
              </w:pBdr>
              <w:ind w:left="-2230" w:firstLine="2230"/>
              <w:rPr>
                <w:rFonts w:ascii="Calibri" w:eastAsia="Helvetica" w:hAnsi="Calibri" w:cs="Calibri"/>
                <w:sz w:val="18"/>
                <w:szCs w:val="18"/>
                <w:bdr w:val="nil"/>
              </w:rPr>
            </w:pPr>
            <w:r w:rsidRPr="005516CD">
              <w:rPr>
                <w:rFonts w:ascii="Calibri" w:eastAsia="Helvetica" w:hAnsi="Calibri" w:cs="Calibri"/>
                <w:szCs w:val="18"/>
                <w:bdr w:val="nil"/>
              </w:rPr>
              <w:t>X</w:t>
            </w:r>
          </w:p>
        </w:tc>
        <w:tc>
          <w:tcPr>
            <w:tcW w:w="4209" w:type="dxa"/>
          </w:tcPr>
          <w:p w14:paraId="5DC0C146"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Due to the presence of three moderate risks, the project risk category has been deemed as ‘Moderate’</w:t>
            </w:r>
          </w:p>
          <w:p w14:paraId="46C3832E"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r w:rsidRPr="005516CD">
              <w:rPr>
                <w:rFonts w:asciiTheme="majorHAnsi" w:hAnsiTheme="majorHAnsi" w:cstheme="majorHAnsi"/>
                <w:b/>
                <w:sz w:val="20"/>
              </w:rPr>
              <w:t>A</w:t>
            </w:r>
            <w:r w:rsidRPr="005516CD">
              <w:rPr>
                <w:rFonts w:asciiTheme="majorHAnsi" w:hAnsiTheme="majorHAnsi" w:cstheme="majorHAnsi"/>
                <w:b/>
                <w:sz w:val="20"/>
                <w:lang w:val="en-US"/>
              </w:rPr>
              <w:t>n ESM</w:t>
            </w:r>
            <w:r w:rsidRPr="005516CD">
              <w:rPr>
                <w:rFonts w:asciiTheme="majorHAnsi" w:hAnsiTheme="majorHAnsi" w:cstheme="majorHAnsi"/>
                <w:b/>
                <w:bCs/>
                <w:sz w:val="20"/>
                <w:lang w:val="en-US"/>
              </w:rPr>
              <w:t>F</w:t>
            </w:r>
            <w:r w:rsidRPr="005516CD">
              <w:rPr>
                <w:rFonts w:asciiTheme="majorHAnsi" w:hAnsiTheme="majorHAnsi" w:cstheme="majorHAnsi"/>
                <w:b/>
                <w:sz w:val="20"/>
                <w:lang w:val="en-US"/>
              </w:rPr>
              <w:t xml:space="preserve"> will be prepared by a project safeguards </w:t>
            </w:r>
            <w:r w:rsidRPr="005516CD">
              <w:rPr>
                <w:rFonts w:asciiTheme="majorHAnsi" w:hAnsiTheme="majorHAnsi" w:cstheme="majorHAnsi"/>
                <w:b/>
                <w:sz w:val="20"/>
              </w:rPr>
              <w:t>specialist</w:t>
            </w:r>
            <w:r w:rsidRPr="005516CD">
              <w:rPr>
                <w:rFonts w:asciiTheme="majorHAnsi" w:hAnsiTheme="majorHAnsi" w:cstheme="majorHAnsi"/>
                <w:b/>
                <w:sz w:val="20"/>
                <w:lang w:val="en-US"/>
              </w:rPr>
              <w:t xml:space="preserve"> in the first year of project implementation, during which the risks will be fully identified and the need for further assessment/management properly determined</w:t>
            </w:r>
          </w:p>
        </w:tc>
      </w:tr>
      <w:tr w:rsidR="00F91241" w:rsidRPr="005516CD" w14:paraId="745BD1B8" w14:textId="77777777" w:rsidTr="000A6F69">
        <w:tc>
          <w:tcPr>
            <w:tcW w:w="3261" w:type="dxa"/>
            <w:vMerge/>
          </w:tcPr>
          <w:p w14:paraId="0359184C"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p>
        </w:tc>
        <w:tc>
          <w:tcPr>
            <w:tcW w:w="4592" w:type="dxa"/>
            <w:shd w:val="clear" w:color="auto" w:fill="auto"/>
          </w:tcPr>
          <w:p w14:paraId="0C05C14D" w14:textId="77777777" w:rsidR="00F91241" w:rsidRPr="005516CD" w:rsidRDefault="00F91241" w:rsidP="00F91241">
            <w:pPr>
              <w:pBdr>
                <w:top w:val="nil"/>
                <w:left w:val="nil"/>
                <w:bottom w:val="nil"/>
                <w:right w:val="nil"/>
                <w:between w:val="nil"/>
                <w:bar w:val="nil"/>
              </w:pBdr>
              <w:jc w:val="right"/>
              <w:rPr>
                <w:rFonts w:ascii="Calibri" w:eastAsia="Helvetica" w:hAnsi="Calibri" w:cs="Calibri"/>
                <w:i/>
                <w:sz w:val="18"/>
                <w:szCs w:val="18"/>
                <w:bdr w:val="nil"/>
              </w:rPr>
            </w:pPr>
            <w:r w:rsidRPr="005516CD">
              <w:rPr>
                <w:rFonts w:ascii="Calibri" w:eastAsia="Helvetica" w:hAnsi="Calibri" w:cs="Calibri"/>
                <w:i/>
                <w:sz w:val="18"/>
                <w:szCs w:val="18"/>
                <w:bdr w:val="nil"/>
              </w:rPr>
              <w:t>High Risk</w:t>
            </w:r>
          </w:p>
        </w:tc>
        <w:tc>
          <w:tcPr>
            <w:tcW w:w="1078" w:type="dxa"/>
          </w:tcPr>
          <w:p w14:paraId="53D56876" w14:textId="77777777" w:rsidR="00F91241" w:rsidRPr="005516CD" w:rsidRDefault="00F91241" w:rsidP="00F91241">
            <w:pPr>
              <w:pBdr>
                <w:top w:val="nil"/>
                <w:left w:val="nil"/>
                <w:bottom w:val="nil"/>
                <w:right w:val="nil"/>
                <w:between w:val="nil"/>
                <w:bar w:val="nil"/>
              </w:pBdr>
              <w:ind w:left="-2230" w:firstLine="2230"/>
              <w:rPr>
                <w:rFonts w:ascii="Calibri" w:eastAsia="Helvetica" w:hAnsi="Calibri" w:cs="Calibri"/>
                <w:sz w:val="18"/>
                <w:szCs w:val="18"/>
                <w:bdr w:val="nil"/>
              </w:rPr>
            </w:pPr>
            <w:r w:rsidRPr="005516CD">
              <w:rPr>
                <w:rFonts w:ascii="Segoe UI Symbol" w:eastAsia="Helvetica" w:hAnsi="Segoe UI Symbol" w:cs="Segoe UI Symbol"/>
                <w:szCs w:val="20"/>
                <w:bdr w:val="nil"/>
              </w:rPr>
              <w:t>☐</w:t>
            </w:r>
          </w:p>
        </w:tc>
        <w:tc>
          <w:tcPr>
            <w:tcW w:w="4209" w:type="dxa"/>
          </w:tcPr>
          <w:p w14:paraId="3D154744"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bdr w:val="nil"/>
              </w:rPr>
            </w:pPr>
          </w:p>
        </w:tc>
      </w:tr>
      <w:tr w:rsidR="00F91241" w:rsidRPr="005516CD" w14:paraId="382CE4D9" w14:textId="77777777" w:rsidTr="000A6F69">
        <w:trPr>
          <w:trHeight w:val="782"/>
        </w:trPr>
        <w:tc>
          <w:tcPr>
            <w:tcW w:w="3261" w:type="dxa"/>
            <w:vMerge w:val="restart"/>
            <w:shd w:val="clear" w:color="auto" w:fill="FFFFFF"/>
          </w:tcPr>
          <w:p w14:paraId="01896DC5" w14:textId="77777777" w:rsidR="00F91241" w:rsidRPr="005516CD" w:rsidRDefault="00F91241" w:rsidP="00F91241">
            <w:pPr>
              <w:pBdr>
                <w:top w:val="nil"/>
                <w:left w:val="nil"/>
                <w:bottom w:val="nil"/>
                <w:right w:val="nil"/>
                <w:between w:val="nil"/>
                <w:bar w:val="nil"/>
              </w:pBdr>
              <w:ind w:hanging="18"/>
              <w:rPr>
                <w:rFonts w:ascii="Calibri" w:eastAsia="Helvetica" w:hAnsi="Calibri" w:cs="Calibri"/>
                <w:szCs w:val="20"/>
                <w:bdr w:val="nil"/>
              </w:rPr>
            </w:pPr>
          </w:p>
        </w:tc>
        <w:tc>
          <w:tcPr>
            <w:tcW w:w="9879" w:type="dxa"/>
            <w:gridSpan w:val="3"/>
            <w:shd w:val="clear" w:color="auto" w:fill="D9D9D9"/>
            <w:vAlign w:val="center"/>
          </w:tcPr>
          <w:p w14:paraId="1044BDAA"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Cs w:val="20"/>
                <w:bdr w:val="nil"/>
              </w:rPr>
            </w:pPr>
            <w:r w:rsidRPr="005516CD">
              <w:rPr>
                <w:rFonts w:ascii="Calibri" w:eastAsia="Helvetica" w:hAnsi="Calibri" w:cs="Calibri"/>
                <w:szCs w:val="20"/>
                <w:bdr w:val="nil"/>
              </w:rPr>
              <w:t>QUESTION 5: Based on the identified risks and risk categorization, what requirements of the SES are relevant?</w:t>
            </w:r>
          </w:p>
        </w:tc>
      </w:tr>
      <w:tr w:rsidR="00F91241" w:rsidRPr="005516CD" w14:paraId="0A8AB2B6" w14:textId="77777777" w:rsidTr="000A6F69">
        <w:trPr>
          <w:trHeight w:val="296"/>
        </w:trPr>
        <w:tc>
          <w:tcPr>
            <w:tcW w:w="3261" w:type="dxa"/>
            <w:vMerge/>
            <w:shd w:val="clear" w:color="auto" w:fill="FFFFFF"/>
          </w:tcPr>
          <w:p w14:paraId="2D541FC1" w14:textId="77777777" w:rsidR="00F91241" w:rsidRPr="005516CD" w:rsidRDefault="00F91241" w:rsidP="00F91241">
            <w:pPr>
              <w:pBdr>
                <w:top w:val="nil"/>
                <w:left w:val="nil"/>
                <w:bottom w:val="nil"/>
                <w:right w:val="nil"/>
                <w:between w:val="nil"/>
                <w:bar w:val="nil"/>
              </w:pBdr>
              <w:rPr>
                <w:rFonts w:ascii="Calibri" w:eastAsia="Helvetica" w:hAnsi="Calibri" w:cs="Calibri"/>
                <w:sz w:val="18"/>
                <w:szCs w:val="18"/>
                <w:u w:val="single"/>
                <w:bdr w:val="nil"/>
              </w:rPr>
            </w:pPr>
          </w:p>
        </w:tc>
        <w:tc>
          <w:tcPr>
            <w:tcW w:w="5670" w:type="dxa"/>
            <w:gridSpan w:val="2"/>
          </w:tcPr>
          <w:p w14:paraId="0F52F2DA" w14:textId="77777777" w:rsidR="00F91241" w:rsidRPr="005516CD" w:rsidRDefault="00F91241" w:rsidP="00F91241">
            <w:pPr>
              <w:pBdr>
                <w:top w:val="nil"/>
                <w:left w:val="nil"/>
                <w:bottom w:val="nil"/>
                <w:right w:val="nil"/>
                <w:between w:val="nil"/>
                <w:bar w:val="nil"/>
              </w:pBdr>
              <w:tabs>
                <w:tab w:val="left" w:pos="360"/>
              </w:tabs>
              <w:jc w:val="center"/>
              <w:rPr>
                <w:rFonts w:ascii="Calibri" w:eastAsia="Helvetica" w:hAnsi="Calibri" w:cs="Calibri"/>
                <w:szCs w:val="20"/>
                <w:bdr w:val="nil"/>
              </w:rPr>
            </w:pPr>
            <w:r w:rsidRPr="005516CD">
              <w:rPr>
                <w:rFonts w:ascii="Calibri" w:eastAsia="Helvetica" w:hAnsi="Calibri" w:cs="Calibri"/>
                <w:sz w:val="18"/>
                <w:szCs w:val="18"/>
                <w:bdr w:val="nil"/>
              </w:rPr>
              <w:t>Check all that apply</w:t>
            </w:r>
          </w:p>
        </w:tc>
        <w:tc>
          <w:tcPr>
            <w:tcW w:w="4209" w:type="dxa"/>
          </w:tcPr>
          <w:p w14:paraId="7C3B5076" w14:textId="77777777" w:rsidR="00F91241" w:rsidRPr="005516CD" w:rsidRDefault="00F91241" w:rsidP="00F91241">
            <w:pPr>
              <w:pBdr>
                <w:top w:val="nil"/>
                <w:left w:val="nil"/>
                <w:bottom w:val="nil"/>
                <w:right w:val="nil"/>
                <w:between w:val="nil"/>
                <w:bar w:val="nil"/>
              </w:pBdr>
              <w:tabs>
                <w:tab w:val="left" w:pos="360"/>
              </w:tabs>
              <w:jc w:val="center"/>
              <w:rPr>
                <w:rFonts w:ascii="Calibri" w:eastAsia="Helvetica" w:hAnsi="Calibri" w:cs="Calibri"/>
                <w:sz w:val="18"/>
                <w:szCs w:val="18"/>
                <w:bdr w:val="nil"/>
              </w:rPr>
            </w:pPr>
            <w:r w:rsidRPr="005516CD">
              <w:rPr>
                <w:rFonts w:ascii="Calibri" w:eastAsia="Helvetica" w:hAnsi="Calibri" w:cs="Calibri"/>
                <w:sz w:val="18"/>
                <w:szCs w:val="18"/>
                <w:bdr w:val="nil"/>
              </w:rPr>
              <w:t>Comments</w:t>
            </w:r>
          </w:p>
        </w:tc>
      </w:tr>
      <w:tr w:rsidR="00F91241" w:rsidRPr="005516CD" w14:paraId="57B49FD8" w14:textId="77777777" w:rsidTr="000A6F69">
        <w:tc>
          <w:tcPr>
            <w:tcW w:w="3261" w:type="dxa"/>
            <w:vMerge/>
            <w:shd w:val="clear" w:color="auto" w:fill="FFFFFF"/>
          </w:tcPr>
          <w:p w14:paraId="05F69CB4"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sz w:val="18"/>
                <w:szCs w:val="18"/>
                <w:bdr w:val="nil"/>
              </w:rPr>
            </w:pPr>
          </w:p>
        </w:tc>
        <w:tc>
          <w:tcPr>
            <w:tcW w:w="4592" w:type="dxa"/>
            <w:shd w:val="clear" w:color="auto" w:fill="auto"/>
          </w:tcPr>
          <w:p w14:paraId="60E65BC9"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i/>
                <w:sz w:val="18"/>
                <w:szCs w:val="18"/>
                <w:bdr w:val="nil"/>
              </w:rPr>
            </w:pPr>
            <w:r w:rsidRPr="005516CD">
              <w:rPr>
                <w:rFonts w:ascii="Calibri" w:eastAsia="Helvetica" w:hAnsi="Calibri" w:cs="Calibri"/>
                <w:i/>
                <w:sz w:val="18"/>
                <w:szCs w:val="18"/>
                <w:bdr w:val="nil"/>
              </w:rPr>
              <w:t>Principle 1: Human Rights</w:t>
            </w:r>
          </w:p>
        </w:tc>
        <w:tc>
          <w:tcPr>
            <w:tcW w:w="1078" w:type="dxa"/>
            <w:vAlign w:val="center"/>
          </w:tcPr>
          <w:p w14:paraId="005C2948"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Segoe UI Symbol" w:eastAsia="Helvetica" w:hAnsi="Segoe UI Symbol" w:cs="Segoe UI Symbol"/>
                <w:szCs w:val="20"/>
                <w:bdr w:val="nil"/>
              </w:rPr>
              <w:t>☐</w:t>
            </w:r>
          </w:p>
        </w:tc>
        <w:tc>
          <w:tcPr>
            <w:tcW w:w="4209" w:type="dxa"/>
          </w:tcPr>
          <w:p w14:paraId="6AA85AE9"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p>
        </w:tc>
      </w:tr>
      <w:tr w:rsidR="00F91241" w:rsidRPr="005516CD" w14:paraId="2FDA8101" w14:textId="77777777" w:rsidTr="000A6F69">
        <w:tc>
          <w:tcPr>
            <w:tcW w:w="3261" w:type="dxa"/>
            <w:vMerge/>
            <w:shd w:val="clear" w:color="auto" w:fill="FFFFFF"/>
          </w:tcPr>
          <w:p w14:paraId="47650BB8"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sz w:val="18"/>
                <w:szCs w:val="18"/>
                <w:bdr w:val="nil"/>
              </w:rPr>
            </w:pPr>
          </w:p>
        </w:tc>
        <w:tc>
          <w:tcPr>
            <w:tcW w:w="4592" w:type="dxa"/>
            <w:shd w:val="clear" w:color="auto" w:fill="auto"/>
          </w:tcPr>
          <w:p w14:paraId="0A7F5B0D"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i/>
                <w:sz w:val="18"/>
                <w:szCs w:val="18"/>
                <w:bdr w:val="nil"/>
              </w:rPr>
            </w:pPr>
            <w:r w:rsidRPr="005516CD">
              <w:rPr>
                <w:rFonts w:ascii="Calibri" w:eastAsia="Helvetica" w:hAnsi="Calibri" w:cs="Calibri"/>
                <w:i/>
                <w:sz w:val="18"/>
                <w:szCs w:val="18"/>
                <w:bdr w:val="nil"/>
              </w:rPr>
              <w:t>Principle 2: Gender Equality and Women’s Empowerment</w:t>
            </w:r>
          </w:p>
        </w:tc>
        <w:tc>
          <w:tcPr>
            <w:tcW w:w="1078" w:type="dxa"/>
            <w:vAlign w:val="center"/>
          </w:tcPr>
          <w:p w14:paraId="52D4C6F5"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Calibri" w:eastAsia="Helvetica" w:hAnsi="Calibri" w:cs="Calibri"/>
                <w:szCs w:val="20"/>
                <w:bdr w:val="nil"/>
              </w:rPr>
              <w:t>X</w:t>
            </w:r>
          </w:p>
        </w:tc>
        <w:tc>
          <w:tcPr>
            <w:tcW w:w="4209" w:type="dxa"/>
          </w:tcPr>
          <w:p w14:paraId="47E1788C"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Calibri" w:eastAsia="Helvetica" w:hAnsi="Calibri" w:cs="Calibri"/>
                <w:sz w:val="18"/>
                <w:szCs w:val="18"/>
                <w:bdr w:val="nil"/>
              </w:rPr>
              <w:t>Gender Assessment and Action Plan was carried out during the PPG phase and has been attached as an Annex.</w:t>
            </w:r>
          </w:p>
        </w:tc>
      </w:tr>
      <w:tr w:rsidR="00F91241" w:rsidRPr="005516CD" w14:paraId="0B53BE3D" w14:textId="77777777" w:rsidTr="000A6F69">
        <w:tc>
          <w:tcPr>
            <w:tcW w:w="3261" w:type="dxa"/>
            <w:vMerge/>
            <w:shd w:val="clear" w:color="auto" w:fill="FFFFFF"/>
          </w:tcPr>
          <w:p w14:paraId="6C93DDA6"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sz w:val="18"/>
                <w:szCs w:val="18"/>
                <w:bdr w:val="nil"/>
              </w:rPr>
            </w:pPr>
          </w:p>
        </w:tc>
        <w:tc>
          <w:tcPr>
            <w:tcW w:w="4592" w:type="dxa"/>
            <w:shd w:val="clear" w:color="auto" w:fill="auto"/>
          </w:tcPr>
          <w:p w14:paraId="7FAB24C8"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i/>
                <w:sz w:val="18"/>
                <w:szCs w:val="18"/>
                <w:bdr w:val="nil"/>
              </w:rPr>
            </w:pPr>
            <w:r w:rsidRPr="005516CD">
              <w:rPr>
                <w:rFonts w:ascii="Calibri" w:eastAsia="Helvetica" w:hAnsi="Calibri" w:cs="Calibri"/>
                <w:i/>
                <w:sz w:val="18"/>
                <w:szCs w:val="18"/>
                <w:bdr w:val="nil"/>
              </w:rPr>
              <w:t>1.</w:t>
            </w:r>
            <w:r w:rsidRPr="005516CD">
              <w:rPr>
                <w:rFonts w:ascii="Calibri" w:eastAsia="Helvetica" w:hAnsi="Calibri" w:cs="Calibri"/>
                <w:i/>
                <w:sz w:val="18"/>
                <w:szCs w:val="18"/>
                <w:bdr w:val="nil"/>
              </w:rPr>
              <w:tab/>
              <w:t>Biodiversity Conservation and Natural Resource Management</w:t>
            </w:r>
          </w:p>
        </w:tc>
        <w:tc>
          <w:tcPr>
            <w:tcW w:w="1078" w:type="dxa"/>
            <w:vAlign w:val="center"/>
          </w:tcPr>
          <w:p w14:paraId="63AF1A0B"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Calibri" w:eastAsia="Helvetica" w:hAnsi="Calibri" w:cs="Calibri"/>
                <w:szCs w:val="20"/>
                <w:bdr w:val="nil"/>
              </w:rPr>
              <w:t>X</w:t>
            </w:r>
          </w:p>
        </w:tc>
        <w:tc>
          <w:tcPr>
            <w:tcW w:w="4209" w:type="dxa"/>
          </w:tcPr>
          <w:p w14:paraId="4F870EE8"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Calibri" w:eastAsia="Helvetica" w:hAnsi="Calibri" w:cs="Calibri"/>
                <w:sz w:val="18"/>
                <w:szCs w:val="18"/>
                <w:bdr w:val="nil"/>
              </w:rPr>
              <w:t>There is a slight possibility of increased wet milling of coffee with the expansion of coffee agriculture, which may have an adverse impact on watercourses. Dry processing, which accounts for &lt;90% production in Haiti is expected to predominate.</w:t>
            </w:r>
          </w:p>
        </w:tc>
      </w:tr>
      <w:tr w:rsidR="00F91241" w:rsidRPr="005516CD" w14:paraId="4C1FC213" w14:textId="77777777" w:rsidTr="000A6F69">
        <w:tc>
          <w:tcPr>
            <w:tcW w:w="3261" w:type="dxa"/>
            <w:vMerge/>
            <w:shd w:val="clear" w:color="auto" w:fill="FFFFFF"/>
          </w:tcPr>
          <w:p w14:paraId="26B5E97A"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sz w:val="18"/>
                <w:szCs w:val="18"/>
                <w:bdr w:val="nil"/>
              </w:rPr>
            </w:pPr>
          </w:p>
        </w:tc>
        <w:tc>
          <w:tcPr>
            <w:tcW w:w="4592" w:type="dxa"/>
            <w:shd w:val="clear" w:color="auto" w:fill="auto"/>
          </w:tcPr>
          <w:p w14:paraId="2BCAB374"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i/>
                <w:sz w:val="18"/>
                <w:szCs w:val="18"/>
                <w:bdr w:val="nil"/>
              </w:rPr>
            </w:pPr>
            <w:r w:rsidRPr="005516CD">
              <w:rPr>
                <w:rFonts w:ascii="Calibri" w:eastAsia="Helvetica" w:hAnsi="Calibri" w:cs="Calibri"/>
                <w:i/>
                <w:sz w:val="18"/>
                <w:szCs w:val="18"/>
                <w:bdr w:val="nil"/>
              </w:rPr>
              <w:t>2.</w:t>
            </w:r>
            <w:r w:rsidRPr="005516CD">
              <w:rPr>
                <w:rFonts w:ascii="Calibri" w:eastAsia="Helvetica" w:hAnsi="Calibri" w:cs="Calibri"/>
                <w:i/>
                <w:sz w:val="18"/>
                <w:szCs w:val="18"/>
                <w:bdr w:val="nil"/>
              </w:rPr>
              <w:tab/>
              <w:t>Climate Change Mitigation and Adaptation</w:t>
            </w:r>
          </w:p>
        </w:tc>
        <w:tc>
          <w:tcPr>
            <w:tcW w:w="1078" w:type="dxa"/>
            <w:vAlign w:val="center"/>
          </w:tcPr>
          <w:p w14:paraId="1A534395"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Calibri" w:eastAsia="Helvetica" w:hAnsi="Calibri" w:cs="Calibri"/>
                <w:szCs w:val="20"/>
                <w:bdr w:val="nil"/>
              </w:rPr>
              <w:t>X</w:t>
            </w:r>
          </w:p>
        </w:tc>
        <w:tc>
          <w:tcPr>
            <w:tcW w:w="4209" w:type="dxa"/>
          </w:tcPr>
          <w:p w14:paraId="075467D3"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Calibri" w:eastAsia="Helvetica" w:hAnsi="Calibri" w:cs="Calibri"/>
                <w:sz w:val="18"/>
                <w:szCs w:val="18"/>
                <w:bdr w:val="nil"/>
              </w:rPr>
              <w:t>The project increases climate change resilience and climate resilient agricultural production systems are promoted in project design. Regardless, due to the extreme vulnerability of Haiti to climate change impacts, this remains moderate.</w:t>
            </w:r>
          </w:p>
        </w:tc>
      </w:tr>
      <w:tr w:rsidR="00F91241" w:rsidRPr="005516CD" w14:paraId="2BB3F246" w14:textId="77777777" w:rsidTr="000A6F69">
        <w:tc>
          <w:tcPr>
            <w:tcW w:w="3261" w:type="dxa"/>
            <w:vMerge/>
            <w:shd w:val="clear" w:color="auto" w:fill="FFFFFF"/>
          </w:tcPr>
          <w:p w14:paraId="7965241F"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sz w:val="18"/>
                <w:szCs w:val="18"/>
                <w:bdr w:val="nil"/>
              </w:rPr>
            </w:pPr>
          </w:p>
        </w:tc>
        <w:tc>
          <w:tcPr>
            <w:tcW w:w="4592" w:type="dxa"/>
            <w:shd w:val="clear" w:color="auto" w:fill="auto"/>
          </w:tcPr>
          <w:p w14:paraId="3827B592"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i/>
                <w:sz w:val="18"/>
                <w:szCs w:val="18"/>
                <w:bdr w:val="nil"/>
              </w:rPr>
            </w:pPr>
            <w:r w:rsidRPr="005516CD">
              <w:rPr>
                <w:rFonts w:ascii="Calibri" w:eastAsia="Helvetica" w:hAnsi="Calibri" w:cs="Calibri"/>
                <w:i/>
                <w:sz w:val="18"/>
                <w:szCs w:val="18"/>
                <w:bdr w:val="nil"/>
              </w:rPr>
              <w:t>3.</w:t>
            </w:r>
            <w:r w:rsidRPr="005516CD">
              <w:rPr>
                <w:rFonts w:ascii="Calibri" w:eastAsia="Helvetica" w:hAnsi="Calibri" w:cs="Calibri"/>
                <w:i/>
                <w:sz w:val="18"/>
                <w:szCs w:val="18"/>
                <w:bdr w:val="nil"/>
              </w:rPr>
              <w:tab/>
              <w:t>Community Health, Safety and Working Conditions</w:t>
            </w:r>
          </w:p>
        </w:tc>
        <w:tc>
          <w:tcPr>
            <w:tcW w:w="1078" w:type="dxa"/>
            <w:vAlign w:val="center"/>
          </w:tcPr>
          <w:p w14:paraId="666D62B3"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Calibri" w:eastAsia="Helvetica" w:hAnsi="Calibri" w:cs="Calibri"/>
                <w:szCs w:val="20"/>
                <w:bdr w:val="nil"/>
              </w:rPr>
              <w:t>X</w:t>
            </w:r>
          </w:p>
        </w:tc>
        <w:tc>
          <w:tcPr>
            <w:tcW w:w="4209" w:type="dxa"/>
          </w:tcPr>
          <w:p w14:paraId="0D7063DE"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Calibri" w:eastAsia="Helvetica" w:hAnsi="Calibri" w:cs="Calibri"/>
                <w:sz w:val="18"/>
                <w:szCs w:val="18"/>
                <w:bdr w:val="nil"/>
              </w:rPr>
              <w:t xml:space="preserve">The risk of child labour has been deemed low in the value chains supported by the project, but the risk will be re-validated in the inception phase of the project. </w:t>
            </w:r>
          </w:p>
        </w:tc>
      </w:tr>
      <w:tr w:rsidR="00F91241" w:rsidRPr="005516CD" w14:paraId="7F12CFB2" w14:textId="77777777" w:rsidTr="000A6F69">
        <w:tc>
          <w:tcPr>
            <w:tcW w:w="3261" w:type="dxa"/>
            <w:vMerge/>
            <w:shd w:val="clear" w:color="auto" w:fill="FFFFFF"/>
          </w:tcPr>
          <w:p w14:paraId="31622ADE"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sz w:val="18"/>
                <w:szCs w:val="18"/>
                <w:bdr w:val="nil"/>
              </w:rPr>
            </w:pPr>
          </w:p>
        </w:tc>
        <w:tc>
          <w:tcPr>
            <w:tcW w:w="4592" w:type="dxa"/>
            <w:shd w:val="clear" w:color="auto" w:fill="auto"/>
          </w:tcPr>
          <w:p w14:paraId="1E134C69"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i/>
                <w:sz w:val="18"/>
                <w:szCs w:val="18"/>
                <w:bdr w:val="nil"/>
              </w:rPr>
            </w:pPr>
            <w:r w:rsidRPr="005516CD">
              <w:rPr>
                <w:rFonts w:ascii="Calibri" w:eastAsia="Helvetica" w:hAnsi="Calibri" w:cs="Calibri"/>
                <w:i/>
                <w:sz w:val="18"/>
                <w:szCs w:val="18"/>
                <w:bdr w:val="nil"/>
              </w:rPr>
              <w:t>4.</w:t>
            </w:r>
            <w:r w:rsidRPr="005516CD">
              <w:rPr>
                <w:rFonts w:ascii="Calibri" w:eastAsia="Helvetica" w:hAnsi="Calibri" w:cs="Calibri"/>
                <w:i/>
                <w:sz w:val="18"/>
                <w:szCs w:val="18"/>
                <w:bdr w:val="nil"/>
              </w:rPr>
              <w:tab/>
              <w:t>Cultural Heritage</w:t>
            </w:r>
          </w:p>
        </w:tc>
        <w:tc>
          <w:tcPr>
            <w:tcW w:w="1078" w:type="dxa"/>
            <w:vAlign w:val="center"/>
          </w:tcPr>
          <w:p w14:paraId="65670FBD"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Segoe UI Symbol" w:eastAsia="Helvetica" w:hAnsi="Segoe UI Symbol" w:cs="Segoe UI Symbol"/>
                <w:szCs w:val="20"/>
                <w:bdr w:val="nil"/>
              </w:rPr>
              <w:t>☐</w:t>
            </w:r>
          </w:p>
        </w:tc>
        <w:tc>
          <w:tcPr>
            <w:tcW w:w="4209" w:type="dxa"/>
          </w:tcPr>
          <w:p w14:paraId="3DD3BD52"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p>
        </w:tc>
      </w:tr>
      <w:tr w:rsidR="00F91241" w:rsidRPr="005516CD" w14:paraId="622A6929" w14:textId="77777777" w:rsidTr="000A6F69">
        <w:tc>
          <w:tcPr>
            <w:tcW w:w="3261" w:type="dxa"/>
            <w:vMerge/>
            <w:shd w:val="clear" w:color="auto" w:fill="FFFFFF"/>
          </w:tcPr>
          <w:p w14:paraId="0FB6E8DC"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sz w:val="18"/>
                <w:szCs w:val="18"/>
                <w:bdr w:val="nil"/>
              </w:rPr>
            </w:pPr>
          </w:p>
        </w:tc>
        <w:tc>
          <w:tcPr>
            <w:tcW w:w="4592" w:type="dxa"/>
            <w:shd w:val="clear" w:color="auto" w:fill="auto"/>
          </w:tcPr>
          <w:p w14:paraId="771009E0"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i/>
                <w:sz w:val="18"/>
                <w:szCs w:val="18"/>
                <w:bdr w:val="nil"/>
              </w:rPr>
            </w:pPr>
            <w:r w:rsidRPr="005516CD">
              <w:rPr>
                <w:rFonts w:ascii="Calibri" w:eastAsia="Helvetica" w:hAnsi="Calibri" w:cs="Calibri"/>
                <w:i/>
                <w:sz w:val="18"/>
                <w:szCs w:val="18"/>
                <w:bdr w:val="nil"/>
              </w:rPr>
              <w:t>5.</w:t>
            </w:r>
            <w:r w:rsidRPr="005516CD">
              <w:rPr>
                <w:rFonts w:ascii="Calibri" w:eastAsia="Helvetica" w:hAnsi="Calibri" w:cs="Calibri"/>
                <w:i/>
                <w:sz w:val="18"/>
                <w:szCs w:val="18"/>
                <w:bdr w:val="nil"/>
              </w:rPr>
              <w:tab/>
              <w:t>Displacement and Resettlement</w:t>
            </w:r>
          </w:p>
        </w:tc>
        <w:tc>
          <w:tcPr>
            <w:tcW w:w="1078" w:type="dxa"/>
            <w:vAlign w:val="center"/>
          </w:tcPr>
          <w:p w14:paraId="3D57BAEE"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Segoe UI Symbol" w:eastAsia="Helvetica" w:hAnsi="Segoe UI Symbol" w:cs="Segoe UI Symbol"/>
                <w:szCs w:val="20"/>
                <w:bdr w:val="nil"/>
              </w:rPr>
              <w:t>☐</w:t>
            </w:r>
          </w:p>
        </w:tc>
        <w:tc>
          <w:tcPr>
            <w:tcW w:w="4209" w:type="dxa"/>
          </w:tcPr>
          <w:p w14:paraId="69AB0D4E"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p>
        </w:tc>
      </w:tr>
      <w:tr w:rsidR="00F91241" w:rsidRPr="005516CD" w14:paraId="3FEDBEB2" w14:textId="77777777" w:rsidTr="000A6F69">
        <w:tc>
          <w:tcPr>
            <w:tcW w:w="3261" w:type="dxa"/>
            <w:vMerge/>
            <w:shd w:val="clear" w:color="auto" w:fill="FFFFFF"/>
          </w:tcPr>
          <w:p w14:paraId="10114574"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sz w:val="18"/>
                <w:szCs w:val="18"/>
                <w:bdr w:val="nil"/>
              </w:rPr>
            </w:pPr>
          </w:p>
        </w:tc>
        <w:tc>
          <w:tcPr>
            <w:tcW w:w="4592" w:type="dxa"/>
            <w:shd w:val="clear" w:color="auto" w:fill="auto"/>
          </w:tcPr>
          <w:p w14:paraId="01A23AC7"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i/>
                <w:sz w:val="18"/>
                <w:szCs w:val="18"/>
                <w:bdr w:val="nil"/>
              </w:rPr>
            </w:pPr>
            <w:r w:rsidRPr="005516CD">
              <w:rPr>
                <w:rFonts w:ascii="Calibri" w:eastAsia="Helvetica" w:hAnsi="Calibri" w:cs="Calibri"/>
                <w:i/>
                <w:sz w:val="18"/>
                <w:szCs w:val="18"/>
                <w:bdr w:val="nil"/>
              </w:rPr>
              <w:t>6.</w:t>
            </w:r>
            <w:r w:rsidRPr="005516CD">
              <w:rPr>
                <w:rFonts w:ascii="Calibri" w:eastAsia="Helvetica" w:hAnsi="Calibri" w:cs="Calibri"/>
                <w:i/>
                <w:sz w:val="18"/>
                <w:szCs w:val="18"/>
                <w:bdr w:val="nil"/>
              </w:rPr>
              <w:tab/>
              <w:t>Indigenous Peoples</w:t>
            </w:r>
          </w:p>
        </w:tc>
        <w:tc>
          <w:tcPr>
            <w:tcW w:w="1078" w:type="dxa"/>
            <w:vAlign w:val="center"/>
          </w:tcPr>
          <w:p w14:paraId="47B58A48"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Segoe UI Symbol" w:eastAsia="Helvetica" w:hAnsi="Segoe UI Symbol" w:cs="Segoe UI Symbol"/>
                <w:szCs w:val="20"/>
                <w:bdr w:val="nil"/>
              </w:rPr>
              <w:t>☐</w:t>
            </w:r>
          </w:p>
        </w:tc>
        <w:tc>
          <w:tcPr>
            <w:tcW w:w="4209" w:type="dxa"/>
          </w:tcPr>
          <w:p w14:paraId="1A86C985"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p>
        </w:tc>
      </w:tr>
      <w:tr w:rsidR="00F91241" w:rsidRPr="005516CD" w14:paraId="3343D218" w14:textId="77777777" w:rsidTr="000A6F69">
        <w:tc>
          <w:tcPr>
            <w:tcW w:w="3261" w:type="dxa"/>
            <w:vMerge/>
            <w:shd w:val="clear" w:color="auto" w:fill="FFFFFF"/>
          </w:tcPr>
          <w:p w14:paraId="1EB9822A" w14:textId="77777777" w:rsidR="00F91241" w:rsidRPr="005516CD" w:rsidRDefault="00F91241" w:rsidP="00F91241">
            <w:pPr>
              <w:pBdr>
                <w:top w:val="nil"/>
                <w:left w:val="nil"/>
                <w:bottom w:val="nil"/>
                <w:right w:val="nil"/>
                <w:between w:val="nil"/>
                <w:bar w:val="nil"/>
              </w:pBdr>
              <w:tabs>
                <w:tab w:val="left" w:pos="270"/>
              </w:tabs>
              <w:ind w:left="270" w:hanging="270"/>
              <w:rPr>
                <w:rFonts w:ascii="Calibri" w:eastAsia="Helvetica" w:hAnsi="Calibri" w:cs="Calibri"/>
                <w:sz w:val="18"/>
                <w:szCs w:val="18"/>
                <w:bdr w:val="nil"/>
              </w:rPr>
            </w:pPr>
          </w:p>
        </w:tc>
        <w:tc>
          <w:tcPr>
            <w:tcW w:w="4592" w:type="dxa"/>
            <w:shd w:val="clear" w:color="auto" w:fill="auto"/>
          </w:tcPr>
          <w:p w14:paraId="4DC35462" w14:textId="77777777" w:rsidR="00F91241" w:rsidRPr="005516CD" w:rsidRDefault="00F91241" w:rsidP="00F91241">
            <w:pPr>
              <w:pBdr>
                <w:top w:val="nil"/>
                <w:left w:val="nil"/>
                <w:bottom w:val="nil"/>
                <w:right w:val="nil"/>
                <w:between w:val="nil"/>
                <w:bar w:val="nil"/>
              </w:pBdr>
              <w:spacing w:line="288" w:lineRule="auto"/>
              <w:rPr>
                <w:rFonts w:ascii="Calibri" w:eastAsia="Times" w:hAnsi="Calibri" w:cs="Calibri"/>
                <w:sz w:val="26"/>
                <w:szCs w:val="20"/>
                <w:bdr w:val="nil"/>
                <w:lang w:eastAsia="ja-JP"/>
              </w:rPr>
            </w:pPr>
            <w:r w:rsidRPr="005516CD">
              <w:rPr>
                <w:rFonts w:ascii="Calibri" w:eastAsia="Helvetica" w:hAnsi="Calibri" w:cs="Calibri"/>
                <w:i/>
                <w:sz w:val="18"/>
                <w:szCs w:val="18"/>
                <w:bdr w:val="nil"/>
                <w:lang w:eastAsia="ja-JP"/>
              </w:rPr>
              <w:t>7.Pollution Prevention and Resource Efficiency</w:t>
            </w:r>
          </w:p>
        </w:tc>
        <w:tc>
          <w:tcPr>
            <w:tcW w:w="1078" w:type="dxa"/>
            <w:vAlign w:val="center"/>
          </w:tcPr>
          <w:p w14:paraId="5989063F"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Calibri" w:eastAsia="Helvetica" w:hAnsi="Calibri" w:cs="Calibri"/>
                <w:szCs w:val="20"/>
                <w:bdr w:val="nil"/>
              </w:rPr>
              <w:t>X</w:t>
            </w:r>
          </w:p>
        </w:tc>
        <w:tc>
          <w:tcPr>
            <w:tcW w:w="4209" w:type="dxa"/>
          </w:tcPr>
          <w:p w14:paraId="78C18622" w14:textId="77777777" w:rsidR="00F91241" w:rsidRPr="005516CD" w:rsidRDefault="00F91241" w:rsidP="00F91241">
            <w:pPr>
              <w:pBdr>
                <w:top w:val="nil"/>
                <w:left w:val="nil"/>
                <w:bottom w:val="nil"/>
                <w:right w:val="nil"/>
                <w:between w:val="nil"/>
                <w:bar w:val="nil"/>
              </w:pBdr>
              <w:tabs>
                <w:tab w:val="left" w:pos="360"/>
              </w:tabs>
              <w:rPr>
                <w:rFonts w:ascii="Calibri" w:eastAsia="Helvetica" w:hAnsi="Calibri" w:cs="Calibri"/>
                <w:sz w:val="18"/>
                <w:szCs w:val="18"/>
                <w:bdr w:val="nil"/>
              </w:rPr>
            </w:pPr>
            <w:r w:rsidRPr="005516CD">
              <w:rPr>
                <w:rFonts w:ascii="Calibri" w:eastAsia="Helvetica" w:hAnsi="Calibri" w:cs="Calibri"/>
                <w:sz w:val="18"/>
                <w:szCs w:val="18"/>
                <w:bdr w:val="nil"/>
              </w:rPr>
              <w:t>Although coffee processing is overwhelming natural in Haiti, the possibility of wet milling will be verified in the inception phase of the project.</w:t>
            </w:r>
          </w:p>
        </w:tc>
      </w:tr>
    </w:tbl>
    <w:p w14:paraId="4BDFB36B" w14:textId="77777777" w:rsidR="00F91241" w:rsidRPr="005516CD" w:rsidRDefault="00F91241" w:rsidP="00F91241">
      <w:pPr>
        <w:tabs>
          <w:tab w:val="left" w:pos="360"/>
        </w:tabs>
        <w:rPr>
          <w:rFonts w:ascii="Calibri" w:eastAsia="Helvetica" w:hAnsi="Calibri" w:cs="Calibri"/>
          <w:b/>
          <w:i/>
          <w:sz w:val="18"/>
          <w:szCs w:val="18"/>
        </w:rPr>
      </w:pPr>
    </w:p>
    <w:p w14:paraId="5FF2DB66" w14:textId="77777777" w:rsidR="00D1197C" w:rsidRPr="005516CD" w:rsidRDefault="00D1197C">
      <w:pPr>
        <w:pBdr>
          <w:top w:val="nil"/>
          <w:left w:val="nil"/>
          <w:bottom w:val="nil"/>
          <w:right w:val="nil"/>
          <w:between w:val="nil"/>
          <w:bar w:val="nil"/>
        </w:pBdr>
        <w:rPr>
          <w:rFonts w:ascii="Calibri" w:eastAsia="Helvetica" w:hAnsi="Calibri" w:cs="Calibri"/>
          <w:b/>
          <w:color w:val="5B9BD5"/>
        </w:rPr>
      </w:pPr>
      <w:r w:rsidRPr="005516CD">
        <w:rPr>
          <w:rFonts w:ascii="Calibri" w:eastAsia="Helvetica" w:hAnsi="Calibri" w:cs="Calibri"/>
          <w:b/>
          <w:color w:val="5B9BD5"/>
        </w:rPr>
        <w:br w:type="page"/>
      </w:r>
    </w:p>
    <w:p w14:paraId="02D7B57F" w14:textId="77777777" w:rsidR="00F91241" w:rsidRPr="005516CD" w:rsidRDefault="00F91241" w:rsidP="00FB5829">
      <w:pPr>
        <w:keepNext/>
        <w:spacing w:before="200"/>
        <w:ind w:left="357"/>
        <w:rPr>
          <w:rFonts w:ascii="Calibri" w:eastAsia="Helvetica" w:hAnsi="Calibri" w:cs="Calibri"/>
          <w:b/>
          <w:color w:val="5B9BD5"/>
        </w:rPr>
      </w:pPr>
      <w:r w:rsidRPr="005516CD">
        <w:rPr>
          <w:rFonts w:ascii="Calibri" w:eastAsia="Helvetica" w:hAnsi="Calibri" w:cs="Calibri"/>
          <w:b/>
          <w:color w:val="5B9BD5"/>
        </w:rPr>
        <w:t xml:space="preserve">Final Sign Off </w:t>
      </w:r>
    </w:p>
    <w:tbl>
      <w:tblPr>
        <w:tblStyle w:val="TableGrid4"/>
        <w:tblW w:w="0" w:type="auto"/>
        <w:tblLook w:val="04A0" w:firstRow="1" w:lastRow="0" w:firstColumn="1" w:lastColumn="0" w:noHBand="0" w:noVBand="1"/>
      </w:tblPr>
      <w:tblGrid>
        <w:gridCol w:w="2875"/>
        <w:gridCol w:w="1350"/>
        <w:gridCol w:w="8725"/>
      </w:tblGrid>
      <w:tr w:rsidR="00F91241" w:rsidRPr="005516CD" w14:paraId="23BA87AA" w14:textId="77777777" w:rsidTr="000A6F69">
        <w:tc>
          <w:tcPr>
            <w:tcW w:w="2875" w:type="dxa"/>
            <w:shd w:val="clear" w:color="auto" w:fill="EDEDED"/>
          </w:tcPr>
          <w:p w14:paraId="285A69A8"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i/>
                <w:sz w:val="20"/>
                <w:szCs w:val="20"/>
                <w:bdr w:val="nil"/>
              </w:rPr>
            </w:pPr>
            <w:r w:rsidRPr="005516CD">
              <w:rPr>
                <w:rFonts w:ascii="Calibri" w:eastAsia="Helvetica" w:hAnsi="Calibri" w:cs="Calibri"/>
                <w:i/>
                <w:sz w:val="20"/>
                <w:szCs w:val="20"/>
                <w:bdr w:val="nil"/>
              </w:rPr>
              <w:t>Signature</w:t>
            </w:r>
          </w:p>
        </w:tc>
        <w:tc>
          <w:tcPr>
            <w:tcW w:w="1350" w:type="dxa"/>
            <w:shd w:val="clear" w:color="auto" w:fill="EDEDED"/>
          </w:tcPr>
          <w:p w14:paraId="2F94256E"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i/>
                <w:sz w:val="20"/>
                <w:szCs w:val="20"/>
                <w:bdr w:val="nil"/>
              </w:rPr>
            </w:pPr>
            <w:r w:rsidRPr="005516CD">
              <w:rPr>
                <w:rFonts w:ascii="Calibri" w:eastAsia="Helvetica" w:hAnsi="Calibri" w:cs="Calibri"/>
                <w:i/>
                <w:sz w:val="20"/>
                <w:szCs w:val="20"/>
                <w:bdr w:val="nil"/>
              </w:rPr>
              <w:t>Date</w:t>
            </w:r>
          </w:p>
        </w:tc>
        <w:tc>
          <w:tcPr>
            <w:tcW w:w="8725" w:type="dxa"/>
            <w:shd w:val="clear" w:color="auto" w:fill="EDEDED"/>
          </w:tcPr>
          <w:p w14:paraId="616CBDCF"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i/>
                <w:sz w:val="20"/>
                <w:szCs w:val="20"/>
                <w:bdr w:val="nil"/>
              </w:rPr>
            </w:pPr>
            <w:r w:rsidRPr="005516CD">
              <w:rPr>
                <w:rFonts w:ascii="Calibri" w:eastAsia="Helvetica" w:hAnsi="Calibri" w:cs="Calibri"/>
                <w:i/>
                <w:sz w:val="20"/>
                <w:szCs w:val="20"/>
                <w:bdr w:val="nil"/>
              </w:rPr>
              <w:t>Description</w:t>
            </w:r>
          </w:p>
        </w:tc>
      </w:tr>
      <w:tr w:rsidR="00F91241" w:rsidRPr="005516CD" w14:paraId="2D753005" w14:textId="77777777" w:rsidTr="000A6F69">
        <w:trPr>
          <w:trHeight w:val="629"/>
        </w:trPr>
        <w:tc>
          <w:tcPr>
            <w:tcW w:w="2875" w:type="dxa"/>
          </w:tcPr>
          <w:p w14:paraId="45F359F4"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sz w:val="20"/>
                <w:szCs w:val="20"/>
                <w:bdr w:val="nil"/>
              </w:rPr>
            </w:pPr>
            <w:r w:rsidRPr="005516CD">
              <w:rPr>
                <w:rFonts w:ascii="Calibri" w:eastAsia="Helvetica" w:hAnsi="Calibri" w:cs="Calibri"/>
                <w:sz w:val="20"/>
                <w:szCs w:val="20"/>
                <w:bdr w:val="nil"/>
              </w:rPr>
              <w:t>QA Assessor</w:t>
            </w:r>
          </w:p>
        </w:tc>
        <w:tc>
          <w:tcPr>
            <w:tcW w:w="1350" w:type="dxa"/>
          </w:tcPr>
          <w:p w14:paraId="23CEAD46"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sz w:val="20"/>
                <w:szCs w:val="20"/>
                <w:bdr w:val="nil"/>
              </w:rPr>
            </w:pPr>
          </w:p>
        </w:tc>
        <w:tc>
          <w:tcPr>
            <w:tcW w:w="8725" w:type="dxa"/>
          </w:tcPr>
          <w:p w14:paraId="4ADA22C8" w14:textId="77777777" w:rsidR="00F91241" w:rsidRPr="005516CD" w:rsidRDefault="00F91241" w:rsidP="00F91241">
            <w:pPr>
              <w:pBdr>
                <w:top w:val="nil"/>
                <w:left w:val="nil"/>
                <w:bottom w:val="nil"/>
                <w:right w:val="nil"/>
                <w:between w:val="nil"/>
                <w:bar w:val="nil"/>
              </w:pBdr>
              <w:spacing w:line="264" w:lineRule="auto"/>
              <w:rPr>
                <w:rFonts w:ascii="Calibri" w:eastAsia="Calibri" w:hAnsi="Calibri" w:cs="Calibri"/>
                <w:sz w:val="20"/>
                <w:szCs w:val="20"/>
                <w:bdr w:val="nil"/>
              </w:rPr>
            </w:pPr>
            <w:r w:rsidRPr="005516CD">
              <w:rPr>
                <w:rFonts w:ascii="Calibri" w:eastAsia="Calibri" w:hAnsi="Calibri" w:cs="Calibri"/>
                <w:sz w:val="20"/>
                <w:szCs w:val="20"/>
                <w:bdr w:val="nil"/>
              </w:rPr>
              <w:t>UNDP staff member responsible for the Project, typically a UNDP Programme Officer. Final signature confirms they have “checked” to ensure that the SESP is adequately conducted.</w:t>
            </w:r>
          </w:p>
        </w:tc>
      </w:tr>
      <w:tr w:rsidR="00F91241" w:rsidRPr="005516CD" w14:paraId="50CC45CC" w14:textId="77777777" w:rsidTr="000A6F69">
        <w:tc>
          <w:tcPr>
            <w:tcW w:w="2875" w:type="dxa"/>
          </w:tcPr>
          <w:p w14:paraId="03BFEFBC"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sz w:val="20"/>
                <w:szCs w:val="20"/>
                <w:bdr w:val="nil"/>
              </w:rPr>
            </w:pPr>
            <w:r w:rsidRPr="005516CD">
              <w:rPr>
                <w:rFonts w:ascii="Calibri" w:eastAsia="Helvetica" w:hAnsi="Calibri" w:cs="Calibri"/>
                <w:sz w:val="20"/>
                <w:szCs w:val="20"/>
                <w:bdr w:val="nil"/>
              </w:rPr>
              <w:t>QA Approver</w:t>
            </w:r>
          </w:p>
        </w:tc>
        <w:tc>
          <w:tcPr>
            <w:tcW w:w="1350" w:type="dxa"/>
          </w:tcPr>
          <w:p w14:paraId="755CB072"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sz w:val="20"/>
                <w:szCs w:val="20"/>
                <w:bdr w:val="nil"/>
              </w:rPr>
            </w:pPr>
          </w:p>
        </w:tc>
        <w:tc>
          <w:tcPr>
            <w:tcW w:w="8725" w:type="dxa"/>
          </w:tcPr>
          <w:p w14:paraId="7FEA0B9B"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sz w:val="20"/>
                <w:szCs w:val="20"/>
                <w:bdr w:val="nil"/>
              </w:rPr>
            </w:pPr>
            <w:r w:rsidRPr="005516CD">
              <w:rPr>
                <w:rFonts w:ascii="Calibri" w:eastAsia="Helvetica" w:hAnsi="Calibri" w:cs="Calibri"/>
                <w:sz w:val="20"/>
                <w:szCs w:val="20"/>
                <w:bdr w:val="nil"/>
              </w:rPr>
              <w:t>UNDP senior manager, typically the UNDP Deputy Country Director (DCD), Country Director (CD), Deputy Resident Representative (DRR), or Resident Representative (RR). The QA Approver cannot also be the QA Assessor. Final signature confirms they have “cleared” the SESP prior to submittal to the Project Approval Committee (PAC).</w:t>
            </w:r>
          </w:p>
        </w:tc>
      </w:tr>
      <w:tr w:rsidR="00F91241" w:rsidRPr="005516CD" w14:paraId="3E69405E" w14:textId="77777777" w:rsidTr="000A6F69">
        <w:tc>
          <w:tcPr>
            <w:tcW w:w="2875" w:type="dxa"/>
          </w:tcPr>
          <w:p w14:paraId="479E9321"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sz w:val="20"/>
                <w:szCs w:val="20"/>
                <w:bdr w:val="nil"/>
              </w:rPr>
            </w:pPr>
            <w:r w:rsidRPr="005516CD">
              <w:rPr>
                <w:rFonts w:ascii="Calibri" w:eastAsia="Helvetica" w:hAnsi="Calibri" w:cs="Calibri"/>
                <w:sz w:val="20"/>
                <w:szCs w:val="20"/>
                <w:bdr w:val="nil"/>
              </w:rPr>
              <w:t>PAC Chair</w:t>
            </w:r>
          </w:p>
        </w:tc>
        <w:tc>
          <w:tcPr>
            <w:tcW w:w="1350" w:type="dxa"/>
          </w:tcPr>
          <w:p w14:paraId="297F21AC"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sz w:val="20"/>
                <w:szCs w:val="20"/>
                <w:bdr w:val="nil"/>
              </w:rPr>
            </w:pPr>
          </w:p>
        </w:tc>
        <w:tc>
          <w:tcPr>
            <w:tcW w:w="8725" w:type="dxa"/>
          </w:tcPr>
          <w:p w14:paraId="0D3B7E4E" w14:textId="77777777" w:rsidR="00F91241" w:rsidRPr="005516CD" w:rsidRDefault="00F91241" w:rsidP="00F91241">
            <w:pPr>
              <w:pBdr>
                <w:top w:val="nil"/>
                <w:left w:val="nil"/>
                <w:bottom w:val="nil"/>
                <w:right w:val="nil"/>
                <w:between w:val="nil"/>
                <w:bar w:val="nil"/>
              </w:pBdr>
              <w:tabs>
                <w:tab w:val="left" w:pos="360"/>
                <w:tab w:val="left" w:pos="4320"/>
              </w:tabs>
              <w:rPr>
                <w:rFonts w:ascii="Calibri" w:eastAsia="Helvetica" w:hAnsi="Calibri" w:cs="Calibri"/>
                <w:sz w:val="20"/>
                <w:szCs w:val="20"/>
                <w:bdr w:val="nil"/>
              </w:rPr>
            </w:pPr>
            <w:r w:rsidRPr="005516CD">
              <w:rPr>
                <w:rFonts w:ascii="Calibri" w:eastAsia="Helvetica" w:hAnsi="Calibri" w:cs="Calibri"/>
                <w:sz w:val="20"/>
                <w:szCs w:val="20"/>
                <w:bdr w:val="nil"/>
              </w:rPr>
              <w:t xml:space="preserve">UNDP chair of the PAC.  In some </w:t>
            </w:r>
            <w:proofErr w:type="gramStart"/>
            <w:r w:rsidRPr="005516CD">
              <w:rPr>
                <w:rFonts w:ascii="Calibri" w:eastAsia="Helvetica" w:hAnsi="Calibri" w:cs="Calibri"/>
                <w:sz w:val="20"/>
                <w:szCs w:val="20"/>
                <w:bdr w:val="nil"/>
              </w:rPr>
              <w:t>cases</w:t>
            </w:r>
            <w:proofErr w:type="gramEnd"/>
            <w:r w:rsidRPr="005516CD">
              <w:rPr>
                <w:rFonts w:ascii="Calibri" w:eastAsia="Helvetica" w:hAnsi="Calibri" w:cs="Calibri"/>
                <w:sz w:val="20"/>
                <w:szCs w:val="20"/>
                <w:bdr w:val="nil"/>
              </w:rPr>
              <w:t xml:space="preserve"> PAC Chair may also be the QA Approver. Final signature confirms that the SESP was considered as part of the project appraisal and considered in recommendations of the PAC. </w:t>
            </w:r>
          </w:p>
        </w:tc>
      </w:tr>
    </w:tbl>
    <w:p w14:paraId="66D71B4E" w14:textId="77777777" w:rsidR="00F91241" w:rsidRPr="005516CD" w:rsidRDefault="00F91241" w:rsidP="00F91241">
      <w:pPr>
        <w:rPr>
          <w:rFonts w:ascii="Calibri" w:eastAsia="Helvetica" w:hAnsi="Calibri" w:cs="Calibri"/>
        </w:rPr>
        <w:sectPr w:rsidR="00F91241" w:rsidRPr="005516CD" w:rsidSect="000A6F69">
          <w:pgSz w:w="15840" w:h="12240" w:orient="landscape"/>
          <w:pgMar w:top="1440" w:right="1440" w:bottom="1440" w:left="1440" w:header="720" w:footer="720" w:gutter="0"/>
          <w:cols w:space="720"/>
          <w:titlePg/>
          <w:docGrid w:linePitch="360"/>
        </w:sectPr>
      </w:pPr>
    </w:p>
    <w:p w14:paraId="653F7246" w14:textId="77777777" w:rsidR="00F91241" w:rsidRPr="005516CD" w:rsidRDefault="00F91241" w:rsidP="00F91241">
      <w:pPr>
        <w:tabs>
          <w:tab w:val="left" w:pos="810"/>
        </w:tabs>
        <w:rPr>
          <w:rFonts w:ascii="Calibri" w:eastAsia="Helvetica" w:hAnsi="Calibri" w:cs="Calibri"/>
          <w:b/>
          <w:sz w:val="22"/>
          <w:szCs w:val="22"/>
        </w:rPr>
      </w:pPr>
      <w:bookmarkStart w:id="117" w:name="_Toc404528202"/>
      <w:r w:rsidRPr="005516CD">
        <w:rPr>
          <w:rFonts w:ascii="Calibri" w:eastAsia="Helvetica" w:hAnsi="Calibri" w:cs="Calibri"/>
          <w:b/>
          <w:sz w:val="22"/>
          <w:szCs w:val="22"/>
        </w:rPr>
        <w:t>SESP Attachment 1. Social and Environmental Risk Screening Checklist</w:t>
      </w:r>
      <w:bookmarkEnd w:id="117"/>
    </w:p>
    <w:p w14:paraId="4E0FD9B2" w14:textId="77777777" w:rsidR="00F91241" w:rsidRPr="005516CD" w:rsidRDefault="00F91241" w:rsidP="00F91241">
      <w:pPr>
        <w:rPr>
          <w:rFonts w:ascii="Calibri" w:eastAsia="Helvetica" w:hAnsi="Calibri" w:cs="Calibri"/>
          <w:sz w:val="22"/>
          <w:szCs w:val="22"/>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F91241" w:rsidRPr="005516CD" w14:paraId="66870C0C" w14:textId="77777777" w:rsidTr="000A6F69">
        <w:tc>
          <w:tcPr>
            <w:tcW w:w="8635" w:type="dxa"/>
            <w:tcBorders>
              <w:bottom w:val="single" w:sz="4" w:space="0" w:color="auto"/>
            </w:tcBorders>
            <w:shd w:val="clear" w:color="auto" w:fill="DBDBDB"/>
          </w:tcPr>
          <w:p w14:paraId="511F5B94" w14:textId="77777777" w:rsidR="00F91241" w:rsidRPr="005516CD" w:rsidRDefault="00F91241" w:rsidP="00F91241">
            <w:pPr>
              <w:tabs>
                <w:tab w:val="left" w:pos="810"/>
              </w:tabs>
              <w:rPr>
                <w:rFonts w:ascii="Calibri" w:eastAsia="Times New Roman" w:hAnsi="Calibri" w:cs="Calibri"/>
                <w:sz w:val="22"/>
                <w:szCs w:val="22"/>
                <w:u w:val="single"/>
              </w:rPr>
            </w:pPr>
            <w:r w:rsidRPr="005516CD">
              <w:rPr>
                <w:rFonts w:ascii="Calibri" w:eastAsia="Helvetica" w:hAnsi="Calibri" w:cs="Calibri"/>
                <w:b/>
                <w:sz w:val="22"/>
                <w:szCs w:val="22"/>
              </w:rPr>
              <w:t xml:space="preserve">Checklist Potential Social and Environmental </w:t>
            </w:r>
            <w:r w:rsidRPr="005516CD">
              <w:rPr>
                <w:rFonts w:ascii="Calibri" w:eastAsia="Helvetica" w:hAnsi="Calibri" w:cs="Calibri"/>
                <w:b/>
                <w:sz w:val="22"/>
                <w:szCs w:val="22"/>
                <w:u w:val="single"/>
              </w:rPr>
              <w:t>Risks</w:t>
            </w:r>
          </w:p>
        </w:tc>
        <w:tc>
          <w:tcPr>
            <w:tcW w:w="833" w:type="dxa"/>
            <w:tcBorders>
              <w:bottom w:val="single" w:sz="4" w:space="0" w:color="auto"/>
            </w:tcBorders>
            <w:shd w:val="clear" w:color="auto" w:fill="DBDBDB"/>
          </w:tcPr>
          <w:p w14:paraId="3B091568" w14:textId="77777777" w:rsidR="00F91241" w:rsidRPr="005516CD" w:rsidRDefault="00F91241" w:rsidP="00F91241">
            <w:pPr>
              <w:tabs>
                <w:tab w:val="left" w:pos="810"/>
              </w:tabs>
              <w:rPr>
                <w:rFonts w:ascii="Calibri" w:eastAsia="Times New Roman" w:hAnsi="Calibri" w:cs="Calibri"/>
                <w:sz w:val="22"/>
                <w:szCs w:val="22"/>
              </w:rPr>
            </w:pPr>
          </w:p>
        </w:tc>
      </w:tr>
      <w:tr w:rsidR="00F91241" w:rsidRPr="005516CD" w14:paraId="39AAAA56" w14:textId="77777777" w:rsidTr="000A6F69">
        <w:tc>
          <w:tcPr>
            <w:tcW w:w="8635" w:type="dxa"/>
            <w:tcBorders>
              <w:bottom w:val="single" w:sz="4" w:space="0" w:color="auto"/>
            </w:tcBorders>
            <w:shd w:val="clear" w:color="auto" w:fill="DEEAF6"/>
          </w:tcPr>
          <w:p w14:paraId="65E61D52" w14:textId="77777777" w:rsidR="00F91241" w:rsidRPr="005516CD" w:rsidRDefault="00F91241" w:rsidP="00F91241">
            <w:pPr>
              <w:tabs>
                <w:tab w:val="left" w:pos="810"/>
              </w:tabs>
              <w:spacing w:before="120" w:after="120"/>
              <w:rPr>
                <w:rFonts w:ascii="Calibri" w:eastAsia="Helvetica" w:hAnsi="Calibri" w:cs="Calibri"/>
                <w:b/>
                <w:sz w:val="18"/>
                <w:szCs w:val="18"/>
              </w:rPr>
            </w:pPr>
            <w:r w:rsidRPr="005516CD">
              <w:rPr>
                <w:rFonts w:ascii="Calibri" w:eastAsia="Helvetica" w:hAnsi="Calibri" w:cs="Calibri"/>
                <w:b/>
                <w:sz w:val="18"/>
                <w:szCs w:val="18"/>
              </w:rPr>
              <w:t>Principles 1: Human Rights</w:t>
            </w:r>
          </w:p>
        </w:tc>
        <w:tc>
          <w:tcPr>
            <w:tcW w:w="833" w:type="dxa"/>
            <w:tcBorders>
              <w:bottom w:val="single" w:sz="4" w:space="0" w:color="auto"/>
            </w:tcBorders>
            <w:shd w:val="clear" w:color="auto" w:fill="DEEAF6"/>
          </w:tcPr>
          <w:p w14:paraId="47FFC162" w14:textId="77777777" w:rsidR="00F91241" w:rsidRPr="005516CD" w:rsidRDefault="00F91241" w:rsidP="00F91241">
            <w:pPr>
              <w:tabs>
                <w:tab w:val="left" w:pos="810"/>
              </w:tabs>
              <w:jc w:val="center"/>
              <w:rPr>
                <w:rFonts w:ascii="Calibri" w:eastAsia="Helvetica" w:hAnsi="Calibri" w:cs="Calibri"/>
                <w:b/>
                <w:sz w:val="18"/>
                <w:szCs w:val="18"/>
              </w:rPr>
            </w:pPr>
            <w:r w:rsidRPr="005516CD">
              <w:rPr>
                <w:rFonts w:ascii="Calibri" w:eastAsia="Times New Roman" w:hAnsi="Calibri" w:cs="Calibri"/>
                <w:b/>
                <w:sz w:val="16"/>
                <w:szCs w:val="16"/>
              </w:rPr>
              <w:t xml:space="preserve">Answer </w:t>
            </w:r>
            <w:r w:rsidRPr="005516CD">
              <w:rPr>
                <w:rFonts w:ascii="Calibri" w:eastAsia="Times New Roman" w:hAnsi="Calibri" w:cs="Calibri"/>
                <w:b/>
                <w:sz w:val="16"/>
                <w:szCs w:val="16"/>
              </w:rPr>
              <w:br/>
              <w:t>(Yes/No)</w:t>
            </w:r>
          </w:p>
        </w:tc>
      </w:tr>
      <w:tr w:rsidR="00F91241" w:rsidRPr="005516CD" w14:paraId="6F2E0E59" w14:textId="77777777" w:rsidTr="000A6F69">
        <w:tc>
          <w:tcPr>
            <w:tcW w:w="8635" w:type="dxa"/>
            <w:tcBorders>
              <w:bottom w:val="single" w:sz="4" w:space="0" w:color="auto"/>
            </w:tcBorders>
            <w:shd w:val="clear" w:color="auto" w:fill="auto"/>
          </w:tcPr>
          <w:p w14:paraId="635587FF"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1.</w:t>
            </w:r>
            <w:r w:rsidRPr="005516CD">
              <w:rPr>
                <w:rFonts w:ascii="Calibri" w:eastAsia="Times New Roman" w:hAnsi="Calibri" w:cs="Calibri"/>
                <w:sz w:val="18"/>
                <w:szCs w:val="18"/>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tcPr>
          <w:p w14:paraId="634F2AE9"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No</w:t>
            </w:r>
          </w:p>
        </w:tc>
      </w:tr>
      <w:tr w:rsidR="00F91241" w:rsidRPr="005516CD" w14:paraId="79A8012E" w14:textId="77777777" w:rsidTr="000A6F69">
        <w:tc>
          <w:tcPr>
            <w:tcW w:w="8635" w:type="dxa"/>
            <w:tcBorders>
              <w:bottom w:val="single" w:sz="4" w:space="0" w:color="auto"/>
            </w:tcBorders>
            <w:shd w:val="clear" w:color="auto" w:fill="auto"/>
          </w:tcPr>
          <w:p w14:paraId="54E96723"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 xml:space="preserve">2. </w:t>
            </w:r>
            <w:r w:rsidRPr="005516CD">
              <w:rPr>
                <w:rFonts w:ascii="Calibri" w:eastAsia="Times New Roman" w:hAnsi="Calibri" w:cs="Calibri"/>
                <w:sz w:val="18"/>
                <w:szCs w:val="18"/>
              </w:rPr>
              <w:tab/>
              <w:t>Is there a likelihood that the Project would have inequitable or discriminatory adverse impacts on affected populations, particularly people living in poverty or marginalized or excluded individuals or groups?</w:t>
            </w:r>
            <w:r w:rsidRPr="005516CD">
              <w:rPr>
                <w:rFonts w:ascii="Calibri" w:eastAsia="Times New Roman" w:hAnsi="Calibri" w:cs="Calibri"/>
                <w:szCs w:val="18"/>
                <w:vertAlign w:val="superscript"/>
              </w:rPr>
              <w:t xml:space="preserve"> </w:t>
            </w:r>
            <w:r w:rsidRPr="005516CD">
              <w:rPr>
                <w:rFonts w:ascii="Calibri" w:eastAsia="Times New Roman" w:hAnsi="Calibri" w:cs="Calibri"/>
                <w:szCs w:val="18"/>
                <w:vertAlign w:val="superscript"/>
              </w:rPr>
              <w:footnoteReference w:id="85"/>
            </w:r>
            <w:r w:rsidRPr="005516CD">
              <w:rPr>
                <w:rFonts w:ascii="Calibri" w:eastAsia="Times New Roman" w:hAnsi="Calibri" w:cs="Calibri"/>
                <w:sz w:val="18"/>
                <w:szCs w:val="18"/>
              </w:rPr>
              <w:t xml:space="preserve"> </w:t>
            </w:r>
          </w:p>
        </w:tc>
        <w:tc>
          <w:tcPr>
            <w:tcW w:w="833" w:type="dxa"/>
            <w:tcBorders>
              <w:bottom w:val="single" w:sz="4" w:space="0" w:color="auto"/>
            </w:tcBorders>
            <w:shd w:val="clear" w:color="auto" w:fill="auto"/>
          </w:tcPr>
          <w:p w14:paraId="19269ED5"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No</w:t>
            </w:r>
          </w:p>
        </w:tc>
      </w:tr>
      <w:tr w:rsidR="00F91241" w:rsidRPr="005516CD" w14:paraId="1D28F1D1" w14:textId="77777777" w:rsidTr="000A6F69">
        <w:tc>
          <w:tcPr>
            <w:tcW w:w="8635" w:type="dxa"/>
            <w:tcBorders>
              <w:bottom w:val="single" w:sz="4" w:space="0" w:color="auto"/>
            </w:tcBorders>
            <w:shd w:val="clear" w:color="auto" w:fill="auto"/>
          </w:tcPr>
          <w:p w14:paraId="3D423D91"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3.</w:t>
            </w:r>
            <w:r w:rsidRPr="005516CD">
              <w:rPr>
                <w:rFonts w:ascii="Calibri" w:eastAsia="Times New Roman" w:hAnsi="Calibri" w:cs="Calibri"/>
                <w:sz w:val="18"/>
                <w:szCs w:val="18"/>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tcPr>
          <w:p w14:paraId="3140C742"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No</w:t>
            </w:r>
          </w:p>
        </w:tc>
      </w:tr>
      <w:tr w:rsidR="00F91241" w:rsidRPr="005516CD" w14:paraId="129C8170" w14:textId="77777777" w:rsidTr="000A6F69">
        <w:tc>
          <w:tcPr>
            <w:tcW w:w="8635" w:type="dxa"/>
            <w:tcBorders>
              <w:bottom w:val="single" w:sz="4" w:space="0" w:color="auto"/>
            </w:tcBorders>
            <w:shd w:val="clear" w:color="auto" w:fill="auto"/>
          </w:tcPr>
          <w:p w14:paraId="46D1934D"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4.</w:t>
            </w:r>
            <w:r w:rsidRPr="005516CD">
              <w:rPr>
                <w:rFonts w:ascii="Calibri" w:eastAsia="Times New Roman" w:hAnsi="Calibri" w:cs="Calibri"/>
                <w:sz w:val="18"/>
                <w:szCs w:val="18"/>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tcPr>
          <w:p w14:paraId="710CC989"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No</w:t>
            </w:r>
          </w:p>
        </w:tc>
      </w:tr>
      <w:tr w:rsidR="00F91241" w:rsidRPr="005516CD" w14:paraId="50F7AF21" w14:textId="77777777" w:rsidTr="000A6F69">
        <w:tc>
          <w:tcPr>
            <w:tcW w:w="8635" w:type="dxa"/>
            <w:tcBorders>
              <w:bottom w:val="single" w:sz="4" w:space="0" w:color="auto"/>
            </w:tcBorders>
            <w:shd w:val="clear" w:color="auto" w:fill="auto"/>
          </w:tcPr>
          <w:p w14:paraId="191E521F" w14:textId="77777777" w:rsidR="00F91241" w:rsidRPr="005516CD" w:rsidDel="00074D34"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5.</w:t>
            </w:r>
            <w:r w:rsidRPr="005516CD">
              <w:rPr>
                <w:rFonts w:ascii="Calibri" w:eastAsia="Times New Roman" w:hAnsi="Calibri" w:cs="Calibri"/>
                <w:sz w:val="18"/>
                <w:szCs w:val="18"/>
              </w:rPr>
              <w:tab/>
              <w:t>Is there a risk that duty-bearers do not have the capacity to meet their obligations in the Project?</w:t>
            </w:r>
          </w:p>
        </w:tc>
        <w:tc>
          <w:tcPr>
            <w:tcW w:w="833" w:type="dxa"/>
            <w:tcBorders>
              <w:bottom w:val="single" w:sz="4" w:space="0" w:color="auto"/>
            </w:tcBorders>
            <w:shd w:val="clear" w:color="auto" w:fill="auto"/>
          </w:tcPr>
          <w:p w14:paraId="3B413E16"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No</w:t>
            </w:r>
          </w:p>
        </w:tc>
      </w:tr>
      <w:tr w:rsidR="00F91241" w:rsidRPr="005516CD" w14:paraId="16EEC7AF" w14:textId="77777777" w:rsidTr="000A6F69">
        <w:tc>
          <w:tcPr>
            <w:tcW w:w="8635" w:type="dxa"/>
            <w:tcBorders>
              <w:bottom w:val="single" w:sz="4" w:space="0" w:color="auto"/>
            </w:tcBorders>
            <w:shd w:val="clear" w:color="auto" w:fill="auto"/>
          </w:tcPr>
          <w:p w14:paraId="4906565C"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6.</w:t>
            </w:r>
            <w:r w:rsidRPr="005516CD">
              <w:rPr>
                <w:rFonts w:ascii="Calibri" w:eastAsia="Times New Roman" w:hAnsi="Calibri" w:cs="Calibri"/>
                <w:sz w:val="18"/>
                <w:szCs w:val="18"/>
              </w:rPr>
              <w:tab/>
              <w:t xml:space="preserve">Is there a risk that rights-holders do not have the capacity to claim their rights? </w:t>
            </w:r>
          </w:p>
        </w:tc>
        <w:tc>
          <w:tcPr>
            <w:tcW w:w="833" w:type="dxa"/>
            <w:tcBorders>
              <w:bottom w:val="single" w:sz="4" w:space="0" w:color="auto"/>
            </w:tcBorders>
            <w:shd w:val="clear" w:color="auto" w:fill="auto"/>
          </w:tcPr>
          <w:p w14:paraId="132BEB4E"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No</w:t>
            </w:r>
          </w:p>
        </w:tc>
      </w:tr>
      <w:tr w:rsidR="00F91241" w:rsidRPr="005516CD" w14:paraId="78D9E6D7" w14:textId="77777777" w:rsidTr="000A6F69">
        <w:tc>
          <w:tcPr>
            <w:tcW w:w="8635" w:type="dxa"/>
            <w:tcBorders>
              <w:bottom w:val="single" w:sz="4" w:space="0" w:color="auto"/>
            </w:tcBorders>
            <w:shd w:val="clear" w:color="auto" w:fill="auto"/>
          </w:tcPr>
          <w:p w14:paraId="616F4ED4"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7.</w:t>
            </w:r>
            <w:r w:rsidRPr="005516CD">
              <w:rPr>
                <w:rFonts w:ascii="Calibri" w:eastAsia="Times New Roman" w:hAnsi="Calibri" w:cs="Calibri"/>
                <w:sz w:val="18"/>
                <w:szCs w:val="18"/>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14:paraId="062FF515"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No</w:t>
            </w:r>
          </w:p>
        </w:tc>
      </w:tr>
      <w:tr w:rsidR="00F91241" w:rsidRPr="005516CD" w14:paraId="1DC1D89A" w14:textId="77777777" w:rsidTr="000A6F69">
        <w:tc>
          <w:tcPr>
            <w:tcW w:w="8635" w:type="dxa"/>
            <w:tcBorders>
              <w:bottom w:val="single" w:sz="4" w:space="0" w:color="auto"/>
            </w:tcBorders>
            <w:shd w:val="clear" w:color="auto" w:fill="auto"/>
          </w:tcPr>
          <w:p w14:paraId="5A79B97E"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8.</w:t>
            </w:r>
            <w:r w:rsidRPr="005516CD">
              <w:rPr>
                <w:rFonts w:ascii="Calibri" w:eastAsia="Times New Roman" w:hAnsi="Calibri" w:cs="Calibri"/>
                <w:sz w:val="18"/>
                <w:szCs w:val="18"/>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tcPr>
          <w:p w14:paraId="0ACE0C7D"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No</w:t>
            </w:r>
          </w:p>
        </w:tc>
      </w:tr>
      <w:tr w:rsidR="00F91241" w:rsidRPr="005516CD" w14:paraId="0A1DDF25" w14:textId="77777777" w:rsidTr="000A6F69">
        <w:tc>
          <w:tcPr>
            <w:tcW w:w="8635" w:type="dxa"/>
            <w:tcBorders>
              <w:bottom w:val="single" w:sz="4" w:space="0" w:color="auto"/>
            </w:tcBorders>
            <w:shd w:val="clear" w:color="auto" w:fill="DEEAF6"/>
          </w:tcPr>
          <w:p w14:paraId="309F4079" w14:textId="77777777" w:rsidR="00F91241" w:rsidRPr="005516CD" w:rsidRDefault="00F91241" w:rsidP="00F91241">
            <w:pPr>
              <w:tabs>
                <w:tab w:val="left" w:pos="810"/>
              </w:tabs>
              <w:spacing w:before="120" w:after="120"/>
              <w:rPr>
                <w:rFonts w:ascii="Calibri" w:eastAsia="Helvetica" w:hAnsi="Calibri" w:cs="Calibri"/>
                <w:b/>
                <w:sz w:val="18"/>
                <w:szCs w:val="18"/>
              </w:rPr>
            </w:pPr>
            <w:r w:rsidRPr="005516CD">
              <w:rPr>
                <w:rFonts w:ascii="Calibri" w:eastAsia="Helvetica" w:hAnsi="Calibri" w:cs="Calibri"/>
                <w:b/>
                <w:sz w:val="18"/>
                <w:szCs w:val="18"/>
              </w:rPr>
              <w:t>Principle 2: Gender Equality and Women’s Empowerment</w:t>
            </w:r>
          </w:p>
        </w:tc>
        <w:tc>
          <w:tcPr>
            <w:tcW w:w="833" w:type="dxa"/>
            <w:tcBorders>
              <w:bottom w:val="single" w:sz="4" w:space="0" w:color="auto"/>
            </w:tcBorders>
            <w:shd w:val="clear" w:color="auto" w:fill="DEEAF6"/>
          </w:tcPr>
          <w:p w14:paraId="68792218" w14:textId="77777777" w:rsidR="00F91241" w:rsidRPr="005516CD" w:rsidRDefault="00F91241" w:rsidP="00F91241">
            <w:pPr>
              <w:tabs>
                <w:tab w:val="left" w:pos="810"/>
              </w:tabs>
              <w:spacing w:before="120" w:after="120"/>
              <w:rPr>
                <w:rFonts w:ascii="Calibri" w:eastAsia="Helvetica" w:hAnsi="Calibri" w:cs="Calibri"/>
                <w:b/>
                <w:sz w:val="18"/>
                <w:szCs w:val="18"/>
              </w:rPr>
            </w:pPr>
          </w:p>
        </w:tc>
      </w:tr>
      <w:tr w:rsidR="00F91241" w:rsidRPr="005516CD" w14:paraId="505CA4AE" w14:textId="77777777" w:rsidTr="000A6F69">
        <w:tc>
          <w:tcPr>
            <w:tcW w:w="8635" w:type="dxa"/>
            <w:tcBorders>
              <w:bottom w:val="single" w:sz="4" w:space="0" w:color="auto"/>
            </w:tcBorders>
            <w:shd w:val="clear" w:color="auto" w:fill="auto"/>
          </w:tcPr>
          <w:p w14:paraId="37063B8D"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1.</w:t>
            </w:r>
            <w:r w:rsidRPr="005516CD">
              <w:rPr>
                <w:rFonts w:ascii="Calibri" w:eastAsia="Times New Roman" w:hAnsi="Calibri" w:cs="Calibri"/>
                <w:sz w:val="18"/>
                <w:szCs w:val="18"/>
              </w:rPr>
              <w:tab/>
              <w:t xml:space="preserve">Is there likelihood that the proposed Project would have adverse impacts on gender equality and/or the situation of women and girls? </w:t>
            </w:r>
          </w:p>
        </w:tc>
        <w:tc>
          <w:tcPr>
            <w:tcW w:w="833" w:type="dxa"/>
            <w:tcBorders>
              <w:bottom w:val="single" w:sz="4" w:space="0" w:color="auto"/>
            </w:tcBorders>
            <w:shd w:val="clear" w:color="auto" w:fill="auto"/>
          </w:tcPr>
          <w:p w14:paraId="0527510A"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No</w:t>
            </w:r>
          </w:p>
        </w:tc>
      </w:tr>
      <w:tr w:rsidR="00F91241" w:rsidRPr="005516CD" w14:paraId="55555884" w14:textId="77777777" w:rsidTr="000A6F69">
        <w:tc>
          <w:tcPr>
            <w:tcW w:w="8635" w:type="dxa"/>
            <w:tcBorders>
              <w:bottom w:val="single" w:sz="4" w:space="0" w:color="auto"/>
            </w:tcBorders>
            <w:shd w:val="clear" w:color="auto" w:fill="auto"/>
          </w:tcPr>
          <w:p w14:paraId="0D267BF5"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2.</w:t>
            </w:r>
            <w:r w:rsidRPr="005516CD">
              <w:rPr>
                <w:rFonts w:ascii="Calibri" w:eastAsia="Times New Roman" w:hAnsi="Calibri" w:cs="Calibri"/>
                <w:sz w:val="18"/>
                <w:szCs w:val="18"/>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tcPr>
          <w:p w14:paraId="186E2A31"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Yes</w:t>
            </w:r>
          </w:p>
        </w:tc>
      </w:tr>
      <w:tr w:rsidR="00F91241" w:rsidRPr="005516CD" w14:paraId="19733468" w14:textId="77777777" w:rsidTr="000A6F69">
        <w:tc>
          <w:tcPr>
            <w:tcW w:w="8635" w:type="dxa"/>
            <w:tcBorders>
              <w:bottom w:val="single" w:sz="4" w:space="0" w:color="auto"/>
            </w:tcBorders>
            <w:shd w:val="clear" w:color="auto" w:fill="auto"/>
          </w:tcPr>
          <w:p w14:paraId="46319B11"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3.</w:t>
            </w:r>
            <w:r w:rsidRPr="005516CD">
              <w:rPr>
                <w:rFonts w:ascii="Calibri" w:eastAsia="Times New Roman" w:hAnsi="Calibri" w:cs="Calibri"/>
                <w:sz w:val="18"/>
                <w:szCs w:val="18"/>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tcPr>
          <w:p w14:paraId="7816B037"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No</w:t>
            </w:r>
          </w:p>
        </w:tc>
      </w:tr>
      <w:tr w:rsidR="00F91241" w:rsidRPr="005516CD" w14:paraId="31161FEB" w14:textId="77777777" w:rsidTr="000A6F69">
        <w:tc>
          <w:tcPr>
            <w:tcW w:w="8635" w:type="dxa"/>
            <w:tcBorders>
              <w:bottom w:val="single" w:sz="4" w:space="0" w:color="auto"/>
            </w:tcBorders>
            <w:shd w:val="clear" w:color="auto" w:fill="auto"/>
          </w:tcPr>
          <w:p w14:paraId="73AE2829"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4.</w:t>
            </w:r>
            <w:r w:rsidRPr="005516CD">
              <w:rPr>
                <w:rFonts w:ascii="Calibri" w:eastAsia="Times New Roman" w:hAnsi="Calibri" w:cs="Calibri"/>
                <w:sz w:val="18"/>
                <w:szCs w:val="18"/>
              </w:rPr>
              <w:tab/>
              <w:t>Would the Project potentially limit women’s ability to use, develop and protect natural resources, taking into account different roles and positions of women and men in accessing environmental goods and services?</w:t>
            </w:r>
          </w:p>
          <w:p w14:paraId="7B479770" w14:textId="77777777" w:rsidR="00F91241" w:rsidRPr="005516CD" w:rsidRDefault="00F91241" w:rsidP="00F91241">
            <w:pPr>
              <w:tabs>
                <w:tab w:val="left" w:pos="900"/>
              </w:tabs>
              <w:spacing w:before="60" w:after="60"/>
              <w:ind w:left="567" w:hanging="567"/>
              <w:rPr>
                <w:rFonts w:ascii="Calibri" w:eastAsia="Times New Roman" w:hAnsi="Calibri" w:cs="Calibri"/>
                <w:i/>
                <w:sz w:val="18"/>
                <w:szCs w:val="18"/>
              </w:rPr>
            </w:pPr>
            <w:r w:rsidRPr="005516CD">
              <w:rPr>
                <w:rFonts w:ascii="Calibri" w:eastAsia="Helvetica" w:hAnsi="Calibri" w:cs="Calibri"/>
                <w:sz w:val="18"/>
                <w:szCs w:val="18"/>
              </w:rPr>
              <w:tab/>
            </w:r>
            <w:r w:rsidRPr="005516CD">
              <w:rPr>
                <w:rFonts w:ascii="Calibri" w:eastAsia="Helvetica" w:hAnsi="Calibri" w:cs="Calibri"/>
                <w:i/>
                <w:sz w:val="18"/>
                <w:szCs w:val="18"/>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14:paraId="0489AF48" w14:textId="77777777" w:rsidR="00F91241" w:rsidRPr="005516CD" w:rsidRDefault="00F91241" w:rsidP="00F91241">
            <w:pPr>
              <w:tabs>
                <w:tab w:val="left" w:pos="810"/>
              </w:tabs>
              <w:rPr>
                <w:rFonts w:ascii="Calibri" w:eastAsia="Helvetica" w:hAnsi="Calibri" w:cs="Calibri"/>
                <w:sz w:val="18"/>
                <w:szCs w:val="18"/>
              </w:rPr>
            </w:pPr>
            <w:r w:rsidRPr="005516CD">
              <w:rPr>
                <w:rFonts w:ascii="Calibri" w:eastAsia="Helvetica" w:hAnsi="Calibri" w:cs="Calibri"/>
                <w:sz w:val="18"/>
                <w:szCs w:val="18"/>
              </w:rPr>
              <w:t>Yes</w:t>
            </w:r>
          </w:p>
        </w:tc>
      </w:tr>
      <w:tr w:rsidR="00F91241" w:rsidRPr="005516CD" w14:paraId="76F00820" w14:textId="77777777" w:rsidTr="000A6F69">
        <w:tc>
          <w:tcPr>
            <w:tcW w:w="8635" w:type="dxa"/>
            <w:tcBorders>
              <w:bottom w:val="single" w:sz="4" w:space="0" w:color="auto"/>
            </w:tcBorders>
            <w:shd w:val="clear" w:color="auto" w:fill="DEEAF6"/>
          </w:tcPr>
          <w:p w14:paraId="38D34E24" w14:textId="77777777" w:rsidR="00F91241" w:rsidRPr="005516CD" w:rsidRDefault="00F91241" w:rsidP="00F91241">
            <w:pPr>
              <w:tabs>
                <w:tab w:val="left" w:pos="810"/>
              </w:tabs>
              <w:spacing w:before="120" w:after="120"/>
              <w:rPr>
                <w:rFonts w:ascii="Calibri" w:eastAsia="Times New Roman" w:hAnsi="Calibri" w:cs="Calibri"/>
                <w:b/>
                <w:sz w:val="18"/>
                <w:szCs w:val="18"/>
              </w:rPr>
            </w:pPr>
            <w:r w:rsidRPr="005516CD">
              <w:rPr>
                <w:rFonts w:ascii="Calibri" w:eastAsia="Helvetica" w:hAnsi="Calibri" w:cs="Calibri"/>
                <w:b/>
                <w:sz w:val="18"/>
                <w:szCs w:val="18"/>
              </w:rPr>
              <w:t xml:space="preserve">Principle 3:  Environmental Sustainability: </w:t>
            </w:r>
            <w:r w:rsidRPr="005516CD">
              <w:rPr>
                <w:rFonts w:ascii="Calibri" w:eastAsia="Helvetica" w:hAnsi="Calibri" w:cs="Calibri"/>
                <w:sz w:val="18"/>
                <w:szCs w:val="18"/>
              </w:rPr>
              <w:t>Screening</w:t>
            </w:r>
            <w:r w:rsidRPr="005516CD">
              <w:rPr>
                <w:rFonts w:ascii="Calibri" w:eastAsia="Helvetica" w:hAnsi="Calibri" w:cs="Calibri"/>
                <w:b/>
                <w:sz w:val="18"/>
                <w:szCs w:val="18"/>
              </w:rPr>
              <w:t xml:space="preserve"> </w:t>
            </w:r>
            <w:r w:rsidRPr="005516CD">
              <w:rPr>
                <w:rFonts w:ascii="Calibri" w:eastAsia="Helvetica" w:hAnsi="Calibri" w:cs="Calibri"/>
                <w:sz w:val="18"/>
                <w:szCs w:val="18"/>
              </w:rPr>
              <w:t>questions regarding environmental risks are encompassed by the specific Standard-related questions below</w:t>
            </w:r>
          </w:p>
        </w:tc>
        <w:tc>
          <w:tcPr>
            <w:tcW w:w="833" w:type="dxa"/>
            <w:tcBorders>
              <w:bottom w:val="single" w:sz="4" w:space="0" w:color="auto"/>
            </w:tcBorders>
            <w:shd w:val="clear" w:color="auto" w:fill="DEEAF6"/>
          </w:tcPr>
          <w:p w14:paraId="1D6997C4" w14:textId="77777777" w:rsidR="00F91241" w:rsidRPr="005516CD" w:rsidRDefault="00F91241" w:rsidP="00F91241">
            <w:pPr>
              <w:tabs>
                <w:tab w:val="left" w:pos="810"/>
              </w:tabs>
              <w:rPr>
                <w:rFonts w:ascii="Calibri" w:eastAsia="Helvetica" w:hAnsi="Calibri" w:cs="Calibri"/>
                <w:sz w:val="18"/>
                <w:szCs w:val="18"/>
              </w:rPr>
            </w:pPr>
          </w:p>
        </w:tc>
      </w:tr>
      <w:tr w:rsidR="00F91241" w:rsidRPr="005516CD" w14:paraId="35344786" w14:textId="77777777" w:rsidTr="000A6F69">
        <w:tc>
          <w:tcPr>
            <w:tcW w:w="8635" w:type="dxa"/>
            <w:tcBorders>
              <w:bottom w:val="single" w:sz="4" w:space="0" w:color="auto"/>
            </w:tcBorders>
            <w:shd w:val="clear" w:color="auto" w:fill="auto"/>
          </w:tcPr>
          <w:p w14:paraId="7174B03A" w14:textId="77777777" w:rsidR="00F91241" w:rsidRPr="005516CD" w:rsidRDefault="00F91241" w:rsidP="00F91241">
            <w:pPr>
              <w:tabs>
                <w:tab w:val="left" w:pos="810"/>
              </w:tabs>
              <w:rPr>
                <w:rFonts w:ascii="Calibri" w:eastAsia="Times New Roman" w:hAnsi="Calibri" w:cs="Calibri"/>
                <w:b/>
                <w:sz w:val="18"/>
                <w:szCs w:val="18"/>
              </w:rPr>
            </w:pPr>
          </w:p>
        </w:tc>
        <w:tc>
          <w:tcPr>
            <w:tcW w:w="833" w:type="dxa"/>
            <w:tcBorders>
              <w:bottom w:val="single" w:sz="4" w:space="0" w:color="auto"/>
            </w:tcBorders>
            <w:shd w:val="clear" w:color="auto" w:fill="auto"/>
          </w:tcPr>
          <w:p w14:paraId="2499A3F9" w14:textId="77777777" w:rsidR="00F91241" w:rsidRPr="005516CD" w:rsidRDefault="00F91241" w:rsidP="00F91241">
            <w:pPr>
              <w:tabs>
                <w:tab w:val="left" w:pos="810"/>
              </w:tabs>
              <w:rPr>
                <w:rFonts w:ascii="Calibri" w:eastAsia="Helvetica" w:hAnsi="Calibri" w:cs="Calibri"/>
                <w:sz w:val="18"/>
                <w:szCs w:val="18"/>
              </w:rPr>
            </w:pPr>
          </w:p>
        </w:tc>
      </w:tr>
      <w:tr w:rsidR="00F91241" w:rsidRPr="005516CD" w14:paraId="1F4EBC56" w14:textId="77777777" w:rsidTr="000A6F69">
        <w:tc>
          <w:tcPr>
            <w:tcW w:w="8635" w:type="dxa"/>
            <w:tcBorders>
              <w:bottom w:val="single" w:sz="4" w:space="0" w:color="auto"/>
            </w:tcBorders>
            <w:shd w:val="clear" w:color="auto" w:fill="DEEAF6"/>
            <w:vAlign w:val="center"/>
          </w:tcPr>
          <w:p w14:paraId="31A89EC5" w14:textId="77777777" w:rsidR="00F91241" w:rsidRPr="005516CD" w:rsidRDefault="00F91241" w:rsidP="00F91241">
            <w:pPr>
              <w:tabs>
                <w:tab w:val="left" w:pos="570"/>
              </w:tabs>
              <w:spacing w:before="120" w:after="120"/>
              <w:rPr>
                <w:rFonts w:ascii="Calibri" w:eastAsia="Times New Roman" w:hAnsi="Calibri" w:cs="Calibri"/>
                <w:b/>
                <w:sz w:val="18"/>
                <w:szCs w:val="18"/>
              </w:rPr>
            </w:pPr>
            <w:r w:rsidRPr="005516CD">
              <w:rPr>
                <w:rFonts w:ascii="Calibri" w:eastAsia="Times New Roman" w:hAnsi="Calibri" w:cs="Calibri"/>
                <w:b/>
                <w:sz w:val="18"/>
                <w:szCs w:val="18"/>
              </w:rPr>
              <w:t xml:space="preserve">Standard 1: Biodiversity Conservation and Sustainable </w:t>
            </w:r>
            <w:hyperlink w:anchor="SustNatResManGlossary" w:history="1">
              <w:r w:rsidRPr="005516CD">
                <w:rPr>
                  <w:rFonts w:ascii="Calibri" w:eastAsia="Times New Roman" w:hAnsi="Calibri" w:cs="Calibri"/>
                  <w:b/>
                  <w:sz w:val="18"/>
                  <w:szCs w:val="18"/>
                </w:rPr>
                <w:t>Natural</w:t>
              </w:r>
            </w:hyperlink>
            <w:r w:rsidRPr="005516CD">
              <w:rPr>
                <w:rFonts w:ascii="Calibri" w:eastAsia="Helvetica" w:hAnsi="Calibri" w:cs="Calibri"/>
                <w:b/>
                <w:sz w:val="18"/>
                <w:szCs w:val="18"/>
              </w:rPr>
              <w:t xml:space="preserve"> Resource Management</w:t>
            </w:r>
          </w:p>
        </w:tc>
        <w:tc>
          <w:tcPr>
            <w:tcW w:w="833" w:type="dxa"/>
            <w:tcBorders>
              <w:bottom w:val="single" w:sz="4" w:space="0" w:color="auto"/>
            </w:tcBorders>
            <w:shd w:val="clear" w:color="auto" w:fill="DEEAF6"/>
          </w:tcPr>
          <w:p w14:paraId="2CDFC329" w14:textId="77777777" w:rsidR="00F91241" w:rsidRPr="005516CD" w:rsidRDefault="00F91241" w:rsidP="00F91241">
            <w:pPr>
              <w:rPr>
                <w:rFonts w:ascii="Calibri" w:eastAsia="Times New Roman" w:hAnsi="Calibri" w:cs="Calibri"/>
                <w:b/>
                <w:sz w:val="18"/>
                <w:szCs w:val="18"/>
              </w:rPr>
            </w:pPr>
          </w:p>
        </w:tc>
      </w:tr>
      <w:tr w:rsidR="00F91241" w:rsidRPr="005516CD" w14:paraId="25981389" w14:textId="77777777" w:rsidTr="000A6F69">
        <w:tc>
          <w:tcPr>
            <w:tcW w:w="8635" w:type="dxa"/>
            <w:shd w:val="clear" w:color="auto" w:fill="auto"/>
          </w:tcPr>
          <w:p w14:paraId="2A9BEAD0"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 xml:space="preserve">1.1 </w:t>
            </w:r>
            <w:r w:rsidRPr="005516CD">
              <w:rPr>
                <w:rFonts w:ascii="Calibri" w:eastAsia="Times New Roman" w:hAnsi="Calibri" w:cs="Calibri"/>
                <w:sz w:val="18"/>
                <w:szCs w:val="18"/>
              </w:rPr>
              <w:tab/>
            </w:r>
            <w:bookmarkStart w:id="118" w:name="_Hlk423087"/>
            <w:r w:rsidRPr="005516CD">
              <w:rPr>
                <w:rFonts w:ascii="Calibri" w:eastAsia="Times New Roman" w:hAnsi="Calibri" w:cs="Calibri"/>
                <w:sz w:val="18"/>
                <w:szCs w:val="18"/>
              </w:rPr>
              <w:t>Would the Project potentially cause adverse impacts to habitats (e.g. modified, natural, and critical habitats) and/or ecosystems and ecosystem services?</w:t>
            </w:r>
            <w:bookmarkEnd w:id="118"/>
            <w:r w:rsidRPr="005516CD">
              <w:rPr>
                <w:rFonts w:ascii="Calibri" w:eastAsia="Times New Roman" w:hAnsi="Calibri" w:cs="Calibri"/>
                <w:sz w:val="18"/>
                <w:szCs w:val="18"/>
              </w:rPr>
              <w:br/>
            </w:r>
            <w:r w:rsidRPr="005516CD">
              <w:rPr>
                <w:rFonts w:ascii="Calibri" w:eastAsia="Times New Roman" w:hAnsi="Calibri" w:cs="Calibri"/>
                <w:sz w:val="18"/>
                <w:szCs w:val="18"/>
              </w:rPr>
              <w:br/>
            </w:r>
            <w:r w:rsidRPr="005516CD">
              <w:rPr>
                <w:rFonts w:ascii="Calibri" w:eastAsia="Times New Roman" w:hAnsi="Calibri" w:cs="Calibri"/>
                <w:i/>
                <w:sz w:val="18"/>
                <w:szCs w:val="18"/>
              </w:rPr>
              <w:t>For example, through habitat loss, conversion or degradation, fragmentation, hydrological changes</w:t>
            </w:r>
          </w:p>
        </w:tc>
        <w:tc>
          <w:tcPr>
            <w:tcW w:w="833" w:type="dxa"/>
            <w:shd w:val="clear" w:color="auto" w:fill="auto"/>
          </w:tcPr>
          <w:p w14:paraId="3A8BF08D"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Yes</w:t>
            </w:r>
          </w:p>
        </w:tc>
      </w:tr>
      <w:tr w:rsidR="00F91241" w:rsidRPr="005516CD" w14:paraId="2660333F" w14:textId="77777777" w:rsidTr="000A6F69">
        <w:tc>
          <w:tcPr>
            <w:tcW w:w="8635" w:type="dxa"/>
            <w:tcBorders>
              <w:bottom w:val="single" w:sz="4" w:space="0" w:color="auto"/>
            </w:tcBorders>
            <w:shd w:val="clear" w:color="auto" w:fill="auto"/>
          </w:tcPr>
          <w:p w14:paraId="56323F17" w14:textId="77777777" w:rsidR="00F91241" w:rsidRPr="005516CD" w:rsidRDefault="00F91241" w:rsidP="00F91241">
            <w:pPr>
              <w:tabs>
                <w:tab w:val="left" w:pos="900"/>
              </w:tabs>
              <w:autoSpaceDE w:val="0"/>
              <w:autoSpaceDN w:val="0"/>
              <w:adjustRightInd w:val="0"/>
              <w:spacing w:before="60" w:after="60"/>
              <w:ind w:left="567" w:hanging="567"/>
              <w:rPr>
                <w:rFonts w:ascii="Calibri" w:eastAsia="Times New Roman" w:hAnsi="Calibri" w:cs="Calibri"/>
                <w:color w:val="000000"/>
                <w:sz w:val="18"/>
                <w:szCs w:val="18"/>
              </w:rPr>
            </w:pPr>
            <w:r w:rsidRPr="005516CD">
              <w:rPr>
                <w:rFonts w:ascii="Calibri" w:eastAsia="Times New Roman" w:hAnsi="Calibri" w:cs="Calibri"/>
                <w:bCs/>
                <w:color w:val="000000"/>
                <w:sz w:val="18"/>
                <w:szCs w:val="18"/>
              </w:rPr>
              <w:t xml:space="preserve">1.2 </w:t>
            </w:r>
            <w:r w:rsidRPr="005516CD">
              <w:rPr>
                <w:rFonts w:ascii="Calibri" w:eastAsia="Times New Roman" w:hAnsi="Calibri" w:cs="Calibri"/>
                <w:bCs/>
                <w:color w:val="000000"/>
                <w:sz w:val="18"/>
                <w:szCs w:val="18"/>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14:paraId="60AB4AC4"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Yes</w:t>
            </w:r>
          </w:p>
        </w:tc>
      </w:tr>
      <w:tr w:rsidR="00F91241" w:rsidRPr="005516CD" w14:paraId="22888C50" w14:textId="77777777" w:rsidTr="000A6F69">
        <w:tc>
          <w:tcPr>
            <w:tcW w:w="8635" w:type="dxa"/>
            <w:tcBorders>
              <w:bottom w:val="single" w:sz="4" w:space="0" w:color="auto"/>
            </w:tcBorders>
            <w:shd w:val="clear" w:color="auto" w:fill="auto"/>
          </w:tcPr>
          <w:p w14:paraId="539ABCE5"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1.3</w:t>
            </w:r>
            <w:r w:rsidRPr="005516CD">
              <w:rPr>
                <w:rFonts w:ascii="Calibri" w:eastAsia="Times New Roman" w:hAnsi="Calibri" w:cs="Calibri"/>
                <w:sz w:val="18"/>
                <w:szCs w:val="18"/>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14:paraId="724D8231"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0B5A7841" w14:textId="77777777" w:rsidTr="000A6F69">
        <w:tc>
          <w:tcPr>
            <w:tcW w:w="8635" w:type="dxa"/>
            <w:tcBorders>
              <w:bottom w:val="single" w:sz="4" w:space="0" w:color="auto"/>
            </w:tcBorders>
            <w:shd w:val="clear" w:color="auto" w:fill="auto"/>
          </w:tcPr>
          <w:p w14:paraId="6B7B8BF0"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1.4</w:t>
            </w:r>
            <w:r w:rsidRPr="005516CD">
              <w:rPr>
                <w:rFonts w:ascii="Calibri" w:eastAsia="Times New Roman" w:hAnsi="Calibri" w:cs="Calibri"/>
                <w:sz w:val="18"/>
                <w:szCs w:val="18"/>
              </w:rPr>
              <w:tab/>
              <w:t>Would Project activities pose risks to endangered species?</w:t>
            </w:r>
          </w:p>
        </w:tc>
        <w:tc>
          <w:tcPr>
            <w:tcW w:w="833" w:type="dxa"/>
            <w:tcBorders>
              <w:bottom w:val="single" w:sz="4" w:space="0" w:color="auto"/>
            </w:tcBorders>
            <w:shd w:val="clear" w:color="auto" w:fill="auto"/>
          </w:tcPr>
          <w:p w14:paraId="7DB45CD6"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5B6B5BCE" w14:textId="77777777" w:rsidTr="000A6F69">
        <w:tc>
          <w:tcPr>
            <w:tcW w:w="8635" w:type="dxa"/>
            <w:tcBorders>
              <w:bottom w:val="single" w:sz="4" w:space="0" w:color="auto"/>
            </w:tcBorders>
            <w:shd w:val="clear" w:color="auto" w:fill="auto"/>
          </w:tcPr>
          <w:p w14:paraId="28C4087E"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 xml:space="preserve">1.5 </w:t>
            </w:r>
            <w:r w:rsidRPr="005516CD">
              <w:rPr>
                <w:rFonts w:ascii="Calibri" w:eastAsia="Times New Roman" w:hAnsi="Calibri" w:cs="Calibri"/>
                <w:sz w:val="18"/>
                <w:szCs w:val="18"/>
              </w:rPr>
              <w:tab/>
              <w:t xml:space="preserve">Would the Project pose a risk of introducing invasive alien species? </w:t>
            </w:r>
          </w:p>
        </w:tc>
        <w:tc>
          <w:tcPr>
            <w:tcW w:w="833" w:type="dxa"/>
            <w:tcBorders>
              <w:bottom w:val="single" w:sz="4" w:space="0" w:color="auto"/>
            </w:tcBorders>
            <w:shd w:val="clear" w:color="auto" w:fill="auto"/>
          </w:tcPr>
          <w:p w14:paraId="03868A11"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52F52C0C" w14:textId="77777777" w:rsidTr="000A6F69">
        <w:tc>
          <w:tcPr>
            <w:tcW w:w="8635" w:type="dxa"/>
            <w:tcBorders>
              <w:bottom w:val="single" w:sz="4" w:space="0" w:color="auto"/>
            </w:tcBorders>
            <w:shd w:val="clear" w:color="auto" w:fill="auto"/>
          </w:tcPr>
          <w:p w14:paraId="40ADDF6D"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1.6</w:t>
            </w:r>
            <w:r w:rsidRPr="005516CD">
              <w:rPr>
                <w:rFonts w:ascii="Calibri" w:eastAsia="Times New Roman" w:hAnsi="Calibri" w:cs="Calibri"/>
                <w:sz w:val="18"/>
                <w:szCs w:val="18"/>
              </w:rPr>
              <w:tab/>
              <w:t>Does the Project involve harvesting of natural forests, plantation development, or reforestation?</w:t>
            </w:r>
          </w:p>
        </w:tc>
        <w:tc>
          <w:tcPr>
            <w:tcW w:w="833" w:type="dxa"/>
            <w:tcBorders>
              <w:bottom w:val="single" w:sz="4" w:space="0" w:color="auto"/>
            </w:tcBorders>
            <w:shd w:val="clear" w:color="auto" w:fill="auto"/>
          </w:tcPr>
          <w:p w14:paraId="69614085"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2817B582" w14:textId="77777777" w:rsidTr="000A6F69">
        <w:tc>
          <w:tcPr>
            <w:tcW w:w="8635" w:type="dxa"/>
            <w:tcBorders>
              <w:bottom w:val="single" w:sz="4" w:space="0" w:color="auto"/>
            </w:tcBorders>
            <w:shd w:val="clear" w:color="auto" w:fill="auto"/>
          </w:tcPr>
          <w:p w14:paraId="22A79A42"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 xml:space="preserve">1.7 </w:t>
            </w:r>
            <w:r w:rsidRPr="005516CD">
              <w:rPr>
                <w:rFonts w:ascii="Calibri" w:eastAsia="Times New Roman" w:hAnsi="Calibri" w:cs="Calibri"/>
                <w:sz w:val="18"/>
                <w:szCs w:val="18"/>
              </w:rPr>
              <w:tab/>
              <w:t>Does the Project involve the production and/or harvesting of fish populations or other aquatic species?</w:t>
            </w:r>
          </w:p>
        </w:tc>
        <w:tc>
          <w:tcPr>
            <w:tcW w:w="833" w:type="dxa"/>
            <w:tcBorders>
              <w:bottom w:val="single" w:sz="4" w:space="0" w:color="auto"/>
            </w:tcBorders>
            <w:shd w:val="clear" w:color="auto" w:fill="auto"/>
          </w:tcPr>
          <w:p w14:paraId="12D59DE9"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33E2BEDB" w14:textId="77777777" w:rsidTr="000A6F69">
        <w:tc>
          <w:tcPr>
            <w:tcW w:w="8635" w:type="dxa"/>
            <w:tcBorders>
              <w:bottom w:val="single" w:sz="4" w:space="0" w:color="auto"/>
            </w:tcBorders>
            <w:shd w:val="clear" w:color="auto" w:fill="auto"/>
          </w:tcPr>
          <w:p w14:paraId="309B091B"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 xml:space="preserve">1.8 </w:t>
            </w:r>
            <w:r w:rsidRPr="005516CD">
              <w:rPr>
                <w:rFonts w:ascii="Calibri" w:eastAsia="Times New Roman" w:hAnsi="Calibri" w:cs="Calibri"/>
                <w:sz w:val="18"/>
                <w:szCs w:val="18"/>
              </w:rPr>
              <w:tab/>
              <w:t>Does the Project involve significant extraction, diversion or containment of surface or ground water?</w:t>
            </w:r>
          </w:p>
          <w:p w14:paraId="46B91239" w14:textId="77777777" w:rsidR="00F91241" w:rsidRPr="005516CD" w:rsidRDefault="00F91241" w:rsidP="00F91241">
            <w:pPr>
              <w:tabs>
                <w:tab w:val="left" w:pos="900"/>
              </w:tabs>
              <w:spacing w:before="60" w:after="60"/>
              <w:ind w:left="567" w:hanging="567"/>
              <w:rPr>
                <w:rFonts w:ascii="Calibri" w:eastAsia="Times New Roman" w:hAnsi="Calibri" w:cs="Calibri"/>
                <w:i/>
                <w:sz w:val="18"/>
                <w:szCs w:val="18"/>
              </w:rPr>
            </w:pPr>
            <w:r w:rsidRPr="005516CD">
              <w:rPr>
                <w:rFonts w:ascii="Calibri" w:eastAsia="Times New Roman" w:hAnsi="Calibri" w:cs="Calibri"/>
                <w:sz w:val="18"/>
                <w:szCs w:val="18"/>
              </w:rPr>
              <w:tab/>
            </w:r>
            <w:r w:rsidRPr="005516CD">
              <w:rPr>
                <w:rFonts w:ascii="Calibri" w:eastAsia="Times New Roman" w:hAnsi="Calibri" w:cs="Calibri"/>
                <w:i/>
                <w:sz w:val="18"/>
                <w:szCs w:val="18"/>
              </w:rPr>
              <w:t>For example, construction of dams, reservoirs, river basin developments, groundwater extraction</w:t>
            </w:r>
          </w:p>
        </w:tc>
        <w:tc>
          <w:tcPr>
            <w:tcW w:w="833" w:type="dxa"/>
            <w:tcBorders>
              <w:bottom w:val="single" w:sz="4" w:space="0" w:color="auto"/>
            </w:tcBorders>
            <w:shd w:val="clear" w:color="auto" w:fill="auto"/>
          </w:tcPr>
          <w:p w14:paraId="44FCDE23"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42B5252F" w14:textId="77777777" w:rsidTr="000A6F69">
        <w:tc>
          <w:tcPr>
            <w:tcW w:w="8635" w:type="dxa"/>
            <w:tcBorders>
              <w:bottom w:val="single" w:sz="4" w:space="0" w:color="auto"/>
            </w:tcBorders>
            <w:shd w:val="clear" w:color="auto" w:fill="auto"/>
          </w:tcPr>
          <w:p w14:paraId="1CC09EBE"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1.9</w:t>
            </w:r>
            <w:r w:rsidRPr="005516CD">
              <w:rPr>
                <w:rFonts w:ascii="Calibri" w:eastAsia="Times New Roman" w:hAnsi="Calibri" w:cs="Calibri"/>
                <w:sz w:val="18"/>
                <w:szCs w:val="18"/>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tcPr>
          <w:p w14:paraId="2496A7EE"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0BE404BC" w14:textId="77777777" w:rsidTr="000A6F69">
        <w:tc>
          <w:tcPr>
            <w:tcW w:w="8635" w:type="dxa"/>
            <w:tcBorders>
              <w:bottom w:val="single" w:sz="4" w:space="0" w:color="auto"/>
            </w:tcBorders>
            <w:shd w:val="clear" w:color="auto" w:fill="auto"/>
          </w:tcPr>
          <w:p w14:paraId="3A60601B" w14:textId="77777777" w:rsidR="00F91241" w:rsidRPr="005516CD" w:rsidRDefault="00F91241" w:rsidP="00F91241">
            <w:pPr>
              <w:tabs>
                <w:tab w:val="left" w:pos="900"/>
              </w:tabs>
              <w:spacing w:before="60" w:after="60"/>
              <w:ind w:left="567" w:hanging="567"/>
              <w:rPr>
                <w:rFonts w:ascii="Calibri" w:eastAsia="Times New Roman" w:hAnsi="Calibri" w:cs="Calibri"/>
                <w:b/>
                <w:sz w:val="18"/>
                <w:szCs w:val="18"/>
              </w:rPr>
            </w:pPr>
            <w:r w:rsidRPr="005516CD">
              <w:rPr>
                <w:rFonts w:ascii="Calibri" w:eastAsia="Times New Roman" w:hAnsi="Calibri" w:cs="Calibri"/>
                <w:sz w:val="18"/>
                <w:szCs w:val="18"/>
              </w:rPr>
              <w:t>1.10</w:t>
            </w:r>
            <w:r w:rsidRPr="005516CD">
              <w:rPr>
                <w:rFonts w:ascii="Calibri" w:eastAsia="Times New Roman" w:hAnsi="Calibri" w:cs="Calibri"/>
                <w:sz w:val="18"/>
                <w:szCs w:val="18"/>
              </w:rPr>
              <w:tab/>
              <w:t>Would the Project generate potential adverse transboundary or global environmental concerns?</w:t>
            </w:r>
          </w:p>
        </w:tc>
        <w:tc>
          <w:tcPr>
            <w:tcW w:w="833" w:type="dxa"/>
            <w:tcBorders>
              <w:bottom w:val="single" w:sz="4" w:space="0" w:color="auto"/>
            </w:tcBorders>
            <w:shd w:val="clear" w:color="auto" w:fill="auto"/>
          </w:tcPr>
          <w:p w14:paraId="1E53B218"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22A1A11B" w14:textId="77777777" w:rsidTr="000A6F69">
        <w:tc>
          <w:tcPr>
            <w:tcW w:w="8635" w:type="dxa"/>
            <w:tcBorders>
              <w:bottom w:val="single" w:sz="4" w:space="0" w:color="auto"/>
            </w:tcBorders>
            <w:shd w:val="clear" w:color="auto" w:fill="auto"/>
          </w:tcPr>
          <w:p w14:paraId="459654BF" w14:textId="77777777" w:rsidR="00F91241" w:rsidRPr="005516CD" w:rsidRDefault="00F91241" w:rsidP="00F91241">
            <w:pPr>
              <w:tabs>
                <w:tab w:val="left" w:pos="900"/>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1.11</w:t>
            </w:r>
            <w:r w:rsidRPr="005516CD">
              <w:rPr>
                <w:rFonts w:ascii="Calibri" w:eastAsia="Times New Roman" w:hAnsi="Calibri" w:cs="Calibri"/>
                <w:sz w:val="18"/>
                <w:szCs w:val="18"/>
              </w:rPr>
              <w:tab/>
              <w:t>Would the Project result in secondary or consequential development activities, which could lead to adverse social and environmental effects, or would it generate cumulative impacts with other known existing or planned activities in the area?</w:t>
            </w:r>
          </w:p>
          <w:p w14:paraId="333E02EC" w14:textId="77777777" w:rsidR="00F91241" w:rsidRPr="005516CD" w:rsidRDefault="00F91241" w:rsidP="00F91241">
            <w:pPr>
              <w:tabs>
                <w:tab w:val="left" w:pos="900"/>
              </w:tabs>
              <w:spacing w:before="60" w:after="60"/>
              <w:ind w:left="567" w:hanging="567"/>
              <w:rPr>
                <w:rFonts w:ascii="Calibri" w:eastAsia="Times New Roman" w:hAnsi="Calibri" w:cs="Calibri"/>
                <w:i/>
                <w:sz w:val="18"/>
                <w:szCs w:val="18"/>
              </w:rPr>
            </w:pPr>
            <w:r w:rsidRPr="005516CD">
              <w:rPr>
                <w:rFonts w:ascii="Calibri" w:eastAsia="Times New Roman" w:hAnsi="Calibri" w:cs="Calibri"/>
                <w:sz w:val="18"/>
                <w:szCs w:val="18"/>
              </w:rPr>
              <w:tab/>
            </w:r>
            <w:r w:rsidRPr="005516CD">
              <w:rPr>
                <w:rFonts w:ascii="Calibri" w:eastAsia="Times New Roman" w:hAnsi="Calibri" w:cs="Calibri"/>
                <w:i/>
                <w:sz w:val="18"/>
                <w:szCs w:val="18"/>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14:paraId="6D02E1E9"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17C4427C" w14:textId="77777777" w:rsidTr="000A6F69">
        <w:trPr>
          <w:trHeight w:val="530"/>
        </w:trPr>
        <w:tc>
          <w:tcPr>
            <w:tcW w:w="8635" w:type="dxa"/>
            <w:tcBorders>
              <w:bottom w:val="single" w:sz="4" w:space="0" w:color="auto"/>
            </w:tcBorders>
            <w:shd w:val="clear" w:color="auto" w:fill="DEEAF6"/>
            <w:vAlign w:val="center"/>
          </w:tcPr>
          <w:p w14:paraId="2DAE4D38" w14:textId="77777777" w:rsidR="00F91241" w:rsidRPr="005516CD" w:rsidRDefault="00F91241" w:rsidP="00F91241">
            <w:pPr>
              <w:tabs>
                <w:tab w:val="left" w:pos="555"/>
              </w:tabs>
              <w:spacing w:before="120" w:after="120"/>
              <w:rPr>
                <w:rFonts w:ascii="Calibri" w:eastAsia="Times New Roman" w:hAnsi="Calibri" w:cs="Calibri"/>
                <w:b/>
                <w:sz w:val="18"/>
                <w:szCs w:val="18"/>
              </w:rPr>
            </w:pPr>
            <w:r w:rsidRPr="005516CD">
              <w:rPr>
                <w:rFonts w:ascii="Calibri" w:eastAsia="Times New Roman" w:hAnsi="Calibri" w:cs="Calibri"/>
                <w:b/>
                <w:sz w:val="18"/>
                <w:szCs w:val="18"/>
              </w:rPr>
              <w:t>Standard 2: Climate Change Mitigation and Adaptation</w:t>
            </w:r>
          </w:p>
        </w:tc>
        <w:tc>
          <w:tcPr>
            <w:tcW w:w="833" w:type="dxa"/>
            <w:tcBorders>
              <w:bottom w:val="single" w:sz="4" w:space="0" w:color="auto"/>
            </w:tcBorders>
            <w:shd w:val="clear" w:color="auto" w:fill="DEEAF6"/>
          </w:tcPr>
          <w:p w14:paraId="12D530F8"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p>
        </w:tc>
      </w:tr>
      <w:tr w:rsidR="00F91241" w:rsidRPr="005516CD" w14:paraId="08D47172" w14:textId="77777777" w:rsidTr="000A6F69">
        <w:tc>
          <w:tcPr>
            <w:tcW w:w="8635" w:type="dxa"/>
            <w:tcBorders>
              <w:bottom w:val="single" w:sz="4" w:space="0" w:color="auto"/>
            </w:tcBorders>
            <w:shd w:val="clear" w:color="auto" w:fill="auto"/>
          </w:tcPr>
          <w:p w14:paraId="5F373ED9"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 xml:space="preserve">2.1 </w:t>
            </w:r>
            <w:r w:rsidRPr="005516CD">
              <w:rPr>
                <w:rFonts w:ascii="Calibri" w:eastAsia="Times New Roman" w:hAnsi="Calibri" w:cs="Calibri"/>
                <w:sz w:val="18"/>
                <w:szCs w:val="18"/>
              </w:rPr>
              <w:tab/>
              <w:t>Will the proposed Project result in significant</w:t>
            </w:r>
            <w:r w:rsidRPr="005516CD">
              <w:rPr>
                <w:rFonts w:ascii="Calibri" w:eastAsia="Helvetica" w:hAnsi="Calibri" w:cs="Calibri"/>
                <w:sz w:val="18"/>
                <w:szCs w:val="18"/>
                <w:vertAlign w:val="superscript"/>
              </w:rPr>
              <w:footnoteReference w:id="86"/>
            </w:r>
            <w:r w:rsidRPr="005516CD">
              <w:rPr>
                <w:rFonts w:ascii="Calibri" w:eastAsia="Times New Roman" w:hAnsi="Calibri" w:cs="Calibri"/>
                <w:sz w:val="18"/>
                <w:szCs w:val="18"/>
                <w:vertAlign w:val="superscript"/>
              </w:rPr>
              <w:t xml:space="preserve"> </w:t>
            </w:r>
            <w:r w:rsidRPr="005516CD">
              <w:rPr>
                <w:rFonts w:ascii="Calibri" w:eastAsia="Times New Roman" w:hAnsi="Calibri" w:cs="Calibri"/>
                <w:sz w:val="18"/>
                <w:szCs w:val="18"/>
              </w:rPr>
              <w:t xml:space="preserve">greenhouse gas emissions or may exacerbate climate change? </w:t>
            </w:r>
          </w:p>
        </w:tc>
        <w:tc>
          <w:tcPr>
            <w:tcW w:w="833" w:type="dxa"/>
            <w:tcBorders>
              <w:bottom w:val="single" w:sz="4" w:space="0" w:color="auto"/>
            </w:tcBorders>
            <w:shd w:val="clear" w:color="auto" w:fill="auto"/>
          </w:tcPr>
          <w:p w14:paraId="657306B0"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79E024A4" w14:textId="77777777" w:rsidTr="000A6F69">
        <w:tc>
          <w:tcPr>
            <w:tcW w:w="8635" w:type="dxa"/>
            <w:tcBorders>
              <w:bottom w:val="single" w:sz="4" w:space="0" w:color="auto"/>
            </w:tcBorders>
            <w:shd w:val="clear" w:color="auto" w:fill="auto"/>
          </w:tcPr>
          <w:p w14:paraId="5910DE48" w14:textId="77777777" w:rsidR="00F91241" w:rsidRPr="005516CD" w:rsidRDefault="00F91241" w:rsidP="00F91241">
            <w:pPr>
              <w:tabs>
                <w:tab w:val="left" w:pos="585"/>
              </w:tabs>
              <w:autoSpaceDE w:val="0"/>
              <w:autoSpaceDN w:val="0"/>
              <w:adjustRightInd w:val="0"/>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2.2</w:t>
            </w:r>
            <w:r w:rsidRPr="005516CD">
              <w:rPr>
                <w:rFonts w:ascii="Calibri" w:eastAsia="Times New Roman" w:hAnsi="Calibri" w:cs="Calibri"/>
                <w:sz w:val="18"/>
                <w:szCs w:val="18"/>
              </w:rPr>
              <w:tab/>
              <w:t xml:space="preserve">Would the potential outcomes of the Project be sensitive or vulnerable to potential impacts of </w:t>
            </w:r>
            <w:r w:rsidRPr="005516CD">
              <w:rPr>
                <w:rFonts w:ascii="Calibri" w:eastAsia="Times New Roman" w:hAnsi="Calibri" w:cs="Calibri"/>
                <w:bCs/>
                <w:color w:val="000000"/>
                <w:sz w:val="18"/>
                <w:szCs w:val="18"/>
              </w:rPr>
              <w:t>climate</w:t>
            </w:r>
            <w:r w:rsidRPr="005516CD">
              <w:rPr>
                <w:rFonts w:ascii="Calibri" w:eastAsia="Times New Roman" w:hAnsi="Calibri" w:cs="Calibri"/>
                <w:sz w:val="18"/>
                <w:szCs w:val="18"/>
              </w:rPr>
              <w:t xml:space="preserve"> change? </w:t>
            </w:r>
          </w:p>
        </w:tc>
        <w:tc>
          <w:tcPr>
            <w:tcW w:w="833" w:type="dxa"/>
            <w:tcBorders>
              <w:bottom w:val="single" w:sz="4" w:space="0" w:color="auto"/>
            </w:tcBorders>
            <w:shd w:val="clear" w:color="auto" w:fill="auto"/>
          </w:tcPr>
          <w:p w14:paraId="772C4F03"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Yes</w:t>
            </w:r>
          </w:p>
        </w:tc>
      </w:tr>
      <w:tr w:rsidR="00F91241" w:rsidRPr="005516CD" w14:paraId="265BF6E8" w14:textId="77777777" w:rsidTr="000A6F69">
        <w:tc>
          <w:tcPr>
            <w:tcW w:w="8635" w:type="dxa"/>
            <w:tcBorders>
              <w:bottom w:val="single" w:sz="4" w:space="0" w:color="auto"/>
            </w:tcBorders>
            <w:shd w:val="clear" w:color="auto" w:fill="auto"/>
          </w:tcPr>
          <w:p w14:paraId="26EA9FD7"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2.3</w:t>
            </w:r>
            <w:r w:rsidRPr="005516CD">
              <w:rPr>
                <w:rFonts w:ascii="Calibri" w:eastAsia="Times New Roman" w:hAnsi="Calibri" w:cs="Calibri"/>
                <w:sz w:val="18"/>
                <w:szCs w:val="18"/>
              </w:rPr>
              <w:tab/>
              <w:t xml:space="preserve">Is the proposed Project likely to directly or indirectly increase social and environmental </w:t>
            </w:r>
            <w:hyperlink w:anchor="CCVulnerabilityGlossary" w:history="1">
              <w:r w:rsidRPr="005516CD">
                <w:rPr>
                  <w:rFonts w:ascii="Calibri" w:eastAsia="Times New Roman" w:hAnsi="Calibri" w:cs="Calibri"/>
                  <w:sz w:val="18"/>
                  <w:szCs w:val="18"/>
                </w:rPr>
                <w:t>vulnerability to climate change</w:t>
              </w:r>
            </w:hyperlink>
            <w:r w:rsidRPr="005516CD">
              <w:rPr>
                <w:rFonts w:ascii="Calibri" w:eastAsia="Times New Roman" w:hAnsi="Calibri" w:cs="Calibri"/>
                <w:sz w:val="18"/>
                <w:szCs w:val="18"/>
              </w:rPr>
              <w:t xml:space="preserve"> now or in the future (also known as maladaptive practices)?</w:t>
            </w:r>
          </w:p>
          <w:p w14:paraId="1202C31D" w14:textId="77777777" w:rsidR="00F91241" w:rsidRPr="005516CD" w:rsidRDefault="00F91241" w:rsidP="00F91241">
            <w:pPr>
              <w:tabs>
                <w:tab w:val="left" w:pos="630"/>
              </w:tabs>
              <w:spacing w:before="60" w:after="60"/>
              <w:ind w:left="630"/>
              <w:rPr>
                <w:rFonts w:ascii="Calibri" w:eastAsia="Times New Roman" w:hAnsi="Calibri" w:cs="Calibri"/>
                <w:sz w:val="18"/>
                <w:szCs w:val="18"/>
              </w:rPr>
            </w:pPr>
            <w:r w:rsidRPr="005516CD">
              <w:rPr>
                <w:rFonts w:ascii="Calibri" w:eastAsia="Times New Roman" w:hAnsi="Calibri" w:cs="Calibri"/>
                <w:i/>
                <w:sz w:val="18"/>
                <w:szCs w:val="18"/>
              </w:rPr>
              <w:t>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14:paraId="0F03F85E"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7DC69D4F" w14:textId="77777777" w:rsidTr="000A6F69">
        <w:trPr>
          <w:trHeight w:val="539"/>
        </w:trPr>
        <w:tc>
          <w:tcPr>
            <w:tcW w:w="8635" w:type="dxa"/>
            <w:tcBorders>
              <w:bottom w:val="single" w:sz="4" w:space="0" w:color="auto"/>
            </w:tcBorders>
            <w:shd w:val="clear" w:color="auto" w:fill="DEEAF6"/>
            <w:vAlign w:val="center"/>
          </w:tcPr>
          <w:p w14:paraId="311BE412" w14:textId="77777777" w:rsidR="00F91241" w:rsidRPr="005516CD" w:rsidRDefault="00F91241" w:rsidP="00F91241">
            <w:pPr>
              <w:tabs>
                <w:tab w:val="left" w:pos="0"/>
                <w:tab w:val="left" w:pos="555"/>
              </w:tabs>
              <w:spacing w:before="60" w:after="60"/>
              <w:rPr>
                <w:rFonts w:ascii="Calibri" w:eastAsia="Times New Roman" w:hAnsi="Calibri" w:cs="Calibri"/>
                <w:b/>
                <w:sz w:val="18"/>
                <w:szCs w:val="18"/>
              </w:rPr>
            </w:pPr>
            <w:r w:rsidRPr="005516CD">
              <w:rPr>
                <w:rFonts w:ascii="Calibri" w:eastAsia="Times New Roman" w:hAnsi="Calibri" w:cs="Calibri"/>
                <w:b/>
                <w:sz w:val="18"/>
                <w:szCs w:val="18"/>
              </w:rPr>
              <w:t>Standard 3: Community Health, Safety and Working Conditions</w:t>
            </w:r>
          </w:p>
        </w:tc>
        <w:tc>
          <w:tcPr>
            <w:tcW w:w="833" w:type="dxa"/>
            <w:tcBorders>
              <w:bottom w:val="single" w:sz="4" w:space="0" w:color="auto"/>
            </w:tcBorders>
            <w:shd w:val="clear" w:color="auto" w:fill="DEEAF6"/>
            <w:vAlign w:val="center"/>
          </w:tcPr>
          <w:p w14:paraId="16094C73"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p>
        </w:tc>
      </w:tr>
      <w:tr w:rsidR="00F91241" w:rsidRPr="005516CD" w14:paraId="55461C9B" w14:textId="77777777" w:rsidTr="000A6F69">
        <w:tc>
          <w:tcPr>
            <w:tcW w:w="8635" w:type="dxa"/>
            <w:tcBorders>
              <w:bottom w:val="single" w:sz="4" w:space="0" w:color="auto"/>
            </w:tcBorders>
            <w:shd w:val="clear" w:color="auto" w:fill="auto"/>
          </w:tcPr>
          <w:p w14:paraId="478DCF1E"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3.1</w:t>
            </w:r>
            <w:r w:rsidRPr="005516CD">
              <w:rPr>
                <w:rFonts w:ascii="Calibri" w:eastAsia="Times New Roman" w:hAnsi="Calibri" w:cs="Calibri"/>
                <w:sz w:val="18"/>
                <w:szCs w:val="18"/>
              </w:rPr>
              <w:tab/>
              <w:t>Would elements of Project construction, operation, or decommissioning pose potential safety risks to local communities?</w:t>
            </w:r>
          </w:p>
        </w:tc>
        <w:tc>
          <w:tcPr>
            <w:tcW w:w="833" w:type="dxa"/>
            <w:tcBorders>
              <w:bottom w:val="single" w:sz="4" w:space="0" w:color="auto"/>
            </w:tcBorders>
            <w:shd w:val="clear" w:color="auto" w:fill="auto"/>
          </w:tcPr>
          <w:p w14:paraId="264F8FA3"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4F4A2E30" w14:textId="77777777" w:rsidTr="000A6F69">
        <w:tc>
          <w:tcPr>
            <w:tcW w:w="8635" w:type="dxa"/>
            <w:tcBorders>
              <w:bottom w:val="single" w:sz="4" w:space="0" w:color="auto"/>
            </w:tcBorders>
            <w:shd w:val="clear" w:color="auto" w:fill="auto"/>
          </w:tcPr>
          <w:p w14:paraId="7DC44F94"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Helvetica" w:hAnsi="Calibri" w:cs="Calibri"/>
                <w:sz w:val="18"/>
                <w:szCs w:val="18"/>
              </w:rPr>
              <w:t>3.2</w:t>
            </w:r>
            <w:r w:rsidRPr="005516CD">
              <w:rPr>
                <w:rFonts w:ascii="Calibri" w:eastAsia="Helvetica" w:hAnsi="Calibri" w:cs="Calibri"/>
                <w:sz w:val="18"/>
                <w:szCs w:val="18"/>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tcPr>
          <w:p w14:paraId="6F2DE8D5"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5B8B80F3" w14:textId="77777777" w:rsidTr="000A6F69">
        <w:tc>
          <w:tcPr>
            <w:tcW w:w="8635" w:type="dxa"/>
            <w:tcBorders>
              <w:bottom w:val="single" w:sz="4" w:space="0" w:color="auto"/>
            </w:tcBorders>
            <w:shd w:val="clear" w:color="auto" w:fill="auto"/>
          </w:tcPr>
          <w:p w14:paraId="6BDAB62F"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3.3</w:t>
            </w:r>
            <w:r w:rsidRPr="005516CD">
              <w:rPr>
                <w:rFonts w:ascii="Calibri" w:eastAsia="Times New Roman" w:hAnsi="Calibri" w:cs="Calibri"/>
                <w:sz w:val="18"/>
                <w:szCs w:val="18"/>
              </w:rPr>
              <w:tab/>
              <w:t>Does the Project involve large-scale infrastructure development (e.g. dams, roads, buildings)?</w:t>
            </w:r>
          </w:p>
        </w:tc>
        <w:tc>
          <w:tcPr>
            <w:tcW w:w="833" w:type="dxa"/>
            <w:tcBorders>
              <w:bottom w:val="single" w:sz="4" w:space="0" w:color="auto"/>
            </w:tcBorders>
            <w:shd w:val="clear" w:color="auto" w:fill="auto"/>
          </w:tcPr>
          <w:p w14:paraId="408C259B"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6D8CF9FC" w14:textId="77777777" w:rsidTr="000A6F69">
        <w:tc>
          <w:tcPr>
            <w:tcW w:w="8635" w:type="dxa"/>
            <w:tcBorders>
              <w:bottom w:val="single" w:sz="4" w:space="0" w:color="auto"/>
            </w:tcBorders>
            <w:shd w:val="clear" w:color="auto" w:fill="auto"/>
          </w:tcPr>
          <w:p w14:paraId="11DEDBB9"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3.4</w:t>
            </w:r>
            <w:r w:rsidRPr="005516CD">
              <w:rPr>
                <w:rFonts w:ascii="Calibri" w:eastAsia="Times New Roman" w:hAnsi="Calibri" w:cs="Calibri"/>
                <w:sz w:val="18"/>
                <w:szCs w:val="18"/>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14:paraId="2D9FFBD6"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00D8C02F" w14:textId="77777777" w:rsidTr="000A6F69">
        <w:tc>
          <w:tcPr>
            <w:tcW w:w="8635" w:type="dxa"/>
            <w:tcBorders>
              <w:bottom w:val="single" w:sz="4" w:space="0" w:color="auto"/>
            </w:tcBorders>
            <w:shd w:val="clear" w:color="auto" w:fill="auto"/>
          </w:tcPr>
          <w:p w14:paraId="545F300E"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3.5</w:t>
            </w:r>
            <w:r w:rsidRPr="005516CD">
              <w:rPr>
                <w:rFonts w:ascii="Calibri" w:eastAsia="Times New Roman" w:hAnsi="Calibri" w:cs="Calibri"/>
                <w:sz w:val="18"/>
                <w:szCs w:val="18"/>
              </w:rPr>
              <w:tab/>
              <w:t>Would the proposed Project be susceptible to or lead to increased vulnerability to earthquakes, subsidence, landslides, erosion, flooding or extreme climatic conditions?</w:t>
            </w:r>
          </w:p>
        </w:tc>
        <w:tc>
          <w:tcPr>
            <w:tcW w:w="833" w:type="dxa"/>
            <w:tcBorders>
              <w:bottom w:val="single" w:sz="4" w:space="0" w:color="auto"/>
            </w:tcBorders>
            <w:shd w:val="clear" w:color="auto" w:fill="auto"/>
          </w:tcPr>
          <w:p w14:paraId="62C37E7F"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Yes</w:t>
            </w:r>
          </w:p>
        </w:tc>
      </w:tr>
      <w:tr w:rsidR="00F91241" w:rsidRPr="005516CD" w14:paraId="71FB107A" w14:textId="77777777" w:rsidTr="000A6F69">
        <w:tc>
          <w:tcPr>
            <w:tcW w:w="8635" w:type="dxa"/>
            <w:tcBorders>
              <w:bottom w:val="single" w:sz="4" w:space="0" w:color="auto"/>
            </w:tcBorders>
            <w:shd w:val="clear" w:color="auto" w:fill="auto"/>
          </w:tcPr>
          <w:p w14:paraId="165169B9"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3.6</w:t>
            </w:r>
            <w:r w:rsidRPr="005516CD">
              <w:rPr>
                <w:rFonts w:ascii="Calibri" w:eastAsia="Times New Roman" w:hAnsi="Calibri" w:cs="Calibri"/>
                <w:sz w:val="18"/>
                <w:szCs w:val="18"/>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tcPr>
          <w:p w14:paraId="4C519CD9"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02F20D5D" w14:textId="77777777" w:rsidTr="000A6F69">
        <w:tc>
          <w:tcPr>
            <w:tcW w:w="8635" w:type="dxa"/>
            <w:tcBorders>
              <w:bottom w:val="single" w:sz="4" w:space="0" w:color="auto"/>
            </w:tcBorders>
            <w:shd w:val="clear" w:color="auto" w:fill="auto"/>
          </w:tcPr>
          <w:p w14:paraId="47B4002C"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3.7</w:t>
            </w:r>
            <w:r w:rsidRPr="005516CD">
              <w:rPr>
                <w:rFonts w:ascii="Calibri" w:eastAsia="Times New Roman" w:hAnsi="Calibri" w:cs="Calibri"/>
                <w:sz w:val="18"/>
                <w:szCs w:val="18"/>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tcPr>
          <w:p w14:paraId="5F776888"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559BE635" w14:textId="77777777" w:rsidTr="000A6F69">
        <w:tc>
          <w:tcPr>
            <w:tcW w:w="8635" w:type="dxa"/>
            <w:tcBorders>
              <w:bottom w:val="single" w:sz="4" w:space="0" w:color="auto"/>
            </w:tcBorders>
            <w:shd w:val="clear" w:color="auto" w:fill="auto"/>
          </w:tcPr>
          <w:p w14:paraId="1AF7681A"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3.8</w:t>
            </w:r>
            <w:r w:rsidRPr="005516CD">
              <w:rPr>
                <w:rFonts w:ascii="Calibri" w:eastAsia="Times New Roman" w:hAnsi="Calibri" w:cs="Calibri"/>
                <w:sz w:val="18"/>
                <w:szCs w:val="18"/>
              </w:rPr>
              <w:tab/>
              <w:t xml:space="preserve">Does the Project involve support for employment or livelihoods that may fail to comply with national and international </w:t>
            </w:r>
            <w:proofErr w:type="spellStart"/>
            <w:r w:rsidRPr="005516CD">
              <w:rPr>
                <w:rFonts w:ascii="Calibri" w:eastAsia="Times New Roman" w:hAnsi="Calibri" w:cs="Calibri"/>
                <w:sz w:val="18"/>
                <w:szCs w:val="18"/>
              </w:rPr>
              <w:t>labor</w:t>
            </w:r>
            <w:proofErr w:type="spellEnd"/>
            <w:r w:rsidRPr="005516CD">
              <w:rPr>
                <w:rFonts w:ascii="Calibri" w:eastAsia="Times New Roman" w:hAnsi="Calibri" w:cs="Calibri"/>
                <w:sz w:val="18"/>
                <w:szCs w:val="18"/>
              </w:rPr>
              <w:t xml:space="preserve"> standards (i.e. principles and standards of ILO fundamental conventions)?  </w:t>
            </w:r>
          </w:p>
        </w:tc>
        <w:tc>
          <w:tcPr>
            <w:tcW w:w="833" w:type="dxa"/>
            <w:tcBorders>
              <w:bottom w:val="single" w:sz="4" w:space="0" w:color="auto"/>
            </w:tcBorders>
            <w:shd w:val="clear" w:color="auto" w:fill="auto"/>
          </w:tcPr>
          <w:p w14:paraId="20617395"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Yes</w:t>
            </w:r>
          </w:p>
        </w:tc>
      </w:tr>
      <w:tr w:rsidR="00F91241" w:rsidRPr="005516CD" w14:paraId="58490C7F" w14:textId="77777777" w:rsidTr="000A6F69">
        <w:tc>
          <w:tcPr>
            <w:tcW w:w="8635" w:type="dxa"/>
            <w:tcBorders>
              <w:bottom w:val="single" w:sz="4" w:space="0" w:color="auto"/>
            </w:tcBorders>
            <w:shd w:val="clear" w:color="auto" w:fill="auto"/>
          </w:tcPr>
          <w:p w14:paraId="58DB593E"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3.9</w:t>
            </w:r>
            <w:r w:rsidRPr="005516CD">
              <w:rPr>
                <w:rFonts w:ascii="Calibri" w:eastAsia="Times New Roman" w:hAnsi="Calibri" w:cs="Calibri"/>
                <w:sz w:val="18"/>
                <w:szCs w:val="18"/>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14:paraId="71FB7F21"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5B3DFFED" w14:textId="77777777" w:rsidTr="000A6F69">
        <w:trPr>
          <w:trHeight w:val="503"/>
        </w:trPr>
        <w:tc>
          <w:tcPr>
            <w:tcW w:w="8635" w:type="dxa"/>
            <w:tcBorders>
              <w:bottom w:val="single" w:sz="4" w:space="0" w:color="auto"/>
            </w:tcBorders>
            <w:shd w:val="clear" w:color="auto" w:fill="DEEAF6"/>
            <w:vAlign w:val="center"/>
          </w:tcPr>
          <w:p w14:paraId="0571598E" w14:textId="77777777" w:rsidR="00F91241" w:rsidRPr="005516CD" w:rsidRDefault="00F91241" w:rsidP="00F91241">
            <w:pPr>
              <w:tabs>
                <w:tab w:val="left" w:pos="0"/>
                <w:tab w:val="left" w:pos="555"/>
              </w:tabs>
              <w:spacing w:before="60" w:after="60"/>
              <w:rPr>
                <w:rFonts w:ascii="Calibri" w:eastAsia="Times New Roman" w:hAnsi="Calibri" w:cs="Calibri"/>
                <w:b/>
                <w:sz w:val="18"/>
                <w:szCs w:val="18"/>
              </w:rPr>
            </w:pPr>
            <w:r w:rsidRPr="005516CD">
              <w:rPr>
                <w:rFonts w:ascii="Calibri" w:eastAsia="Times New Roman" w:hAnsi="Calibri" w:cs="Calibri"/>
                <w:b/>
                <w:sz w:val="18"/>
                <w:szCs w:val="18"/>
              </w:rPr>
              <w:t>Standard 4: Cultural Heritage</w:t>
            </w:r>
          </w:p>
        </w:tc>
        <w:tc>
          <w:tcPr>
            <w:tcW w:w="833" w:type="dxa"/>
            <w:tcBorders>
              <w:bottom w:val="single" w:sz="4" w:space="0" w:color="auto"/>
            </w:tcBorders>
            <w:shd w:val="clear" w:color="auto" w:fill="DEEAF6"/>
            <w:vAlign w:val="center"/>
          </w:tcPr>
          <w:p w14:paraId="688541E6"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p>
        </w:tc>
      </w:tr>
      <w:tr w:rsidR="00F91241" w:rsidRPr="005516CD" w14:paraId="3DA21B18" w14:textId="77777777" w:rsidTr="000A6F69">
        <w:tc>
          <w:tcPr>
            <w:tcW w:w="8635" w:type="dxa"/>
            <w:tcBorders>
              <w:bottom w:val="single" w:sz="4" w:space="0" w:color="auto"/>
            </w:tcBorders>
            <w:shd w:val="clear" w:color="auto" w:fill="auto"/>
          </w:tcPr>
          <w:p w14:paraId="74900C19"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4.1</w:t>
            </w:r>
            <w:r w:rsidRPr="005516CD">
              <w:rPr>
                <w:rFonts w:ascii="Calibri" w:eastAsia="Times New Roman" w:hAnsi="Calibri" w:cs="Calibri"/>
                <w:sz w:val="18"/>
                <w:szCs w:val="18"/>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proofErr w:type="gramStart"/>
            <w:r w:rsidRPr="005516CD">
              <w:rPr>
                <w:rFonts w:ascii="Calibri" w:eastAsia="Times New Roman" w:hAnsi="Calibri" w:cs="Calibri"/>
                <w:sz w:val="18"/>
                <w:szCs w:val="18"/>
              </w:rPr>
              <w:t>protect</w:t>
            </w:r>
            <w:proofErr w:type="gramEnd"/>
            <w:r w:rsidRPr="005516CD">
              <w:rPr>
                <w:rFonts w:ascii="Calibri" w:eastAsia="Times New Roman" w:hAnsi="Calibri" w:cs="Calibri"/>
                <w:sz w:val="18"/>
                <w:szCs w:val="18"/>
              </w:rPr>
              <w:t xml:space="preserve"> and conserve Cultural Heritage may also have inadvertent adverse impacts)</w:t>
            </w:r>
          </w:p>
        </w:tc>
        <w:tc>
          <w:tcPr>
            <w:tcW w:w="833" w:type="dxa"/>
            <w:tcBorders>
              <w:bottom w:val="single" w:sz="4" w:space="0" w:color="auto"/>
            </w:tcBorders>
            <w:shd w:val="clear" w:color="auto" w:fill="auto"/>
          </w:tcPr>
          <w:p w14:paraId="552D1597"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414E5474" w14:textId="77777777" w:rsidTr="000A6F69">
        <w:tc>
          <w:tcPr>
            <w:tcW w:w="8635" w:type="dxa"/>
            <w:tcBorders>
              <w:bottom w:val="single" w:sz="4" w:space="0" w:color="auto"/>
            </w:tcBorders>
            <w:shd w:val="clear" w:color="auto" w:fill="auto"/>
          </w:tcPr>
          <w:p w14:paraId="0EF64E60" w14:textId="77777777" w:rsidR="00F91241" w:rsidRPr="005516CD" w:rsidRDefault="00F91241" w:rsidP="00F91241">
            <w:pPr>
              <w:tabs>
                <w:tab w:val="left" w:pos="585"/>
              </w:tabs>
              <w:spacing w:before="60" w:after="60"/>
              <w:ind w:left="567" w:hanging="567"/>
              <w:rPr>
                <w:rFonts w:ascii="Calibri" w:eastAsia="Times New Roman" w:hAnsi="Calibri" w:cs="Calibri"/>
                <w:b/>
                <w:sz w:val="18"/>
                <w:szCs w:val="18"/>
              </w:rPr>
            </w:pPr>
            <w:r w:rsidRPr="005516CD">
              <w:rPr>
                <w:rFonts w:ascii="Calibri" w:eastAsia="Times New Roman" w:hAnsi="Calibri" w:cs="Calibri"/>
                <w:sz w:val="18"/>
                <w:szCs w:val="18"/>
              </w:rPr>
              <w:t>4.2</w:t>
            </w:r>
            <w:r w:rsidRPr="005516CD">
              <w:rPr>
                <w:rFonts w:ascii="Calibri" w:eastAsia="Times New Roman" w:hAnsi="Calibri" w:cs="Calibri"/>
                <w:sz w:val="18"/>
                <w:szCs w:val="18"/>
              </w:rPr>
              <w:tab/>
              <w:t>Does the Project propose utilizing tangible and/or intangible forms of cultural heritage for commercial or other purposes?</w:t>
            </w:r>
          </w:p>
        </w:tc>
        <w:tc>
          <w:tcPr>
            <w:tcW w:w="833" w:type="dxa"/>
            <w:tcBorders>
              <w:bottom w:val="single" w:sz="4" w:space="0" w:color="auto"/>
            </w:tcBorders>
            <w:shd w:val="clear" w:color="auto" w:fill="auto"/>
          </w:tcPr>
          <w:p w14:paraId="1A296682"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49FC5B8B" w14:textId="77777777" w:rsidTr="000A6F69">
        <w:trPr>
          <w:trHeight w:val="566"/>
        </w:trPr>
        <w:tc>
          <w:tcPr>
            <w:tcW w:w="8635" w:type="dxa"/>
            <w:tcBorders>
              <w:bottom w:val="single" w:sz="4" w:space="0" w:color="auto"/>
            </w:tcBorders>
            <w:shd w:val="clear" w:color="auto" w:fill="DEEAF6"/>
            <w:vAlign w:val="center"/>
          </w:tcPr>
          <w:p w14:paraId="750ACE10" w14:textId="77777777" w:rsidR="00F91241" w:rsidRPr="005516CD" w:rsidRDefault="00F91241" w:rsidP="00F91241">
            <w:pPr>
              <w:tabs>
                <w:tab w:val="left" w:pos="0"/>
                <w:tab w:val="left" w:pos="555"/>
              </w:tabs>
              <w:spacing w:before="60" w:after="60"/>
              <w:rPr>
                <w:rFonts w:ascii="Calibri" w:eastAsia="Times New Roman" w:hAnsi="Calibri" w:cs="Calibri"/>
                <w:b/>
                <w:sz w:val="18"/>
                <w:szCs w:val="18"/>
              </w:rPr>
            </w:pPr>
            <w:r w:rsidRPr="005516CD">
              <w:rPr>
                <w:rFonts w:ascii="Calibri" w:eastAsia="Times New Roman" w:hAnsi="Calibri" w:cs="Calibri"/>
                <w:b/>
                <w:sz w:val="18"/>
                <w:szCs w:val="18"/>
              </w:rPr>
              <w:t>Standard 5: Displacement and Resettlement</w:t>
            </w:r>
          </w:p>
        </w:tc>
        <w:tc>
          <w:tcPr>
            <w:tcW w:w="833" w:type="dxa"/>
            <w:tcBorders>
              <w:bottom w:val="single" w:sz="4" w:space="0" w:color="auto"/>
            </w:tcBorders>
            <w:shd w:val="clear" w:color="auto" w:fill="DEEAF6"/>
            <w:vAlign w:val="center"/>
          </w:tcPr>
          <w:p w14:paraId="3A90398B"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p>
        </w:tc>
      </w:tr>
      <w:tr w:rsidR="00F91241" w:rsidRPr="005516CD" w14:paraId="0697C745" w14:textId="77777777" w:rsidTr="000A6F69">
        <w:tc>
          <w:tcPr>
            <w:tcW w:w="8635" w:type="dxa"/>
            <w:tcBorders>
              <w:bottom w:val="single" w:sz="4" w:space="0" w:color="auto"/>
            </w:tcBorders>
            <w:shd w:val="clear" w:color="auto" w:fill="auto"/>
          </w:tcPr>
          <w:p w14:paraId="7150B95C" w14:textId="77777777" w:rsidR="00F91241" w:rsidRPr="005516CD" w:rsidRDefault="00F91241" w:rsidP="00F91241">
            <w:pPr>
              <w:tabs>
                <w:tab w:val="left" w:pos="585"/>
              </w:tabs>
              <w:spacing w:before="60" w:after="60"/>
              <w:ind w:left="567" w:hanging="567"/>
              <w:rPr>
                <w:rFonts w:ascii="Calibri" w:eastAsia="Times New Roman" w:hAnsi="Calibri" w:cs="Calibri"/>
                <w:b/>
                <w:sz w:val="18"/>
                <w:szCs w:val="18"/>
              </w:rPr>
            </w:pPr>
            <w:r w:rsidRPr="005516CD">
              <w:rPr>
                <w:rFonts w:ascii="Calibri" w:eastAsia="Helvetica" w:hAnsi="Calibri" w:cs="Calibri"/>
                <w:sz w:val="18"/>
                <w:szCs w:val="18"/>
                <w:lang w:eastAsia="en-US"/>
              </w:rPr>
              <w:t>5.1</w:t>
            </w:r>
            <w:r w:rsidRPr="005516CD">
              <w:rPr>
                <w:rFonts w:ascii="Calibri" w:eastAsia="Helvetica" w:hAnsi="Calibri" w:cs="Calibri"/>
                <w:sz w:val="18"/>
                <w:szCs w:val="18"/>
                <w:lang w:eastAsia="en-US"/>
              </w:rPr>
              <w:tab/>
            </w:r>
            <w:r w:rsidRPr="005516CD">
              <w:rPr>
                <w:rFonts w:ascii="Calibri" w:eastAsia="Times New Roman" w:hAnsi="Calibri" w:cs="Calibri"/>
                <w:sz w:val="18"/>
                <w:szCs w:val="18"/>
              </w:rPr>
              <w:t>Would</w:t>
            </w:r>
            <w:r w:rsidRPr="005516CD">
              <w:rPr>
                <w:rFonts w:ascii="Calibri" w:eastAsia="Helvetica" w:hAnsi="Calibri" w:cs="Calibri"/>
                <w:sz w:val="18"/>
                <w:szCs w:val="18"/>
                <w:lang w:eastAsia="en-US"/>
              </w:rPr>
              <w:t xml:space="preserve"> the Project potentially involve temporary or permanent and full or partial physical displacement?</w:t>
            </w:r>
          </w:p>
        </w:tc>
        <w:tc>
          <w:tcPr>
            <w:tcW w:w="833" w:type="dxa"/>
            <w:tcBorders>
              <w:bottom w:val="single" w:sz="4" w:space="0" w:color="auto"/>
            </w:tcBorders>
            <w:shd w:val="clear" w:color="auto" w:fill="auto"/>
          </w:tcPr>
          <w:p w14:paraId="40E404C5"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1CBADBC9" w14:textId="77777777" w:rsidTr="000A6F69">
        <w:tc>
          <w:tcPr>
            <w:tcW w:w="8635" w:type="dxa"/>
            <w:tcBorders>
              <w:bottom w:val="single" w:sz="4" w:space="0" w:color="auto"/>
            </w:tcBorders>
            <w:shd w:val="clear" w:color="auto" w:fill="auto"/>
          </w:tcPr>
          <w:p w14:paraId="07C46368" w14:textId="77777777" w:rsidR="00F91241" w:rsidRPr="005516CD" w:rsidRDefault="00F91241" w:rsidP="00F91241">
            <w:pPr>
              <w:tabs>
                <w:tab w:val="left" w:pos="585"/>
              </w:tabs>
              <w:spacing w:before="60" w:after="60"/>
              <w:ind w:left="567" w:hanging="567"/>
              <w:rPr>
                <w:rFonts w:ascii="Calibri" w:eastAsia="Times New Roman" w:hAnsi="Calibri" w:cs="Calibri"/>
                <w:b/>
                <w:sz w:val="18"/>
                <w:szCs w:val="18"/>
              </w:rPr>
            </w:pPr>
            <w:r w:rsidRPr="005516CD">
              <w:rPr>
                <w:rFonts w:ascii="Calibri" w:eastAsia="Helvetica" w:hAnsi="Calibri" w:cs="Calibri"/>
                <w:sz w:val="18"/>
                <w:szCs w:val="18"/>
                <w:lang w:eastAsia="en-US"/>
              </w:rPr>
              <w:t>5.2</w:t>
            </w:r>
            <w:r w:rsidRPr="005516CD">
              <w:rPr>
                <w:rFonts w:ascii="Calibri" w:eastAsia="Helvetica" w:hAnsi="Calibri" w:cs="Calibri"/>
                <w:sz w:val="18"/>
                <w:szCs w:val="18"/>
                <w:lang w:eastAsia="en-US"/>
              </w:rPr>
              <w:tab/>
            </w:r>
            <w:r w:rsidRPr="005516CD">
              <w:rPr>
                <w:rFonts w:ascii="Calibri" w:eastAsia="Times New Roman" w:hAnsi="Calibri" w:cs="Calibri"/>
                <w:sz w:val="18"/>
                <w:szCs w:val="18"/>
              </w:rPr>
              <w:t>Would</w:t>
            </w:r>
            <w:r w:rsidRPr="005516CD">
              <w:rPr>
                <w:rFonts w:ascii="Calibri" w:eastAsia="Helvetica" w:hAnsi="Calibri" w:cs="Calibri"/>
                <w:sz w:val="18"/>
                <w:szCs w:val="18"/>
                <w:lang w:eastAsia="en-US"/>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tcPr>
          <w:p w14:paraId="14264F3F"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7E519460" w14:textId="77777777" w:rsidTr="000A6F69">
        <w:tc>
          <w:tcPr>
            <w:tcW w:w="8635" w:type="dxa"/>
            <w:tcBorders>
              <w:bottom w:val="single" w:sz="4" w:space="0" w:color="auto"/>
            </w:tcBorders>
            <w:shd w:val="clear" w:color="auto" w:fill="auto"/>
          </w:tcPr>
          <w:p w14:paraId="478E74D4" w14:textId="77777777" w:rsidR="00F91241" w:rsidRPr="005516CD" w:rsidRDefault="00F91241" w:rsidP="00F91241">
            <w:pPr>
              <w:tabs>
                <w:tab w:val="left" w:pos="585"/>
              </w:tabs>
              <w:spacing w:before="60" w:after="60"/>
              <w:ind w:left="567" w:hanging="567"/>
              <w:rPr>
                <w:rFonts w:ascii="Calibri" w:eastAsia="Helvetica" w:hAnsi="Calibri" w:cs="Calibri"/>
                <w:sz w:val="18"/>
                <w:szCs w:val="18"/>
                <w:lang w:eastAsia="en-US"/>
              </w:rPr>
            </w:pPr>
            <w:r w:rsidRPr="005516CD">
              <w:rPr>
                <w:rFonts w:ascii="Calibri" w:eastAsia="Times New Roman" w:hAnsi="Calibri" w:cs="Calibri"/>
                <w:sz w:val="18"/>
                <w:szCs w:val="18"/>
              </w:rPr>
              <w:t>5.3</w:t>
            </w:r>
            <w:r w:rsidRPr="005516CD">
              <w:rPr>
                <w:rFonts w:ascii="Calibri" w:eastAsia="Times New Roman" w:hAnsi="Calibri" w:cs="Calibri"/>
                <w:sz w:val="18"/>
                <w:szCs w:val="18"/>
              </w:rPr>
              <w:tab/>
              <w:t>Is there a risk that the Project would lead to forced evictions?</w:t>
            </w:r>
            <w:r w:rsidRPr="005516CD">
              <w:rPr>
                <w:rFonts w:ascii="Calibri" w:eastAsia="Times New Roman" w:hAnsi="Calibri" w:cs="Calibri"/>
                <w:szCs w:val="18"/>
                <w:vertAlign w:val="superscript"/>
              </w:rPr>
              <w:footnoteReference w:id="87"/>
            </w:r>
          </w:p>
        </w:tc>
        <w:tc>
          <w:tcPr>
            <w:tcW w:w="833" w:type="dxa"/>
            <w:tcBorders>
              <w:bottom w:val="single" w:sz="4" w:space="0" w:color="auto"/>
            </w:tcBorders>
            <w:shd w:val="clear" w:color="auto" w:fill="auto"/>
          </w:tcPr>
          <w:p w14:paraId="3F24B571"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262CA92F" w14:textId="77777777" w:rsidTr="000A6F69">
        <w:tc>
          <w:tcPr>
            <w:tcW w:w="8635" w:type="dxa"/>
            <w:tcBorders>
              <w:bottom w:val="single" w:sz="4" w:space="0" w:color="auto"/>
            </w:tcBorders>
            <w:shd w:val="clear" w:color="auto" w:fill="auto"/>
          </w:tcPr>
          <w:p w14:paraId="1AB62F66"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5.4</w:t>
            </w:r>
            <w:r w:rsidRPr="005516CD">
              <w:rPr>
                <w:rFonts w:ascii="Calibri" w:eastAsia="Times New Roman" w:hAnsi="Calibri" w:cs="Calibri"/>
                <w:sz w:val="18"/>
                <w:szCs w:val="18"/>
              </w:rPr>
              <w:tab/>
              <w:t xml:space="preserve">Would the proposed Project possibly affect land tenure arrangements and/or </w:t>
            </w:r>
            <w:proofErr w:type="gramStart"/>
            <w:r w:rsidRPr="005516CD">
              <w:rPr>
                <w:rFonts w:ascii="Calibri" w:eastAsia="Times New Roman" w:hAnsi="Calibri" w:cs="Calibri"/>
                <w:sz w:val="18"/>
                <w:szCs w:val="18"/>
              </w:rPr>
              <w:t>community based</w:t>
            </w:r>
            <w:proofErr w:type="gramEnd"/>
            <w:r w:rsidRPr="005516CD">
              <w:rPr>
                <w:rFonts w:ascii="Calibri" w:eastAsia="Times New Roman" w:hAnsi="Calibri" w:cs="Calibri"/>
                <w:sz w:val="18"/>
                <w:szCs w:val="18"/>
              </w:rPr>
              <w:t xml:space="preserve"> property rights/customary rights to land, territories and/or resources? </w:t>
            </w:r>
          </w:p>
        </w:tc>
        <w:tc>
          <w:tcPr>
            <w:tcW w:w="833" w:type="dxa"/>
            <w:tcBorders>
              <w:bottom w:val="single" w:sz="4" w:space="0" w:color="auto"/>
            </w:tcBorders>
            <w:shd w:val="clear" w:color="auto" w:fill="auto"/>
          </w:tcPr>
          <w:p w14:paraId="5A450DBB"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71E183DF" w14:textId="77777777" w:rsidTr="000A6F69">
        <w:trPr>
          <w:trHeight w:val="584"/>
        </w:trPr>
        <w:tc>
          <w:tcPr>
            <w:tcW w:w="8635" w:type="dxa"/>
            <w:tcBorders>
              <w:bottom w:val="single" w:sz="4" w:space="0" w:color="auto"/>
            </w:tcBorders>
            <w:shd w:val="clear" w:color="auto" w:fill="DEEAF6"/>
            <w:vAlign w:val="center"/>
          </w:tcPr>
          <w:p w14:paraId="1A633948" w14:textId="77777777" w:rsidR="00F91241" w:rsidRPr="005516CD" w:rsidRDefault="00F91241" w:rsidP="00F91241">
            <w:pPr>
              <w:tabs>
                <w:tab w:val="left" w:pos="0"/>
                <w:tab w:val="left" w:pos="555"/>
              </w:tabs>
              <w:spacing w:before="60" w:after="60"/>
              <w:rPr>
                <w:rFonts w:ascii="Calibri" w:eastAsia="Times New Roman" w:hAnsi="Calibri" w:cs="Calibri"/>
                <w:b/>
                <w:sz w:val="18"/>
                <w:szCs w:val="18"/>
              </w:rPr>
            </w:pPr>
            <w:r w:rsidRPr="005516CD">
              <w:rPr>
                <w:rFonts w:ascii="Calibri" w:eastAsia="Times New Roman" w:hAnsi="Calibri" w:cs="Calibri"/>
                <w:b/>
                <w:sz w:val="18"/>
                <w:szCs w:val="18"/>
              </w:rPr>
              <w:t>Standard 6: Indigenous Peoples</w:t>
            </w:r>
          </w:p>
        </w:tc>
        <w:tc>
          <w:tcPr>
            <w:tcW w:w="833" w:type="dxa"/>
            <w:tcBorders>
              <w:bottom w:val="single" w:sz="4" w:space="0" w:color="auto"/>
            </w:tcBorders>
            <w:shd w:val="clear" w:color="auto" w:fill="DEEAF6"/>
            <w:vAlign w:val="center"/>
          </w:tcPr>
          <w:p w14:paraId="6B994463"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p>
        </w:tc>
      </w:tr>
      <w:tr w:rsidR="00F91241" w:rsidRPr="005516CD" w14:paraId="02367F3F" w14:textId="77777777" w:rsidTr="000A6F69">
        <w:tc>
          <w:tcPr>
            <w:tcW w:w="8635" w:type="dxa"/>
            <w:tcBorders>
              <w:bottom w:val="single" w:sz="4" w:space="0" w:color="auto"/>
            </w:tcBorders>
            <w:shd w:val="clear" w:color="auto" w:fill="auto"/>
          </w:tcPr>
          <w:p w14:paraId="738CF03A" w14:textId="77777777" w:rsidR="00F91241" w:rsidRPr="005516CD" w:rsidRDefault="00F91241" w:rsidP="00F91241">
            <w:pPr>
              <w:tabs>
                <w:tab w:val="left" w:pos="585"/>
              </w:tabs>
              <w:spacing w:before="60" w:after="60"/>
              <w:ind w:left="567" w:hanging="567"/>
              <w:rPr>
                <w:rFonts w:ascii="Calibri" w:eastAsia="Helvetica" w:hAnsi="Calibri" w:cs="Calibri"/>
                <w:sz w:val="18"/>
                <w:szCs w:val="18"/>
                <w:lang w:eastAsia="en-US"/>
              </w:rPr>
            </w:pPr>
            <w:r w:rsidRPr="005516CD">
              <w:rPr>
                <w:rFonts w:ascii="Calibri" w:eastAsia="Helvetica" w:hAnsi="Calibri" w:cs="Calibri"/>
                <w:sz w:val="18"/>
                <w:szCs w:val="18"/>
                <w:lang w:eastAsia="en-US"/>
              </w:rPr>
              <w:t>6.1</w:t>
            </w:r>
            <w:r w:rsidRPr="005516CD">
              <w:rPr>
                <w:rFonts w:ascii="Calibri" w:eastAsia="Helvetica" w:hAnsi="Calibri" w:cs="Calibri"/>
                <w:sz w:val="18"/>
                <w:szCs w:val="18"/>
                <w:lang w:eastAsia="en-US"/>
              </w:rPr>
              <w:tab/>
              <w:t>Are indigenous peoples present in the Project area (including Project area of influence)?</w:t>
            </w:r>
          </w:p>
        </w:tc>
        <w:tc>
          <w:tcPr>
            <w:tcW w:w="833" w:type="dxa"/>
            <w:tcBorders>
              <w:bottom w:val="single" w:sz="4" w:space="0" w:color="auto"/>
            </w:tcBorders>
            <w:shd w:val="clear" w:color="auto" w:fill="auto"/>
          </w:tcPr>
          <w:p w14:paraId="00E8E8C5"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08B0F923" w14:textId="77777777" w:rsidTr="000A6F69">
        <w:tc>
          <w:tcPr>
            <w:tcW w:w="8635" w:type="dxa"/>
            <w:tcBorders>
              <w:bottom w:val="single" w:sz="4" w:space="0" w:color="auto"/>
            </w:tcBorders>
            <w:shd w:val="clear" w:color="auto" w:fill="auto"/>
          </w:tcPr>
          <w:p w14:paraId="7FBC57C5" w14:textId="77777777" w:rsidR="00F91241" w:rsidRPr="005516CD" w:rsidRDefault="00F91241" w:rsidP="00F91241">
            <w:pPr>
              <w:tabs>
                <w:tab w:val="left" w:pos="585"/>
              </w:tabs>
              <w:spacing w:before="60" w:after="60"/>
              <w:ind w:left="567" w:hanging="567"/>
              <w:rPr>
                <w:rFonts w:ascii="Calibri" w:eastAsia="Helvetica" w:hAnsi="Calibri" w:cs="Calibri"/>
                <w:sz w:val="18"/>
                <w:szCs w:val="18"/>
                <w:lang w:eastAsia="en-US"/>
              </w:rPr>
            </w:pPr>
            <w:r w:rsidRPr="005516CD">
              <w:rPr>
                <w:rFonts w:ascii="Calibri" w:eastAsia="Helvetica" w:hAnsi="Calibri" w:cs="Calibri"/>
                <w:sz w:val="18"/>
                <w:szCs w:val="18"/>
                <w:lang w:eastAsia="en-US"/>
              </w:rPr>
              <w:t>6.2</w:t>
            </w:r>
            <w:r w:rsidRPr="005516CD">
              <w:rPr>
                <w:rFonts w:ascii="Calibri" w:eastAsia="Helvetica" w:hAnsi="Calibri" w:cs="Calibri"/>
                <w:sz w:val="18"/>
                <w:szCs w:val="18"/>
                <w:lang w:eastAsia="en-US"/>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tcPr>
          <w:p w14:paraId="77801BA1"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164E85E7" w14:textId="77777777" w:rsidTr="000A6F69">
        <w:tc>
          <w:tcPr>
            <w:tcW w:w="8635" w:type="dxa"/>
            <w:tcBorders>
              <w:bottom w:val="single" w:sz="4" w:space="0" w:color="auto"/>
            </w:tcBorders>
            <w:shd w:val="clear" w:color="auto" w:fill="auto"/>
          </w:tcPr>
          <w:p w14:paraId="08525AC2" w14:textId="77777777" w:rsidR="00F91241" w:rsidRPr="005516CD" w:rsidRDefault="00F91241" w:rsidP="00F91241">
            <w:pPr>
              <w:tabs>
                <w:tab w:val="left" w:pos="585"/>
              </w:tabs>
              <w:spacing w:before="60" w:after="60"/>
              <w:ind w:left="567" w:hanging="567"/>
              <w:rPr>
                <w:rFonts w:ascii="Calibri" w:eastAsia="Helvetica" w:hAnsi="Calibri" w:cs="Calibri"/>
                <w:sz w:val="18"/>
                <w:szCs w:val="18"/>
                <w:lang w:eastAsia="en-US"/>
              </w:rPr>
            </w:pPr>
            <w:r w:rsidRPr="005516CD">
              <w:rPr>
                <w:rFonts w:ascii="Calibri" w:eastAsia="Helvetica" w:hAnsi="Calibri" w:cs="Calibri"/>
                <w:sz w:val="18"/>
                <w:szCs w:val="18"/>
                <w:lang w:eastAsia="en-US"/>
              </w:rPr>
              <w:t>6.3</w:t>
            </w:r>
            <w:r w:rsidRPr="005516CD">
              <w:rPr>
                <w:rFonts w:ascii="Calibri" w:eastAsia="Helvetica" w:hAnsi="Calibri" w:cs="Calibri"/>
                <w:sz w:val="18"/>
                <w:szCs w:val="18"/>
                <w:lang w:eastAsia="en-US"/>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5A7069F0" w14:textId="77777777" w:rsidR="00F91241" w:rsidRPr="005516CD" w:rsidRDefault="00F91241" w:rsidP="00F91241">
            <w:pPr>
              <w:tabs>
                <w:tab w:val="left" w:pos="585"/>
              </w:tabs>
              <w:spacing w:before="60" w:after="60"/>
              <w:ind w:left="567" w:firstLine="40"/>
              <w:rPr>
                <w:rFonts w:ascii="Calibri" w:eastAsia="Helvetica" w:hAnsi="Calibri" w:cs="Calibri"/>
                <w:i/>
                <w:sz w:val="18"/>
                <w:szCs w:val="18"/>
                <w:lang w:eastAsia="en-US"/>
              </w:rPr>
            </w:pPr>
            <w:r w:rsidRPr="005516CD">
              <w:rPr>
                <w:rFonts w:ascii="Calibri" w:eastAsia="Helvetica" w:hAnsi="Calibri" w:cs="Calibri"/>
                <w:i/>
                <w:sz w:val="18"/>
                <w:szCs w:val="18"/>
                <w:lang w:eastAsia="en-US"/>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14:paraId="259D1580"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48B75264" w14:textId="77777777" w:rsidTr="000A6F69">
        <w:tc>
          <w:tcPr>
            <w:tcW w:w="8635" w:type="dxa"/>
            <w:tcBorders>
              <w:bottom w:val="single" w:sz="4" w:space="0" w:color="auto"/>
            </w:tcBorders>
            <w:shd w:val="clear" w:color="auto" w:fill="auto"/>
          </w:tcPr>
          <w:p w14:paraId="5D739D72" w14:textId="77777777" w:rsidR="00F91241" w:rsidRPr="005516CD" w:rsidRDefault="00F91241" w:rsidP="00F91241">
            <w:pPr>
              <w:tabs>
                <w:tab w:val="left" w:pos="585"/>
              </w:tabs>
              <w:spacing w:before="60" w:after="60"/>
              <w:ind w:left="567" w:hanging="567"/>
              <w:rPr>
                <w:rFonts w:ascii="Calibri" w:eastAsia="Helvetica" w:hAnsi="Calibri" w:cs="Calibri"/>
                <w:sz w:val="18"/>
                <w:szCs w:val="18"/>
                <w:lang w:eastAsia="en-US"/>
              </w:rPr>
            </w:pPr>
            <w:r w:rsidRPr="005516CD">
              <w:rPr>
                <w:rFonts w:ascii="Calibri" w:eastAsia="Helvetica" w:hAnsi="Calibri" w:cs="Calibri"/>
                <w:sz w:val="18"/>
                <w:szCs w:val="18"/>
                <w:lang w:eastAsia="en-US"/>
              </w:rPr>
              <w:t>6.4</w:t>
            </w:r>
            <w:r w:rsidRPr="005516CD">
              <w:rPr>
                <w:rFonts w:ascii="Calibri" w:eastAsia="Helvetica" w:hAnsi="Calibri" w:cs="Calibri"/>
                <w:sz w:val="18"/>
                <w:szCs w:val="18"/>
                <w:lang w:eastAsia="en-US"/>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14:paraId="376C16E6"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27F438AF" w14:textId="77777777" w:rsidTr="000A6F69">
        <w:tc>
          <w:tcPr>
            <w:tcW w:w="8635" w:type="dxa"/>
            <w:tcBorders>
              <w:bottom w:val="single" w:sz="4" w:space="0" w:color="auto"/>
            </w:tcBorders>
            <w:shd w:val="clear" w:color="auto" w:fill="auto"/>
          </w:tcPr>
          <w:p w14:paraId="3BE0A231" w14:textId="77777777" w:rsidR="00F91241" w:rsidRPr="005516CD" w:rsidRDefault="00F91241" w:rsidP="00F91241">
            <w:pPr>
              <w:tabs>
                <w:tab w:val="left" w:pos="585"/>
              </w:tabs>
              <w:spacing w:before="60" w:after="60"/>
              <w:ind w:left="567" w:hanging="567"/>
              <w:rPr>
                <w:rFonts w:ascii="Calibri" w:eastAsia="Helvetica" w:hAnsi="Calibri" w:cs="Calibri"/>
                <w:sz w:val="18"/>
                <w:szCs w:val="18"/>
                <w:lang w:eastAsia="en-US"/>
              </w:rPr>
            </w:pPr>
            <w:r w:rsidRPr="005516CD">
              <w:rPr>
                <w:rFonts w:ascii="Calibri" w:eastAsia="Helvetica" w:hAnsi="Calibri" w:cs="Calibri"/>
                <w:sz w:val="18"/>
                <w:szCs w:val="18"/>
                <w:lang w:eastAsia="en-US"/>
              </w:rPr>
              <w:t>6.5</w:t>
            </w:r>
            <w:r w:rsidRPr="005516CD">
              <w:rPr>
                <w:rFonts w:ascii="Calibri" w:eastAsia="Helvetica" w:hAnsi="Calibri" w:cs="Calibri"/>
                <w:sz w:val="18"/>
                <w:szCs w:val="18"/>
                <w:lang w:eastAsia="en-US"/>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tcPr>
          <w:p w14:paraId="33BAFFCD"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2CF2DF4A" w14:textId="77777777" w:rsidTr="000A6F69">
        <w:tc>
          <w:tcPr>
            <w:tcW w:w="8635" w:type="dxa"/>
            <w:tcBorders>
              <w:bottom w:val="single" w:sz="4" w:space="0" w:color="auto"/>
            </w:tcBorders>
            <w:shd w:val="clear" w:color="auto" w:fill="auto"/>
          </w:tcPr>
          <w:p w14:paraId="5F2F69EA" w14:textId="77777777" w:rsidR="00F91241" w:rsidRPr="005516CD" w:rsidRDefault="00F91241" w:rsidP="00F91241">
            <w:pPr>
              <w:tabs>
                <w:tab w:val="left" w:pos="585"/>
              </w:tabs>
              <w:spacing w:before="60" w:after="60"/>
              <w:ind w:left="567" w:hanging="567"/>
              <w:rPr>
                <w:rFonts w:ascii="Calibri" w:eastAsia="Helvetica" w:hAnsi="Calibri" w:cs="Calibri"/>
                <w:sz w:val="18"/>
                <w:szCs w:val="18"/>
                <w:lang w:eastAsia="en-US"/>
              </w:rPr>
            </w:pPr>
            <w:r w:rsidRPr="005516CD">
              <w:rPr>
                <w:rFonts w:ascii="Calibri" w:eastAsia="Helvetica" w:hAnsi="Calibri" w:cs="Calibri"/>
                <w:sz w:val="18"/>
                <w:szCs w:val="18"/>
                <w:lang w:eastAsia="en-US"/>
              </w:rPr>
              <w:t>6.6</w:t>
            </w:r>
            <w:r w:rsidRPr="005516CD">
              <w:rPr>
                <w:rFonts w:ascii="Calibri" w:eastAsia="Helvetica" w:hAnsi="Calibri" w:cs="Calibri"/>
                <w:sz w:val="18"/>
                <w:szCs w:val="18"/>
                <w:lang w:eastAsia="en-US"/>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tcPr>
          <w:p w14:paraId="38FF15C4"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13330416" w14:textId="77777777" w:rsidTr="000A6F69">
        <w:tc>
          <w:tcPr>
            <w:tcW w:w="8635" w:type="dxa"/>
            <w:tcBorders>
              <w:bottom w:val="single" w:sz="4" w:space="0" w:color="auto"/>
            </w:tcBorders>
            <w:shd w:val="clear" w:color="auto" w:fill="auto"/>
          </w:tcPr>
          <w:p w14:paraId="7C6CE09D" w14:textId="77777777" w:rsidR="00F91241" w:rsidRPr="005516CD" w:rsidRDefault="00F91241" w:rsidP="00F91241">
            <w:pPr>
              <w:tabs>
                <w:tab w:val="left" w:pos="585"/>
              </w:tabs>
              <w:spacing w:before="60" w:after="60"/>
              <w:ind w:left="567" w:hanging="567"/>
              <w:rPr>
                <w:rFonts w:ascii="Calibri" w:eastAsia="Helvetica" w:hAnsi="Calibri" w:cs="Calibri"/>
                <w:sz w:val="18"/>
                <w:szCs w:val="18"/>
                <w:lang w:eastAsia="en-US"/>
              </w:rPr>
            </w:pPr>
            <w:r w:rsidRPr="005516CD">
              <w:rPr>
                <w:rFonts w:ascii="Calibri" w:eastAsia="Helvetica" w:hAnsi="Calibri" w:cs="Calibri"/>
                <w:sz w:val="18"/>
                <w:szCs w:val="18"/>
                <w:lang w:eastAsia="en-US"/>
              </w:rPr>
              <w:t>6.7</w:t>
            </w:r>
            <w:r w:rsidRPr="005516CD">
              <w:rPr>
                <w:rFonts w:ascii="Calibri" w:eastAsia="Helvetica" w:hAnsi="Calibri" w:cs="Calibri"/>
                <w:sz w:val="18"/>
                <w:szCs w:val="18"/>
                <w:lang w:eastAsia="en-US"/>
              </w:rPr>
              <w:tab/>
              <w:t>Would the Project adversely affect the development priorities of indigenous peoples as defined by them?</w:t>
            </w:r>
          </w:p>
        </w:tc>
        <w:tc>
          <w:tcPr>
            <w:tcW w:w="833" w:type="dxa"/>
            <w:tcBorders>
              <w:bottom w:val="single" w:sz="4" w:space="0" w:color="auto"/>
            </w:tcBorders>
            <w:shd w:val="clear" w:color="auto" w:fill="auto"/>
          </w:tcPr>
          <w:p w14:paraId="77F1D2DB"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05A9883B" w14:textId="77777777" w:rsidTr="000A6F69">
        <w:tc>
          <w:tcPr>
            <w:tcW w:w="8635" w:type="dxa"/>
            <w:tcBorders>
              <w:bottom w:val="single" w:sz="4" w:space="0" w:color="auto"/>
            </w:tcBorders>
            <w:shd w:val="clear" w:color="auto" w:fill="auto"/>
          </w:tcPr>
          <w:p w14:paraId="27308275" w14:textId="77777777" w:rsidR="00F91241" w:rsidRPr="005516CD" w:rsidRDefault="00F91241" w:rsidP="00F91241">
            <w:pPr>
              <w:tabs>
                <w:tab w:val="left" w:pos="585"/>
              </w:tabs>
              <w:spacing w:before="60" w:after="60"/>
              <w:ind w:left="567" w:hanging="567"/>
              <w:rPr>
                <w:rFonts w:ascii="Calibri" w:eastAsia="Helvetica" w:hAnsi="Calibri" w:cs="Calibri"/>
                <w:sz w:val="18"/>
                <w:szCs w:val="18"/>
                <w:lang w:eastAsia="en-US"/>
              </w:rPr>
            </w:pPr>
            <w:r w:rsidRPr="005516CD">
              <w:rPr>
                <w:rFonts w:ascii="Calibri" w:eastAsia="Helvetica" w:hAnsi="Calibri" w:cs="Calibri"/>
                <w:sz w:val="18"/>
                <w:szCs w:val="18"/>
                <w:lang w:eastAsia="en-US"/>
              </w:rPr>
              <w:t>6.8</w:t>
            </w:r>
            <w:r w:rsidRPr="005516CD">
              <w:rPr>
                <w:rFonts w:ascii="Calibri" w:eastAsia="Helvetica" w:hAnsi="Calibri" w:cs="Calibri"/>
                <w:sz w:val="18"/>
                <w:szCs w:val="18"/>
                <w:lang w:eastAsia="en-US"/>
              </w:rPr>
              <w:tab/>
              <w:t>Would the Project potentially affect the physical and cultural survival of indigenous peoples?</w:t>
            </w:r>
          </w:p>
        </w:tc>
        <w:tc>
          <w:tcPr>
            <w:tcW w:w="833" w:type="dxa"/>
            <w:tcBorders>
              <w:bottom w:val="single" w:sz="4" w:space="0" w:color="auto"/>
            </w:tcBorders>
            <w:shd w:val="clear" w:color="auto" w:fill="auto"/>
          </w:tcPr>
          <w:p w14:paraId="0B097A67"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3D774063" w14:textId="77777777" w:rsidTr="000A6F69">
        <w:tc>
          <w:tcPr>
            <w:tcW w:w="8635" w:type="dxa"/>
            <w:tcBorders>
              <w:bottom w:val="single" w:sz="4" w:space="0" w:color="auto"/>
            </w:tcBorders>
            <w:shd w:val="clear" w:color="auto" w:fill="auto"/>
          </w:tcPr>
          <w:p w14:paraId="53DBE57F" w14:textId="77777777" w:rsidR="00F91241" w:rsidRPr="005516CD" w:rsidRDefault="00F91241" w:rsidP="00F91241">
            <w:pPr>
              <w:tabs>
                <w:tab w:val="left" w:pos="585"/>
              </w:tabs>
              <w:spacing w:before="60" w:after="60"/>
              <w:ind w:left="567" w:hanging="567"/>
              <w:rPr>
                <w:rFonts w:ascii="Calibri" w:eastAsia="Helvetica" w:hAnsi="Calibri" w:cs="Calibri"/>
                <w:sz w:val="18"/>
                <w:szCs w:val="18"/>
                <w:lang w:eastAsia="en-US"/>
              </w:rPr>
            </w:pPr>
            <w:r w:rsidRPr="005516CD">
              <w:rPr>
                <w:rFonts w:ascii="Calibri" w:eastAsia="Helvetica" w:hAnsi="Calibri" w:cs="Calibri"/>
                <w:sz w:val="18"/>
                <w:szCs w:val="18"/>
                <w:lang w:eastAsia="en-US"/>
              </w:rPr>
              <w:t>6.9</w:t>
            </w:r>
            <w:r w:rsidRPr="005516CD">
              <w:rPr>
                <w:rFonts w:ascii="Calibri" w:eastAsia="Helvetica" w:hAnsi="Calibri" w:cs="Calibri"/>
                <w:sz w:val="18"/>
                <w:szCs w:val="18"/>
                <w:lang w:eastAsia="en-US"/>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14:paraId="36001D77"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2A3C2A76" w14:textId="77777777" w:rsidTr="000A6F69">
        <w:trPr>
          <w:trHeight w:val="602"/>
        </w:trPr>
        <w:tc>
          <w:tcPr>
            <w:tcW w:w="8635" w:type="dxa"/>
            <w:tcBorders>
              <w:bottom w:val="single" w:sz="4" w:space="0" w:color="auto"/>
            </w:tcBorders>
            <w:shd w:val="clear" w:color="auto" w:fill="DEEAF6"/>
            <w:vAlign w:val="center"/>
          </w:tcPr>
          <w:p w14:paraId="22EDEDDC" w14:textId="77777777" w:rsidR="00F91241" w:rsidRPr="005516CD" w:rsidRDefault="00F91241" w:rsidP="00F91241">
            <w:pPr>
              <w:tabs>
                <w:tab w:val="left" w:pos="570"/>
              </w:tabs>
              <w:spacing w:before="120"/>
              <w:rPr>
                <w:rFonts w:ascii="Calibri" w:eastAsia="Times New Roman" w:hAnsi="Calibri" w:cs="Calibri"/>
                <w:b/>
                <w:sz w:val="18"/>
                <w:szCs w:val="18"/>
              </w:rPr>
            </w:pPr>
            <w:r w:rsidRPr="005516CD">
              <w:rPr>
                <w:rFonts w:ascii="Calibri" w:eastAsia="Times New Roman" w:hAnsi="Calibri" w:cs="Calibri"/>
                <w:b/>
                <w:sz w:val="18"/>
                <w:szCs w:val="18"/>
              </w:rPr>
              <w:t>Standard 7: Pollution Prevention and Resource Efficiency</w:t>
            </w:r>
          </w:p>
        </w:tc>
        <w:tc>
          <w:tcPr>
            <w:tcW w:w="833" w:type="dxa"/>
            <w:tcBorders>
              <w:bottom w:val="single" w:sz="4" w:space="0" w:color="auto"/>
            </w:tcBorders>
            <w:shd w:val="clear" w:color="auto" w:fill="DEEAF6"/>
            <w:vAlign w:val="center"/>
          </w:tcPr>
          <w:p w14:paraId="1CCAC6DF" w14:textId="77777777" w:rsidR="00F91241" w:rsidRPr="005516CD" w:rsidRDefault="00F91241" w:rsidP="00F91241">
            <w:pPr>
              <w:rPr>
                <w:rFonts w:ascii="Calibri" w:eastAsia="Times New Roman" w:hAnsi="Calibri" w:cs="Calibri"/>
                <w:b/>
                <w:i/>
                <w:sz w:val="18"/>
                <w:szCs w:val="18"/>
              </w:rPr>
            </w:pPr>
          </w:p>
        </w:tc>
      </w:tr>
      <w:tr w:rsidR="00F91241" w:rsidRPr="005516CD" w14:paraId="615F7325" w14:textId="77777777" w:rsidTr="000A6F69">
        <w:tc>
          <w:tcPr>
            <w:tcW w:w="8635" w:type="dxa"/>
            <w:shd w:val="clear" w:color="auto" w:fill="auto"/>
          </w:tcPr>
          <w:p w14:paraId="6135B55A"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7.1</w:t>
            </w:r>
            <w:r w:rsidRPr="005516CD">
              <w:rPr>
                <w:rFonts w:ascii="Calibri" w:eastAsia="Times New Roman" w:hAnsi="Calibri" w:cs="Calibri"/>
                <w:sz w:val="18"/>
                <w:szCs w:val="18"/>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5516CD">
                <w:rPr>
                  <w:rFonts w:ascii="Calibri" w:eastAsia="Times New Roman" w:hAnsi="Calibri" w:cs="Calibri"/>
                  <w:sz w:val="18"/>
                  <w:szCs w:val="18"/>
                </w:rPr>
                <w:t>transboundary impacts</w:t>
              </w:r>
            </w:hyperlink>
            <w:r w:rsidRPr="005516CD">
              <w:rPr>
                <w:rFonts w:ascii="Calibri" w:eastAsia="Times New Roman" w:hAnsi="Calibri" w:cs="Calibri"/>
                <w:sz w:val="18"/>
                <w:szCs w:val="18"/>
              </w:rPr>
              <w:t xml:space="preserve">? </w:t>
            </w:r>
          </w:p>
        </w:tc>
        <w:tc>
          <w:tcPr>
            <w:tcW w:w="833" w:type="dxa"/>
            <w:shd w:val="clear" w:color="auto" w:fill="auto"/>
          </w:tcPr>
          <w:p w14:paraId="647B1848"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Yes</w:t>
            </w:r>
          </w:p>
        </w:tc>
      </w:tr>
      <w:tr w:rsidR="00F91241" w:rsidRPr="005516CD" w14:paraId="7F330E3B" w14:textId="77777777" w:rsidTr="000A6F69">
        <w:tc>
          <w:tcPr>
            <w:tcW w:w="8635" w:type="dxa"/>
            <w:tcBorders>
              <w:bottom w:val="single" w:sz="4" w:space="0" w:color="auto"/>
            </w:tcBorders>
            <w:shd w:val="clear" w:color="auto" w:fill="auto"/>
          </w:tcPr>
          <w:p w14:paraId="25D14F59"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7.2</w:t>
            </w:r>
            <w:r w:rsidRPr="005516CD">
              <w:rPr>
                <w:rFonts w:ascii="Calibri" w:eastAsia="Times New Roman" w:hAnsi="Calibri" w:cs="Calibri"/>
                <w:sz w:val="18"/>
                <w:szCs w:val="18"/>
              </w:rPr>
              <w:tab/>
              <w:t>Would the proposed Project potentially result in the generation of waste (both hazardous and non-hazardous)?</w:t>
            </w:r>
          </w:p>
        </w:tc>
        <w:tc>
          <w:tcPr>
            <w:tcW w:w="833" w:type="dxa"/>
            <w:tcBorders>
              <w:bottom w:val="single" w:sz="4" w:space="0" w:color="auto"/>
            </w:tcBorders>
            <w:shd w:val="clear" w:color="auto" w:fill="auto"/>
          </w:tcPr>
          <w:p w14:paraId="69DDDB4D"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34922390" w14:textId="77777777" w:rsidTr="000A6F69">
        <w:trPr>
          <w:trHeight w:val="402"/>
        </w:trPr>
        <w:tc>
          <w:tcPr>
            <w:tcW w:w="8635" w:type="dxa"/>
            <w:tcBorders>
              <w:bottom w:val="single" w:sz="4" w:space="0" w:color="auto"/>
            </w:tcBorders>
            <w:shd w:val="clear" w:color="auto" w:fill="auto"/>
          </w:tcPr>
          <w:p w14:paraId="64B5F7E6"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7.3</w:t>
            </w:r>
            <w:r w:rsidRPr="005516CD">
              <w:rPr>
                <w:rFonts w:ascii="Calibri" w:eastAsia="Times New Roman" w:hAnsi="Calibri" w:cs="Calibri"/>
                <w:sz w:val="18"/>
                <w:szCs w:val="18"/>
              </w:rPr>
              <w:tab/>
              <w:t>Will the proposed Project potentially involve the manufacture, trade, release, and/or use of hazardous chemicals and/or materials? Does the Project propose use of chemicals or materials subject to international bans or phase-outs?</w:t>
            </w:r>
          </w:p>
          <w:p w14:paraId="33F4262C" w14:textId="77777777" w:rsidR="00F91241" w:rsidRPr="005516CD" w:rsidRDefault="00F91241" w:rsidP="00F91241">
            <w:pPr>
              <w:tabs>
                <w:tab w:val="left" w:pos="630"/>
              </w:tabs>
              <w:spacing w:before="60" w:after="60"/>
              <w:ind w:left="630"/>
              <w:rPr>
                <w:rFonts w:ascii="Calibri" w:eastAsia="Times New Roman" w:hAnsi="Calibri" w:cs="Calibri"/>
                <w:sz w:val="18"/>
                <w:szCs w:val="18"/>
              </w:rPr>
            </w:pPr>
            <w:r w:rsidRPr="005516CD">
              <w:rPr>
                <w:rFonts w:ascii="Calibri" w:eastAsia="Times New Roman" w:hAnsi="Calibri" w:cs="Calibri"/>
                <w:i/>
                <w:sz w:val="18"/>
                <w:szCs w:val="18"/>
              </w:rPr>
              <w:t>For example, DDT, PCBs and other chemicals listed in international conventions such as the Stockholm Conventions on Persistent Organic Pollutants or the Montreal Protocol</w:t>
            </w:r>
            <w:r w:rsidRPr="005516CD">
              <w:rPr>
                <w:rFonts w:ascii="Calibri" w:eastAsia="Times New Roman" w:hAnsi="Calibri" w:cs="Calibri"/>
                <w:sz w:val="18"/>
                <w:szCs w:val="18"/>
              </w:rPr>
              <w:t xml:space="preserve"> </w:t>
            </w:r>
          </w:p>
        </w:tc>
        <w:tc>
          <w:tcPr>
            <w:tcW w:w="833" w:type="dxa"/>
            <w:tcBorders>
              <w:bottom w:val="single" w:sz="4" w:space="0" w:color="auto"/>
            </w:tcBorders>
            <w:shd w:val="clear" w:color="auto" w:fill="auto"/>
          </w:tcPr>
          <w:p w14:paraId="386923E0" w14:textId="77777777" w:rsidR="00F91241" w:rsidRPr="005516CD" w:rsidRDefault="00F91241" w:rsidP="00F91241">
            <w:pPr>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0A758254" w14:textId="77777777" w:rsidTr="000A6F69">
        <w:tc>
          <w:tcPr>
            <w:tcW w:w="8635" w:type="dxa"/>
            <w:tcBorders>
              <w:bottom w:val="single" w:sz="4" w:space="0" w:color="auto"/>
            </w:tcBorders>
            <w:shd w:val="clear" w:color="auto" w:fill="auto"/>
          </w:tcPr>
          <w:p w14:paraId="656B2753"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 xml:space="preserve">7.4 </w:t>
            </w:r>
            <w:r w:rsidRPr="005516CD">
              <w:rPr>
                <w:rFonts w:ascii="Calibri" w:eastAsia="Times New Roman" w:hAnsi="Calibri" w:cs="Calibri"/>
                <w:sz w:val="18"/>
                <w:szCs w:val="18"/>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tcPr>
          <w:p w14:paraId="5AD07717"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r w:rsidR="00F91241" w:rsidRPr="005516CD" w14:paraId="4BED9265" w14:textId="77777777" w:rsidTr="000A6F69">
        <w:tc>
          <w:tcPr>
            <w:tcW w:w="8635" w:type="dxa"/>
            <w:tcBorders>
              <w:bottom w:val="single" w:sz="4" w:space="0" w:color="auto"/>
            </w:tcBorders>
            <w:shd w:val="clear" w:color="auto" w:fill="auto"/>
          </w:tcPr>
          <w:p w14:paraId="5915833E"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7.5</w:t>
            </w:r>
            <w:r w:rsidRPr="005516CD">
              <w:rPr>
                <w:rFonts w:ascii="Calibri" w:eastAsia="Times New Roman" w:hAnsi="Calibri" w:cs="Calibri"/>
                <w:sz w:val="18"/>
                <w:szCs w:val="18"/>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tcPr>
          <w:p w14:paraId="2958BA3E" w14:textId="77777777" w:rsidR="00F91241" w:rsidRPr="005516CD" w:rsidRDefault="00F91241" w:rsidP="00F91241">
            <w:pPr>
              <w:tabs>
                <w:tab w:val="left" w:pos="585"/>
              </w:tabs>
              <w:spacing w:before="60" w:after="60"/>
              <w:ind w:left="567" w:hanging="567"/>
              <w:rPr>
                <w:rFonts w:ascii="Calibri" w:eastAsia="Times New Roman" w:hAnsi="Calibri" w:cs="Calibri"/>
                <w:sz w:val="18"/>
                <w:szCs w:val="18"/>
              </w:rPr>
            </w:pPr>
            <w:r w:rsidRPr="005516CD">
              <w:rPr>
                <w:rFonts w:ascii="Calibri" w:eastAsia="Times New Roman" w:hAnsi="Calibri" w:cs="Calibri"/>
                <w:sz w:val="18"/>
                <w:szCs w:val="18"/>
              </w:rPr>
              <w:t>No</w:t>
            </w:r>
          </w:p>
        </w:tc>
      </w:tr>
    </w:tbl>
    <w:p w14:paraId="74161D88" w14:textId="77777777" w:rsidR="00F91241" w:rsidRPr="005516CD" w:rsidRDefault="00F91241" w:rsidP="00F91241">
      <w:pPr>
        <w:rPr>
          <w:rFonts w:ascii="Calibri" w:eastAsia="Calibri" w:hAnsi="Calibri"/>
          <w:sz w:val="22"/>
          <w:szCs w:val="22"/>
          <w:lang w:val="en-US" w:eastAsia="en-US"/>
        </w:rPr>
      </w:pPr>
    </w:p>
    <w:p w14:paraId="0F77D961" w14:textId="77777777" w:rsidR="00764C25" w:rsidRPr="005516CD" w:rsidRDefault="00764C25" w:rsidP="00764C25">
      <w:pPr>
        <w:rPr>
          <w:rFonts w:ascii="Calibri" w:eastAsia="Helvetica" w:hAnsi="Calibri" w:cs="Calibri"/>
        </w:rPr>
        <w:sectPr w:rsidR="00764C25" w:rsidRPr="005516CD" w:rsidSect="00F91241">
          <w:pgSz w:w="12240" w:h="15840"/>
          <w:pgMar w:top="1440" w:right="1440" w:bottom="1440" w:left="1440" w:header="720" w:footer="720" w:gutter="0"/>
          <w:cols w:space="720"/>
          <w:titlePg/>
          <w:docGrid w:linePitch="360"/>
        </w:sectPr>
      </w:pPr>
    </w:p>
    <w:p w14:paraId="03DB122B" w14:textId="505EB13D" w:rsidR="007F7192" w:rsidRPr="005516CD" w:rsidRDefault="007F7192" w:rsidP="00D66519">
      <w:pPr>
        <w:pStyle w:val="Heading2"/>
        <w:numPr>
          <w:ilvl w:val="0"/>
          <w:numId w:val="28"/>
        </w:numPr>
        <w:spacing w:after="0"/>
        <w:ind w:left="0" w:firstLine="0"/>
        <w:rPr>
          <w:rStyle w:val="None"/>
          <w:rFonts w:ascii="Calibri" w:eastAsia="Calibri" w:hAnsi="Calibri" w:cs="Calibri"/>
          <w:lang w:val="en-US"/>
        </w:rPr>
      </w:pPr>
      <w:bookmarkStart w:id="119" w:name="_Toc7438643"/>
      <w:bookmarkStart w:id="120" w:name="_Toc7438762"/>
      <w:bookmarkStart w:id="121" w:name="_Toc7535433"/>
      <w:bookmarkStart w:id="122" w:name="_Toc7535980"/>
      <w:bookmarkStart w:id="123" w:name="_Toc7438644"/>
      <w:bookmarkStart w:id="124" w:name="_Toc7438763"/>
      <w:bookmarkStart w:id="125" w:name="_Toc7535434"/>
      <w:bookmarkStart w:id="126" w:name="_Toc7535981"/>
      <w:bookmarkStart w:id="127" w:name="_Toc2448694"/>
      <w:bookmarkStart w:id="128" w:name="_Toc2670715"/>
      <w:bookmarkStart w:id="129" w:name="_Toc2448638"/>
      <w:bookmarkStart w:id="130" w:name="_Toc2448695"/>
      <w:bookmarkStart w:id="131" w:name="_Toc2670716"/>
      <w:bookmarkStart w:id="132" w:name="_Toc8933112"/>
      <w:bookmarkEnd w:id="119"/>
      <w:bookmarkEnd w:id="120"/>
      <w:bookmarkEnd w:id="121"/>
      <w:bookmarkEnd w:id="122"/>
      <w:bookmarkEnd w:id="123"/>
      <w:bookmarkEnd w:id="124"/>
      <w:bookmarkEnd w:id="125"/>
      <w:bookmarkEnd w:id="126"/>
      <w:bookmarkEnd w:id="127"/>
      <w:bookmarkEnd w:id="128"/>
      <w:bookmarkEnd w:id="129"/>
      <w:bookmarkEnd w:id="130"/>
      <w:bookmarkEnd w:id="131"/>
      <w:r w:rsidRPr="005516CD">
        <w:rPr>
          <w:rStyle w:val="None"/>
          <w:rFonts w:ascii="Calibri" w:eastAsia="Calibri" w:hAnsi="Calibri" w:cs="Calibri"/>
          <w:lang w:val="en-US"/>
        </w:rPr>
        <w:t xml:space="preserve">UNDP Project Quality Assurance Report (to be completed by UNDP Country </w:t>
      </w:r>
      <w:proofErr w:type="gramStart"/>
      <w:r w:rsidRPr="005516CD">
        <w:rPr>
          <w:rStyle w:val="None"/>
          <w:rFonts w:ascii="Calibri" w:eastAsia="Calibri" w:hAnsi="Calibri" w:cs="Calibri"/>
          <w:lang w:val="en-US"/>
        </w:rPr>
        <w:t>Office)</w:t>
      </w:r>
      <w:bookmarkEnd w:id="132"/>
      <w:r w:rsidRPr="005516CD">
        <w:rPr>
          <w:rStyle w:val="None"/>
          <w:rFonts w:ascii="Calibri" w:eastAsia="Calibri" w:hAnsi="Calibri" w:cs="Calibri"/>
          <w:lang w:val="en-US"/>
        </w:rPr>
        <w:t xml:space="preserve"> </w:t>
      </w:r>
      <w:r w:rsidR="005169E7">
        <w:rPr>
          <w:rStyle w:val="None"/>
          <w:rFonts w:ascii="Calibri" w:eastAsia="Calibri" w:hAnsi="Calibri" w:cs="Calibri"/>
          <w:lang w:val="en-US"/>
        </w:rPr>
        <w:t xml:space="preserve"> </w:t>
      </w:r>
      <w:r w:rsidR="005169E7">
        <w:rPr>
          <w:rStyle w:val="None"/>
          <w:rFonts w:ascii="Calibri" w:eastAsia="Calibri" w:hAnsi="Calibri" w:cs="Calibri"/>
          <w:color w:val="FF0000"/>
          <w:lang w:val="en-US"/>
        </w:rPr>
        <w:t>to</w:t>
      </w:r>
      <w:proofErr w:type="gramEnd"/>
      <w:r w:rsidR="005169E7">
        <w:rPr>
          <w:rStyle w:val="None"/>
          <w:rFonts w:ascii="Calibri" w:eastAsia="Calibri" w:hAnsi="Calibri" w:cs="Calibri"/>
          <w:color w:val="FF0000"/>
          <w:lang w:val="en-US"/>
        </w:rPr>
        <w:t xml:space="preserve"> be added a</w:t>
      </w:r>
      <w:r w:rsidR="003B4957">
        <w:rPr>
          <w:rStyle w:val="None"/>
          <w:rFonts w:ascii="Calibri" w:eastAsia="Calibri" w:hAnsi="Calibri" w:cs="Calibri"/>
          <w:color w:val="FF0000"/>
          <w:lang w:val="en-US"/>
        </w:rPr>
        <w:t>t time of project implementation workshop</w:t>
      </w:r>
    </w:p>
    <w:p w14:paraId="0654AA61" w14:textId="77777777" w:rsidR="00191AA4" w:rsidRPr="005516CD" w:rsidRDefault="00191AA4" w:rsidP="007B146B"/>
    <w:p w14:paraId="0B5AEE8F" w14:textId="77777777" w:rsidR="00191AA4" w:rsidRPr="005516CD" w:rsidRDefault="00191AA4" w:rsidP="007B146B">
      <w:pPr>
        <w:rPr>
          <w:rFonts w:ascii="Calibri" w:eastAsia="Calibri" w:hAnsi="Calibri" w:cs="Calibri"/>
          <w:color w:val="000000"/>
          <w:sz w:val="20"/>
          <w:szCs w:val="20"/>
          <w:u w:color="000000"/>
        </w:rPr>
      </w:pPr>
    </w:p>
    <w:p w14:paraId="3A7E9FD1" w14:textId="77777777" w:rsidR="00AE3283" w:rsidRPr="005516CD" w:rsidRDefault="00AE3283" w:rsidP="007B146B">
      <w:pPr>
        <w:pStyle w:val="Body"/>
        <w:rPr>
          <w:lang w:val="en-US"/>
        </w:rPr>
        <w:sectPr w:rsidR="00AE3283" w:rsidRPr="005516CD" w:rsidSect="00F91241">
          <w:headerReference w:type="even" r:id="rId82"/>
          <w:headerReference w:type="default" r:id="rId83"/>
          <w:footerReference w:type="default" r:id="rId84"/>
          <w:headerReference w:type="first" r:id="rId85"/>
          <w:pgSz w:w="12240" w:h="15840"/>
          <w:pgMar w:top="1440" w:right="1440" w:bottom="1440" w:left="1440" w:header="708" w:footer="432" w:gutter="0"/>
          <w:cols w:space="720"/>
        </w:sectPr>
      </w:pPr>
    </w:p>
    <w:p w14:paraId="26C5F3C9" w14:textId="77777777" w:rsidR="00191AA4" w:rsidRPr="005516CD" w:rsidRDefault="00191AA4" w:rsidP="007B146B">
      <w:pPr>
        <w:pStyle w:val="Body"/>
        <w:rPr>
          <w:lang w:val="en-US"/>
        </w:rPr>
      </w:pPr>
    </w:p>
    <w:p w14:paraId="13263E37" w14:textId="77777777" w:rsidR="00DE75AB" w:rsidRPr="005516CD" w:rsidRDefault="00DE75AB" w:rsidP="00DE75AB">
      <w:pPr>
        <w:pStyle w:val="Heading2"/>
        <w:numPr>
          <w:ilvl w:val="0"/>
          <w:numId w:val="28"/>
        </w:numPr>
        <w:spacing w:after="0"/>
        <w:ind w:left="0" w:firstLine="0"/>
        <w:rPr>
          <w:rStyle w:val="None"/>
          <w:rFonts w:ascii="Calibri" w:eastAsia="Calibri" w:hAnsi="Calibri" w:cs="Calibri"/>
        </w:rPr>
      </w:pPr>
      <w:bookmarkStart w:id="133" w:name="_Toc6344486"/>
      <w:bookmarkStart w:id="134" w:name="_Toc8933113"/>
      <w:r w:rsidRPr="005516CD">
        <w:rPr>
          <w:rStyle w:val="None"/>
          <w:rFonts w:ascii="Calibri" w:eastAsia="Calibri" w:hAnsi="Calibri" w:cs="Calibri"/>
          <w:lang w:val="en-US"/>
        </w:rPr>
        <w:t>UNDP Risk Log (to be completed by UNDP Country Office)</w:t>
      </w:r>
      <w:bookmarkEnd w:id="133"/>
      <w:bookmarkEnd w:id="134"/>
    </w:p>
    <w:p w14:paraId="3D2D6F70" w14:textId="77777777" w:rsidR="00E538B1" w:rsidRPr="005516CD" w:rsidRDefault="00E538B1" w:rsidP="00DE75AB">
      <w:pPr>
        <w:rPr>
          <w:sz w:val="22"/>
          <w:szCs w:val="22"/>
        </w:rPr>
      </w:pPr>
    </w:p>
    <w:tbl>
      <w:tblPr>
        <w:tblW w:w="9453" w:type="dxa"/>
        <w:tblInd w:w="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2"/>
        <w:gridCol w:w="1643"/>
        <w:gridCol w:w="932"/>
        <w:gridCol w:w="4678"/>
        <w:gridCol w:w="850"/>
        <w:gridCol w:w="988"/>
      </w:tblGrid>
      <w:tr w:rsidR="00DE75AB" w:rsidRPr="005516CD" w14:paraId="7E7ACE3A" w14:textId="77777777" w:rsidTr="00FB5829">
        <w:trPr>
          <w:trHeight w:val="287"/>
          <w:tblHeader/>
        </w:trPr>
        <w:tc>
          <w:tcPr>
            <w:tcW w:w="362" w:type="dxa"/>
            <w:shd w:val="clear" w:color="auto" w:fill="FFCC00"/>
            <w:vAlign w:val="center"/>
            <w:hideMark/>
          </w:tcPr>
          <w:p w14:paraId="13190304" w14:textId="77777777" w:rsidR="00DE75AB" w:rsidRPr="005516CD" w:rsidRDefault="00DE75AB" w:rsidP="00DC0A21">
            <w:pPr>
              <w:jc w:val="center"/>
              <w:rPr>
                <w:rFonts w:asciiTheme="majorHAnsi" w:hAnsiTheme="majorHAnsi" w:cstheme="majorHAnsi"/>
                <w:b/>
                <w:color w:val="000000"/>
                <w:sz w:val="18"/>
                <w:szCs w:val="18"/>
              </w:rPr>
            </w:pPr>
            <w:r w:rsidRPr="005516CD">
              <w:rPr>
                <w:rFonts w:asciiTheme="majorHAnsi" w:hAnsiTheme="majorHAnsi" w:cstheme="majorHAnsi"/>
                <w:b/>
                <w:color w:val="000000"/>
                <w:sz w:val="18"/>
                <w:szCs w:val="18"/>
              </w:rPr>
              <w:t>#</w:t>
            </w:r>
          </w:p>
        </w:tc>
        <w:tc>
          <w:tcPr>
            <w:tcW w:w="1643" w:type="dxa"/>
            <w:shd w:val="clear" w:color="auto" w:fill="FFCC00"/>
            <w:vAlign w:val="center"/>
            <w:hideMark/>
          </w:tcPr>
          <w:p w14:paraId="41957670" w14:textId="77777777" w:rsidR="00DE75AB" w:rsidRPr="005516CD" w:rsidRDefault="00DE75AB" w:rsidP="00DC0A21">
            <w:pPr>
              <w:jc w:val="center"/>
              <w:rPr>
                <w:rFonts w:asciiTheme="majorHAnsi" w:hAnsiTheme="majorHAnsi" w:cstheme="majorHAnsi"/>
                <w:b/>
                <w:color w:val="000000"/>
                <w:sz w:val="18"/>
                <w:szCs w:val="18"/>
              </w:rPr>
            </w:pPr>
            <w:r w:rsidRPr="005516CD">
              <w:rPr>
                <w:rFonts w:asciiTheme="majorHAnsi" w:hAnsiTheme="majorHAnsi" w:cstheme="majorHAnsi"/>
                <w:b/>
                <w:color w:val="000000"/>
                <w:sz w:val="18"/>
                <w:szCs w:val="18"/>
              </w:rPr>
              <w:t>Description of the risk</w:t>
            </w:r>
          </w:p>
        </w:tc>
        <w:tc>
          <w:tcPr>
            <w:tcW w:w="932" w:type="dxa"/>
            <w:shd w:val="clear" w:color="auto" w:fill="FFCC00"/>
            <w:vAlign w:val="center"/>
            <w:hideMark/>
          </w:tcPr>
          <w:p w14:paraId="1DED7331" w14:textId="77777777" w:rsidR="00DE75AB" w:rsidRPr="005516CD" w:rsidRDefault="00DE75AB" w:rsidP="00FB5829">
            <w:pPr>
              <w:ind w:left="-275" w:right="-214"/>
              <w:jc w:val="center"/>
              <w:rPr>
                <w:rFonts w:asciiTheme="majorHAnsi" w:hAnsiTheme="majorHAnsi" w:cstheme="majorHAnsi"/>
                <w:b/>
                <w:color w:val="000000"/>
                <w:sz w:val="18"/>
                <w:szCs w:val="18"/>
              </w:rPr>
            </w:pPr>
            <w:r w:rsidRPr="005516CD">
              <w:rPr>
                <w:rFonts w:asciiTheme="majorHAnsi" w:hAnsiTheme="majorHAnsi" w:cstheme="majorHAnsi"/>
                <w:b/>
                <w:color w:val="000000"/>
                <w:sz w:val="18"/>
                <w:szCs w:val="18"/>
              </w:rPr>
              <w:t>Significance</w:t>
            </w:r>
          </w:p>
        </w:tc>
        <w:tc>
          <w:tcPr>
            <w:tcW w:w="4678" w:type="dxa"/>
            <w:shd w:val="clear" w:color="auto" w:fill="FFCC00"/>
            <w:vAlign w:val="center"/>
            <w:hideMark/>
          </w:tcPr>
          <w:p w14:paraId="3968E3BC" w14:textId="77777777" w:rsidR="00DE75AB" w:rsidRPr="005516CD" w:rsidRDefault="00DE75AB" w:rsidP="00DC0A21">
            <w:pPr>
              <w:jc w:val="center"/>
              <w:rPr>
                <w:rFonts w:asciiTheme="majorHAnsi" w:hAnsiTheme="majorHAnsi" w:cstheme="majorHAnsi"/>
                <w:b/>
                <w:color w:val="000000"/>
                <w:sz w:val="18"/>
                <w:szCs w:val="18"/>
              </w:rPr>
            </w:pPr>
            <w:r w:rsidRPr="005516CD">
              <w:rPr>
                <w:rFonts w:asciiTheme="majorHAnsi" w:hAnsiTheme="majorHAnsi" w:cstheme="majorHAnsi"/>
                <w:b/>
                <w:color w:val="000000"/>
                <w:sz w:val="18"/>
                <w:szCs w:val="18"/>
              </w:rPr>
              <w:t xml:space="preserve">Countermeasures/ </w:t>
            </w:r>
            <w:proofErr w:type="spellStart"/>
            <w:r w:rsidRPr="005516CD">
              <w:rPr>
                <w:rFonts w:asciiTheme="majorHAnsi" w:hAnsiTheme="majorHAnsi" w:cstheme="majorHAnsi"/>
                <w:b/>
                <w:color w:val="000000"/>
                <w:sz w:val="18"/>
                <w:szCs w:val="18"/>
              </w:rPr>
              <w:t>Mngt</w:t>
            </w:r>
            <w:proofErr w:type="spellEnd"/>
            <w:r w:rsidRPr="005516CD">
              <w:rPr>
                <w:rFonts w:asciiTheme="majorHAnsi" w:hAnsiTheme="majorHAnsi" w:cstheme="majorHAnsi"/>
                <w:b/>
                <w:color w:val="000000"/>
                <w:sz w:val="18"/>
                <w:szCs w:val="18"/>
              </w:rPr>
              <w:t xml:space="preserve"> response</w:t>
            </w:r>
          </w:p>
        </w:tc>
        <w:tc>
          <w:tcPr>
            <w:tcW w:w="850" w:type="dxa"/>
            <w:shd w:val="clear" w:color="auto" w:fill="FFCC00"/>
            <w:vAlign w:val="center"/>
            <w:hideMark/>
          </w:tcPr>
          <w:p w14:paraId="07F58156" w14:textId="77777777" w:rsidR="00DE75AB" w:rsidRPr="005516CD" w:rsidRDefault="00DE75AB" w:rsidP="00DC0A21">
            <w:pPr>
              <w:jc w:val="center"/>
              <w:rPr>
                <w:rFonts w:asciiTheme="majorHAnsi" w:hAnsiTheme="majorHAnsi" w:cstheme="majorHAnsi"/>
                <w:b/>
                <w:color w:val="000000"/>
                <w:sz w:val="18"/>
                <w:szCs w:val="18"/>
              </w:rPr>
            </w:pPr>
            <w:r w:rsidRPr="005516CD">
              <w:rPr>
                <w:rFonts w:asciiTheme="majorHAnsi" w:hAnsiTheme="majorHAnsi" w:cstheme="majorHAnsi"/>
                <w:b/>
                <w:color w:val="000000"/>
                <w:sz w:val="18"/>
                <w:szCs w:val="18"/>
              </w:rPr>
              <w:t>Type (Risk category)</w:t>
            </w:r>
          </w:p>
        </w:tc>
        <w:tc>
          <w:tcPr>
            <w:tcW w:w="988" w:type="dxa"/>
            <w:shd w:val="clear" w:color="auto" w:fill="FFCC00"/>
            <w:vAlign w:val="center"/>
            <w:hideMark/>
          </w:tcPr>
          <w:p w14:paraId="706F7224" w14:textId="77777777" w:rsidR="00DE75AB" w:rsidRPr="005516CD" w:rsidRDefault="00DE75AB" w:rsidP="00FB5829">
            <w:pPr>
              <w:ind w:left="-210" w:right="-208"/>
              <w:jc w:val="center"/>
              <w:rPr>
                <w:rFonts w:asciiTheme="majorHAnsi" w:hAnsiTheme="majorHAnsi" w:cstheme="majorHAnsi"/>
                <w:b/>
                <w:color w:val="000000"/>
                <w:sz w:val="18"/>
                <w:szCs w:val="18"/>
              </w:rPr>
            </w:pPr>
            <w:r w:rsidRPr="005516CD">
              <w:rPr>
                <w:rFonts w:asciiTheme="majorHAnsi" w:hAnsiTheme="majorHAnsi" w:cstheme="majorHAnsi"/>
                <w:b/>
                <w:color w:val="000000"/>
                <w:sz w:val="18"/>
                <w:szCs w:val="18"/>
              </w:rPr>
              <w:t>Probability &amp; Impact (1-5)</w:t>
            </w:r>
          </w:p>
        </w:tc>
      </w:tr>
      <w:tr w:rsidR="00DE75AB" w:rsidRPr="005516CD" w14:paraId="7360FFC6" w14:textId="77777777" w:rsidTr="00FB5829">
        <w:trPr>
          <w:trHeight w:val="287"/>
        </w:trPr>
        <w:tc>
          <w:tcPr>
            <w:tcW w:w="362" w:type="dxa"/>
            <w:shd w:val="clear" w:color="auto" w:fill="auto"/>
          </w:tcPr>
          <w:p w14:paraId="484690B7" w14:textId="77777777" w:rsidR="00DE75AB" w:rsidRPr="005516CD" w:rsidRDefault="00DE75AB" w:rsidP="00A02B3B">
            <w:pPr>
              <w:jc w:val="center"/>
              <w:rPr>
                <w:rFonts w:asciiTheme="majorHAnsi" w:hAnsiTheme="majorHAnsi" w:cstheme="majorHAnsi"/>
                <w:b/>
                <w:color w:val="000000"/>
                <w:sz w:val="18"/>
                <w:szCs w:val="18"/>
              </w:rPr>
            </w:pPr>
            <w:r w:rsidRPr="005516CD">
              <w:rPr>
                <w:rFonts w:asciiTheme="majorHAnsi" w:hAnsiTheme="majorHAnsi" w:cstheme="majorHAnsi"/>
                <w:color w:val="000000"/>
                <w:sz w:val="18"/>
                <w:szCs w:val="18"/>
              </w:rPr>
              <w:t>1</w:t>
            </w:r>
          </w:p>
        </w:tc>
        <w:tc>
          <w:tcPr>
            <w:tcW w:w="1643" w:type="dxa"/>
            <w:shd w:val="clear" w:color="auto" w:fill="auto"/>
          </w:tcPr>
          <w:p w14:paraId="562A89E1" w14:textId="77777777" w:rsidR="00DE75AB" w:rsidRPr="005516CD" w:rsidRDefault="00DE75AB" w:rsidP="00DC0A21">
            <w:pPr>
              <w:rPr>
                <w:rFonts w:asciiTheme="majorHAnsi" w:hAnsiTheme="majorHAnsi" w:cstheme="majorHAnsi"/>
                <w:b/>
                <w:color w:val="000000"/>
                <w:sz w:val="18"/>
                <w:szCs w:val="18"/>
              </w:rPr>
            </w:pPr>
            <w:r w:rsidRPr="005516CD">
              <w:rPr>
                <w:rFonts w:asciiTheme="majorHAnsi" w:hAnsiTheme="majorHAnsi" w:cstheme="majorHAnsi"/>
                <w:color w:val="000000"/>
                <w:sz w:val="18"/>
                <w:szCs w:val="18"/>
              </w:rPr>
              <w:t xml:space="preserve">Government </w:t>
            </w:r>
            <w:r w:rsidR="00A02B3B" w:rsidRPr="005516CD">
              <w:rPr>
                <w:rFonts w:asciiTheme="majorHAnsi" w:hAnsiTheme="majorHAnsi" w:cstheme="majorHAnsi"/>
                <w:color w:val="000000"/>
                <w:sz w:val="18"/>
                <w:szCs w:val="18"/>
              </w:rPr>
              <w:t>may</w:t>
            </w:r>
            <w:r w:rsidRPr="005516CD">
              <w:rPr>
                <w:rFonts w:asciiTheme="majorHAnsi" w:hAnsiTheme="majorHAnsi" w:cstheme="majorHAnsi"/>
                <w:color w:val="000000"/>
                <w:sz w:val="18"/>
                <w:szCs w:val="18"/>
              </w:rPr>
              <w:t xml:space="preserve"> not have funds to sustain the national arrangements, once the project ends</w:t>
            </w:r>
          </w:p>
        </w:tc>
        <w:tc>
          <w:tcPr>
            <w:tcW w:w="932" w:type="dxa"/>
            <w:shd w:val="clear" w:color="auto" w:fill="auto"/>
          </w:tcPr>
          <w:p w14:paraId="38F86EEE" w14:textId="77777777" w:rsidR="00DE75AB" w:rsidRPr="005516CD" w:rsidRDefault="00DE75AB" w:rsidP="00DC0A21">
            <w:pPr>
              <w:rPr>
                <w:rFonts w:asciiTheme="majorHAnsi" w:hAnsiTheme="majorHAnsi" w:cstheme="majorHAnsi"/>
                <w:b/>
                <w:color w:val="000000"/>
                <w:sz w:val="18"/>
                <w:szCs w:val="18"/>
              </w:rPr>
            </w:pPr>
            <w:r w:rsidRPr="005516CD">
              <w:rPr>
                <w:rFonts w:asciiTheme="majorHAnsi" w:hAnsiTheme="majorHAnsi" w:cstheme="majorHAnsi"/>
                <w:color w:val="000000"/>
                <w:sz w:val="18"/>
                <w:szCs w:val="18"/>
              </w:rPr>
              <w:t xml:space="preserve">High </w:t>
            </w:r>
          </w:p>
        </w:tc>
        <w:tc>
          <w:tcPr>
            <w:tcW w:w="4678" w:type="dxa"/>
            <w:shd w:val="clear" w:color="auto" w:fill="auto"/>
          </w:tcPr>
          <w:p w14:paraId="2DC47368" w14:textId="77777777" w:rsidR="00DE75AB" w:rsidRPr="005516CD" w:rsidRDefault="00DE75AB"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The project will involve formulating mechanisms for scaling up investments and addressing financial gaps. This will guide:</w:t>
            </w:r>
          </w:p>
          <w:p w14:paraId="648C398A" w14:textId="77777777" w:rsidR="00DE75AB" w:rsidRPr="005516CD" w:rsidRDefault="00DE75AB" w:rsidP="00FB5829">
            <w:pPr>
              <w:pStyle w:val="ListParagraph"/>
              <w:numPr>
                <w:ilvl w:val="0"/>
                <w:numId w:val="137"/>
              </w:numPr>
              <w:ind w:left="217" w:hanging="157"/>
              <w:rPr>
                <w:rFonts w:asciiTheme="majorHAnsi" w:hAnsiTheme="majorHAnsi" w:cstheme="majorHAnsi"/>
                <w:sz w:val="18"/>
                <w:szCs w:val="18"/>
              </w:rPr>
            </w:pPr>
            <w:r w:rsidRPr="005516CD">
              <w:rPr>
                <w:rFonts w:asciiTheme="majorHAnsi" w:hAnsiTheme="majorHAnsi" w:cstheme="majorHAnsi"/>
                <w:sz w:val="18"/>
                <w:szCs w:val="18"/>
              </w:rPr>
              <w:t>Awareness raising among decision-makers;</w:t>
            </w:r>
          </w:p>
          <w:p w14:paraId="72885E63" w14:textId="77777777" w:rsidR="00DE75AB" w:rsidRPr="005516CD" w:rsidRDefault="00DE75AB" w:rsidP="00FB5829">
            <w:pPr>
              <w:pStyle w:val="ListParagraph"/>
              <w:numPr>
                <w:ilvl w:val="0"/>
                <w:numId w:val="137"/>
              </w:numPr>
              <w:pBdr>
                <w:top w:val="none" w:sz="0" w:space="0" w:color="auto"/>
                <w:left w:val="none" w:sz="0" w:space="0" w:color="auto"/>
                <w:bottom w:val="none" w:sz="0" w:space="0" w:color="auto"/>
                <w:right w:val="none" w:sz="0" w:space="0" w:color="auto"/>
                <w:between w:val="none" w:sz="0" w:space="0" w:color="auto"/>
                <w:bar w:val="none" w:sz="0" w:color="auto"/>
              </w:pBdr>
              <w:ind w:left="217" w:hanging="157"/>
              <w:rPr>
                <w:rFonts w:asciiTheme="majorHAnsi" w:hAnsiTheme="majorHAnsi" w:cstheme="majorHAnsi"/>
                <w:sz w:val="18"/>
                <w:szCs w:val="18"/>
              </w:rPr>
            </w:pPr>
            <w:r w:rsidRPr="005516CD">
              <w:rPr>
                <w:rFonts w:asciiTheme="majorHAnsi" w:hAnsiTheme="majorHAnsi" w:cstheme="majorHAnsi"/>
                <w:sz w:val="18"/>
                <w:szCs w:val="18"/>
              </w:rPr>
              <w:t>Development of an investment strategy;</w:t>
            </w:r>
          </w:p>
          <w:p w14:paraId="7499F472" w14:textId="77777777" w:rsidR="00DE75AB" w:rsidRPr="005516CD" w:rsidRDefault="00DE75AB" w:rsidP="00FB5829">
            <w:pPr>
              <w:pStyle w:val="ListParagraph"/>
              <w:numPr>
                <w:ilvl w:val="0"/>
                <w:numId w:val="137"/>
              </w:numPr>
              <w:pBdr>
                <w:top w:val="none" w:sz="0" w:space="0" w:color="auto"/>
                <w:left w:val="none" w:sz="0" w:space="0" w:color="auto"/>
                <w:bottom w:val="none" w:sz="0" w:space="0" w:color="auto"/>
                <w:right w:val="none" w:sz="0" w:space="0" w:color="auto"/>
                <w:between w:val="none" w:sz="0" w:space="0" w:color="auto"/>
                <w:bar w:val="none" w:sz="0" w:color="auto"/>
              </w:pBdr>
              <w:ind w:left="217" w:hanging="157"/>
              <w:rPr>
                <w:rFonts w:asciiTheme="majorHAnsi" w:hAnsiTheme="majorHAnsi" w:cstheme="majorHAnsi"/>
                <w:sz w:val="18"/>
                <w:szCs w:val="18"/>
              </w:rPr>
            </w:pPr>
            <w:r w:rsidRPr="005516CD">
              <w:rPr>
                <w:rFonts w:asciiTheme="majorHAnsi" w:hAnsiTheme="majorHAnsi" w:cstheme="majorHAnsi"/>
                <w:sz w:val="18"/>
                <w:szCs w:val="18"/>
              </w:rPr>
              <w:t>Outreach to potential donors and private sector investors;</w:t>
            </w:r>
          </w:p>
          <w:p w14:paraId="5143BC9D" w14:textId="77777777" w:rsidR="00DE75AB" w:rsidRPr="005516CD" w:rsidRDefault="00DE75AB" w:rsidP="00FB5829">
            <w:pPr>
              <w:pStyle w:val="ListParagraph"/>
              <w:numPr>
                <w:ilvl w:val="0"/>
                <w:numId w:val="137"/>
              </w:numPr>
              <w:pBdr>
                <w:top w:val="none" w:sz="0" w:space="0" w:color="auto"/>
                <w:left w:val="none" w:sz="0" w:space="0" w:color="auto"/>
                <w:bottom w:val="none" w:sz="0" w:space="0" w:color="auto"/>
                <w:right w:val="none" w:sz="0" w:space="0" w:color="auto"/>
                <w:between w:val="none" w:sz="0" w:space="0" w:color="auto"/>
                <w:bar w:val="none" w:sz="0" w:color="auto"/>
              </w:pBdr>
              <w:ind w:left="217" w:hanging="157"/>
              <w:rPr>
                <w:rFonts w:asciiTheme="majorHAnsi" w:hAnsiTheme="majorHAnsi" w:cstheme="majorHAnsi"/>
                <w:b/>
                <w:sz w:val="18"/>
                <w:szCs w:val="18"/>
              </w:rPr>
            </w:pPr>
            <w:r w:rsidRPr="005516CD">
              <w:rPr>
                <w:rFonts w:asciiTheme="majorHAnsi" w:hAnsiTheme="majorHAnsi" w:cstheme="majorHAnsi"/>
                <w:sz w:val="18"/>
                <w:szCs w:val="18"/>
              </w:rPr>
              <w:t>Collaboration with other co-financing projects which will help to assure synergies among actions on the ground.</w:t>
            </w:r>
          </w:p>
        </w:tc>
        <w:tc>
          <w:tcPr>
            <w:tcW w:w="850" w:type="dxa"/>
            <w:shd w:val="clear" w:color="auto" w:fill="auto"/>
          </w:tcPr>
          <w:p w14:paraId="2EA7AEF9" w14:textId="77777777" w:rsidR="00DE75AB" w:rsidRPr="005516CD" w:rsidRDefault="00DE75AB"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Financial</w:t>
            </w:r>
          </w:p>
        </w:tc>
        <w:tc>
          <w:tcPr>
            <w:tcW w:w="988" w:type="dxa"/>
            <w:shd w:val="clear" w:color="auto" w:fill="auto"/>
          </w:tcPr>
          <w:p w14:paraId="71F05B6C" w14:textId="77777777" w:rsidR="00DE75AB" w:rsidRPr="005516CD" w:rsidRDefault="00DE75AB"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I=4</w:t>
            </w:r>
          </w:p>
          <w:p w14:paraId="2CF03DB0" w14:textId="77777777" w:rsidR="00DE75AB" w:rsidRPr="005516CD" w:rsidRDefault="00DE75AB"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P=3</w:t>
            </w:r>
          </w:p>
          <w:p w14:paraId="177B61BB" w14:textId="77777777" w:rsidR="00DE75AB" w:rsidRPr="005516CD" w:rsidRDefault="00DE75AB" w:rsidP="00DC0A21">
            <w:pPr>
              <w:rPr>
                <w:rFonts w:asciiTheme="majorHAnsi" w:hAnsiTheme="majorHAnsi" w:cstheme="majorHAnsi"/>
                <w:color w:val="000000"/>
                <w:sz w:val="18"/>
                <w:szCs w:val="18"/>
              </w:rPr>
            </w:pPr>
          </w:p>
        </w:tc>
      </w:tr>
      <w:tr w:rsidR="00DE75AB" w:rsidRPr="005516CD" w14:paraId="4F28D4AC" w14:textId="77777777" w:rsidTr="00FB5829">
        <w:trPr>
          <w:trHeight w:val="287"/>
        </w:trPr>
        <w:tc>
          <w:tcPr>
            <w:tcW w:w="362" w:type="dxa"/>
            <w:shd w:val="clear" w:color="auto" w:fill="auto"/>
          </w:tcPr>
          <w:p w14:paraId="6B413BA6" w14:textId="77777777" w:rsidR="00DE75AB" w:rsidRPr="005516CD" w:rsidRDefault="00A02B3B" w:rsidP="00A02B3B">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2</w:t>
            </w:r>
          </w:p>
        </w:tc>
        <w:tc>
          <w:tcPr>
            <w:tcW w:w="1643" w:type="dxa"/>
            <w:shd w:val="clear" w:color="auto" w:fill="auto"/>
          </w:tcPr>
          <w:p w14:paraId="409A3EB9" w14:textId="77777777" w:rsidR="00DE75AB" w:rsidRPr="005516CD" w:rsidRDefault="006B6B5F"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W</w:t>
            </w:r>
            <w:r w:rsidR="00DE75AB" w:rsidRPr="005516CD">
              <w:rPr>
                <w:rFonts w:asciiTheme="majorHAnsi" w:hAnsiTheme="majorHAnsi" w:cstheme="majorHAnsi"/>
                <w:color w:val="000000"/>
                <w:sz w:val="18"/>
                <w:szCs w:val="18"/>
              </w:rPr>
              <w:t xml:space="preserve">eaknesses in Political governance </w:t>
            </w:r>
          </w:p>
        </w:tc>
        <w:tc>
          <w:tcPr>
            <w:tcW w:w="932" w:type="dxa"/>
            <w:shd w:val="clear" w:color="auto" w:fill="auto"/>
          </w:tcPr>
          <w:p w14:paraId="78651CF0" w14:textId="77777777" w:rsidR="00DE75AB" w:rsidRPr="005516CD" w:rsidRDefault="00DE75AB" w:rsidP="00DC0A21">
            <w:pPr>
              <w:rPr>
                <w:rFonts w:asciiTheme="majorHAnsi" w:hAnsiTheme="majorHAnsi" w:cstheme="majorHAnsi"/>
                <w:color w:val="000000"/>
                <w:sz w:val="18"/>
                <w:szCs w:val="18"/>
              </w:rPr>
            </w:pPr>
          </w:p>
          <w:p w14:paraId="5A142C4E" w14:textId="77777777" w:rsidR="00DE75AB" w:rsidRPr="005516CD" w:rsidRDefault="00DE75AB"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High</w:t>
            </w:r>
          </w:p>
          <w:p w14:paraId="52F495C2" w14:textId="77777777" w:rsidR="00DE75AB" w:rsidRPr="005516CD" w:rsidRDefault="00DE75AB"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 </w:t>
            </w:r>
          </w:p>
        </w:tc>
        <w:tc>
          <w:tcPr>
            <w:tcW w:w="4678" w:type="dxa"/>
            <w:shd w:val="clear" w:color="auto" w:fill="auto"/>
          </w:tcPr>
          <w:p w14:paraId="0C222320" w14:textId="77777777" w:rsidR="00DE75AB" w:rsidRPr="005516CD" w:rsidRDefault="00DE75AB" w:rsidP="00FB5829">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Regular meetings with counterparts will be held to reduce risks of discontinuity and increase effectiveness of project monitoring</w:t>
            </w:r>
          </w:p>
          <w:p w14:paraId="14AA2877" w14:textId="77777777" w:rsidR="00DE75AB" w:rsidRPr="005516CD" w:rsidRDefault="00DE75AB" w:rsidP="00FB5829">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 xml:space="preserve">Frequent workshop to sensitize the elected local and national </w:t>
            </w:r>
            <w:r w:rsidRPr="005516CD">
              <w:rPr>
                <w:rFonts w:asciiTheme="majorHAnsi" w:hAnsiTheme="majorHAnsi" w:cstheme="majorHAnsi"/>
                <w:sz w:val="18"/>
                <w:szCs w:val="18"/>
              </w:rPr>
              <w:t>officials</w:t>
            </w:r>
            <w:r w:rsidRPr="005516CD">
              <w:rPr>
                <w:rFonts w:asciiTheme="majorHAnsi" w:hAnsiTheme="majorHAnsi" w:cstheme="majorHAnsi"/>
                <w:color w:val="000000"/>
                <w:sz w:val="18"/>
                <w:szCs w:val="18"/>
              </w:rPr>
              <w:t xml:space="preserve"> to promote biodiversity and natural resources preservation</w:t>
            </w:r>
          </w:p>
          <w:p w14:paraId="5EDF2CA7" w14:textId="77777777" w:rsidR="00DE75AB" w:rsidRPr="005516CD" w:rsidRDefault="00DE75AB"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 xml:space="preserve">Regular technical training organized for technical officers to ensure continuity through political instability </w:t>
            </w:r>
          </w:p>
        </w:tc>
        <w:tc>
          <w:tcPr>
            <w:tcW w:w="850" w:type="dxa"/>
            <w:shd w:val="clear" w:color="auto" w:fill="auto"/>
          </w:tcPr>
          <w:p w14:paraId="32C0F130" w14:textId="77777777" w:rsidR="00DE75AB" w:rsidRPr="005516CD" w:rsidRDefault="00DE75AB"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 xml:space="preserve">Political and </w:t>
            </w:r>
            <w:proofErr w:type="spellStart"/>
            <w:r w:rsidRPr="005516CD">
              <w:rPr>
                <w:rFonts w:asciiTheme="majorHAnsi" w:hAnsiTheme="majorHAnsi" w:cstheme="majorHAnsi"/>
                <w:color w:val="000000"/>
                <w:sz w:val="18"/>
                <w:szCs w:val="18"/>
              </w:rPr>
              <w:t>organi-zational</w:t>
            </w:r>
            <w:proofErr w:type="spellEnd"/>
          </w:p>
        </w:tc>
        <w:tc>
          <w:tcPr>
            <w:tcW w:w="988" w:type="dxa"/>
            <w:shd w:val="clear" w:color="auto" w:fill="auto"/>
          </w:tcPr>
          <w:p w14:paraId="2EF19535" w14:textId="77777777" w:rsidR="00DE75AB" w:rsidRPr="005516CD" w:rsidRDefault="00DE75AB"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I=4</w:t>
            </w:r>
          </w:p>
          <w:p w14:paraId="04F5D2C5" w14:textId="77777777" w:rsidR="00DE75AB" w:rsidRPr="005516CD" w:rsidRDefault="00DE75AB" w:rsidP="00DC0A21">
            <w:pPr>
              <w:rPr>
                <w:rFonts w:asciiTheme="majorHAnsi" w:hAnsiTheme="majorHAnsi" w:cstheme="majorHAnsi"/>
                <w:color w:val="000000"/>
                <w:sz w:val="18"/>
                <w:szCs w:val="18"/>
              </w:rPr>
            </w:pPr>
            <w:r w:rsidRPr="005516CD">
              <w:rPr>
                <w:rFonts w:asciiTheme="majorHAnsi" w:hAnsiTheme="majorHAnsi" w:cstheme="majorHAnsi"/>
                <w:color w:val="000000"/>
                <w:sz w:val="18"/>
                <w:szCs w:val="18"/>
              </w:rPr>
              <w:t>P=4</w:t>
            </w:r>
          </w:p>
          <w:p w14:paraId="65A3921A" w14:textId="77777777" w:rsidR="00DE75AB" w:rsidRPr="005516CD" w:rsidRDefault="00DE75AB" w:rsidP="00DC0A21">
            <w:pPr>
              <w:rPr>
                <w:rFonts w:asciiTheme="majorHAnsi" w:hAnsiTheme="majorHAnsi" w:cstheme="majorHAnsi"/>
                <w:color w:val="000000"/>
                <w:sz w:val="18"/>
                <w:szCs w:val="18"/>
              </w:rPr>
            </w:pPr>
          </w:p>
        </w:tc>
      </w:tr>
      <w:tr w:rsidR="006B6B5F" w:rsidRPr="005516CD" w14:paraId="4F52AAA2" w14:textId="77777777" w:rsidTr="00FB5829">
        <w:trPr>
          <w:trHeight w:val="287"/>
        </w:trPr>
        <w:tc>
          <w:tcPr>
            <w:tcW w:w="362" w:type="dxa"/>
            <w:shd w:val="clear" w:color="auto" w:fill="auto"/>
          </w:tcPr>
          <w:p w14:paraId="6C73B388"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3</w:t>
            </w:r>
          </w:p>
        </w:tc>
        <w:tc>
          <w:tcPr>
            <w:tcW w:w="1643" w:type="dxa"/>
            <w:shd w:val="clear" w:color="auto" w:fill="auto"/>
          </w:tcPr>
          <w:p w14:paraId="2DBB5B93" w14:textId="77777777" w:rsidR="006B6B5F" w:rsidRPr="005516CD" w:rsidRDefault="006B6B5F" w:rsidP="006B6B5F">
            <w:pPr>
              <w:rPr>
                <w:rFonts w:asciiTheme="majorHAnsi" w:hAnsiTheme="majorHAnsi" w:cstheme="majorHAnsi"/>
                <w:sz w:val="18"/>
                <w:szCs w:val="18"/>
              </w:rPr>
            </w:pPr>
            <w:r w:rsidRPr="005516CD">
              <w:rPr>
                <w:rFonts w:asciiTheme="majorHAnsi" w:hAnsiTheme="majorHAnsi" w:cstheme="majorHAnsi"/>
                <w:sz w:val="18"/>
                <w:szCs w:val="18"/>
              </w:rPr>
              <w:t>Weak capacities in Government institutions</w:t>
            </w:r>
          </w:p>
        </w:tc>
        <w:tc>
          <w:tcPr>
            <w:tcW w:w="932" w:type="dxa"/>
            <w:shd w:val="clear" w:color="auto" w:fill="auto"/>
          </w:tcPr>
          <w:p w14:paraId="07B4D0ED" w14:textId="77777777" w:rsidR="006B6B5F" w:rsidRPr="005516CD" w:rsidRDefault="006B6B5F" w:rsidP="006B6B5F">
            <w:pPr>
              <w:rPr>
                <w:rFonts w:asciiTheme="majorHAnsi" w:hAnsiTheme="majorHAnsi" w:cstheme="majorHAnsi"/>
                <w:sz w:val="18"/>
                <w:szCs w:val="18"/>
              </w:rPr>
            </w:pPr>
            <w:r w:rsidRPr="005516CD">
              <w:rPr>
                <w:rFonts w:asciiTheme="majorHAnsi" w:hAnsiTheme="majorHAnsi" w:cstheme="majorHAnsi"/>
                <w:sz w:val="18"/>
                <w:szCs w:val="18"/>
              </w:rPr>
              <w:t>High</w:t>
            </w:r>
          </w:p>
        </w:tc>
        <w:tc>
          <w:tcPr>
            <w:tcW w:w="4678" w:type="dxa"/>
          </w:tcPr>
          <w:p w14:paraId="3EBFC241" w14:textId="77777777" w:rsidR="006B6B5F" w:rsidRPr="005516CD" w:rsidRDefault="006B6B5F" w:rsidP="006B6B5F">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Strengthening of socially- and institutionally sustainable mechanisms for governance in support of tree-rich production systems (Output 1.2), to complement weak State capacities for governance</w:t>
            </w:r>
          </w:p>
          <w:p w14:paraId="5D8C0D41" w14:textId="77777777" w:rsidR="006B6B5F" w:rsidRPr="005516CD" w:rsidRDefault="006B6B5F" w:rsidP="006B6B5F">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Support to farmer-based technology generation and transfer under Output 2.1, to complement to weak State-managed extension services</w:t>
            </w:r>
          </w:p>
          <w:p w14:paraId="60E5680E" w14:textId="77777777" w:rsidR="006B6B5F" w:rsidRPr="005516CD" w:rsidRDefault="006B6B5F" w:rsidP="006B6B5F">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 xml:space="preserve">Support (under Output 2.1) to the private sector in the development and consolidation of systems for the provision of technical assistance (TA) to their supplying farmers, including environmental considerations, to address their concerns regarding the lack of continuity of the TA typically provided by short-term development projects.  </w:t>
            </w:r>
          </w:p>
        </w:tc>
        <w:tc>
          <w:tcPr>
            <w:tcW w:w="850" w:type="dxa"/>
            <w:shd w:val="clear" w:color="auto" w:fill="auto"/>
          </w:tcPr>
          <w:p w14:paraId="5BD5BB13" w14:textId="77777777" w:rsidR="006B6B5F" w:rsidRPr="005516CD" w:rsidRDefault="006B6B5F" w:rsidP="006B6B5F">
            <w:pPr>
              <w:rPr>
                <w:rFonts w:asciiTheme="majorHAnsi" w:hAnsiTheme="majorHAnsi" w:cstheme="majorHAnsi"/>
                <w:color w:val="000000"/>
                <w:sz w:val="18"/>
                <w:szCs w:val="18"/>
              </w:rPr>
            </w:pPr>
            <w:proofErr w:type="spellStart"/>
            <w:r w:rsidRPr="005516CD">
              <w:rPr>
                <w:rFonts w:asciiTheme="majorHAnsi" w:hAnsiTheme="majorHAnsi" w:cstheme="majorHAnsi"/>
                <w:color w:val="000000"/>
                <w:sz w:val="18"/>
                <w:szCs w:val="18"/>
              </w:rPr>
              <w:t>Organi-zational</w:t>
            </w:r>
            <w:proofErr w:type="spellEnd"/>
          </w:p>
        </w:tc>
        <w:tc>
          <w:tcPr>
            <w:tcW w:w="988" w:type="dxa"/>
            <w:shd w:val="clear" w:color="auto" w:fill="auto"/>
          </w:tcPr>
          <w:p w14:paraId="3176A783"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I=4</w:t>
            </w:r>
          </w:p>
          <w:p w14:paraId="30051DBD"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P=5</w:t>
            </w:r>
          </w:p>
        </w:tc>
      </w:tr>
      <w:tr w:rsidR="006B6B5F" w:rsidRPr="005516CD" w14:paraId="77C2D271" w14:textId="77777777" w:rsidTr="00FB5829">
        <w:trPr>
          <w:trHeight w:val="287"/>
        </w:trPr>
        <w:tc>
          <w:tcPr>
            <w:tcW w:w="362" w:type="dxa"/>
            <w:shd w:val="clear" w:color="auto" w:fill="auto"/>
          </w:tcPr>
          <w:p w14:paraId="3168F3ED"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4</w:t>
            </w:r>
          </w:p>
        </w:tc>
        <w:tc>
          <w:tcPr>
            <w:tcW w:w="1643" w:type="dxa"/>
            <w:shd w:val="clear" w:color="auto" w:fill="auto"/>
          </w:tcPr>
          <w:p w14:paraId="2262943B" w14:textId="77777777" w:rsidR="006B6B5F" w:rsidRPr="005516CD" w:rsidRDefault="006B6B5F" w:rsidP="006B6B5F">
            <w:pPr>
              <w:rPr>
                <w:rFonts w:asciiTheme="majorHAnsi" w:hAnsiTheme="majorHAnsi" w:cstheme="majorHAnsi"/>
                <w:sz w:val="18"/>
                <w:szCs w:val="18"/>
              </w:rPr>
            </w:pPr>
            <w:r w:rsidRPr="005516CD">
              <w:rPr>
                <w:rFonts w:asciiTheme="majorHAnsi" w:hAnsiTheme="majorHAnsi" w:cstheme="majorHAnsi"/>
                <w:sz w:val="18"/>
                <w:szCs w:val="18"/>
              </w:rPr>
              <w:t>Limited willingness of purchasers, retailers and exporters to reward producers for delivering GEBs through the provision of price premiums and/or preferential access to markets, and of producers to assume the costs of compliance in the expectation of uncertain price and market benefits. There is also a risk of intended industry-wide standards being undermined by non-compliant private sector actors.</w:t>
            </w:r>
          </w:p>
        </w:tc>
        <w:tc>
          <w:tcPr>
            <w:tcW w:w="932" w:type="dxa"/>
            <w:shd w:val="clear" w:color="auto" w:fill="auto"/>
          </w:tcPr>
          <w:p w14:paraId="3ADD59B3" w14:textId="77777777" w:rsidR="006B6B5F" w:rsidRPr="005516CD" w:rsidRDefault="006B6B5F" w:rsidP="006B6B5F">
            <w:pPr>
              <w:rPr>
                <w:rFonts w:asciiTheme="majorHAnsi" w:hAnsiTheme="majorHAnsi" w:cstheme="majorHAnsi"/>
                <w:sz w:val="18"/>
                <w:szCs w:val="18"/>
              </w:rPr>
            </w:pPr>
            <w:r w:rsidRPr="005516CD">
              <w:rPr>
                <w:rFonts w:asciiTheme="majorHAnsi" w:hAnsiTheme="majorHAnsi" w:cstheme="majorHAnsi"/>
                <w:sz w:val="18"/>
                <w:szCs w:val="18"/>
              </w:rPr>
              <w:t>Moderate</w:t>
            </w:r>
          </w:p>
        </w:tc>
        <w:tc>
          <w:tcPr>
            <w:tcW w:w="4678" w:type="dxa"/>
          </w:tcPr>
          <w:p w14:paraId="58C6FFB1" w14:textId="77777777" w:rsidR="006B6B5F" w:rsidRPr="005516CD" w:rsidRDefault="006B6B5F" w:rsidP="006B6B5F">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Awareness-raising in private sector on the benefits of sound environmental management for ensuring reliability of product supply (under output 1.3, the project will emphasise to both purchasers and producers the tangible benefits that can be expected from compliance with market-based environmental standards, such as ecological and productive sustainability and the buffering of crop production against the impacts of climate change).</w:t>
            </w:r>
          </w:p>
          <w:p w14:paraId="654C1712" w14:textId="77777777" w:rsidR="006B6B5F" w:rsidRPr="005516CD" w:rsidRDefault="006B6B5F" w:rsidP="006B6B5F">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Awareness-raising among producers regarding the benefits of sound environmental management for productive and livelihood sustainability, as alternative motivations in addition to market-based instruments</w:t>
            </w:r>
          </w:p>
          <w:p w14:paraId="331DEB5A" w14:textId="77777777" w:rsidR="006B6B5F" w:rsidRPr="005516CD" w:rsidRDefault="006B6B5F" w:rsidP="006B6B5F">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Support to farmer-based technology generation and transfer in order to reduce reliance on private sector support</w:t>
            </w:r>
          </w:p>
        </w:tc>
        <w:tc>
          <w:tcPr>
            <w:tcW w:w="850" w:type="dxa"/>
            <w:shd w:val="clear" w:color="auto" w:fill="auto"/>
          </w:tcPr>
          <w:p w14:paraId="1DDA9F0F"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Economic</w:t>
            </w:r>
          </w:p>
        </w:tc>
        <w:tc>
          <w:tcPr>
            <w:tcW w:w="988" w:type="dxa"/>
            <w:shd w:val="clear" w:color="auto" w:fill="auto"/>
          </w:tcPr>
          <w:p w14:paraId="6714C13D"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I-3</w:t>
            </w:r>
          </w:p>
          <w:p w14:paraId="2246233E"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P=3</w:t>
            </w:r>
          </w:p>
        </w:tc>
      </w:tr>
      <w:tr w:rsidR="006B6B5F" w:rsidRPr="005516CD" w14:paraId="40B6A2CB" w14:textId="77777777" w:rsidTr="00FB5829">
        <w:trPr>
          <w:trHeight w:val="287"/>
        </w:trPr>
        <w:tc>
          <w:tcPr>
            <w:tcW w:w="362" w:type="dxa"/>
            <w:shd w:val="clear" w:color="auto" w:fill="auto"/>
          </w:tcPr>
          <w:p w14:paraId="08103FDA"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5</w:t>
            </w:r>
          </w:p>
        </w:tc>
        <w:tc>
          <w:tcPr>
            <w:tcW w:w="1643" w:type="dxa"/>
            <w:shd w:val="clear" w:color="auto" w:fill="auto"/>
          </w:tcPr>
          <w:p w14:paraId="726E38FA" w14:textId="77777777" w:rsidR="006B6B5F" w:rsidRPr="005516CD" w:rsidRDefault="006B6B5F" w:rsidP="006B6B5F">
            <w:pPr>
              <w:rPr>
                <w:rFonts w:asciiTheme="majorHAnsi" w:hAnsiTheme="majorHAnsi" w:cstheme="majorHAnsi"/>
                <w:sz w:val="18"/>
                <w:szCs w:val="18"/>
              </w:rPr>
            </w:pPr>
            <w:r w:rsidRPr="005516CD">
              <w:rPr>
                <w:rFonts w:asciiTheme="majorHAnsi" w:hAnsiTheme="majorHAnsi" w:cstheme="majorHAnsi"/>
                <w:sz w:val="18"/>
                <w:szCs w:val="18"/>
              </w:rPr>
              <w:t>Variations or weakness in markets and value chains for target products</w:t>
            </w:r>
          </w:p>
        </w:tc>
        <w:tc>
          <w:tcPr>
            <w:tcW w:w="932" w:type="dxa"/>
            <w:shd w:val="clear" w:color="auto" w:fill="auto"/>
          </w:tcPr>
          <w:p w14:paraId="098CC429" w14:textId="77777777" w:rsidR="006B6B5F" w:rsidRPr="005516CD" w:rsidRDefault="006B6B5F" w:rsidP="006B6B5F">
            <w:pPr>
              <w:rPr>
                <w:rFonts w:asciiTheme="majorHAnsi" w:hAnsiTheme="majorHAnsi" w:cstheme="majorHAnsi"/>
                <w:sz w:val="18"/>
                <w:szCs w:val="18"/>
              </w:rPr>
            </w:pPr>
            <w:r w:rsidRPr="005516CD">
              <w:rPr>
                <w:rFonts w:asciiTheme="majorHAnsi" w:hAnsiTheme="majorHAnsi" w:cstheme="majorHAnsi"/>
                <w:sz w:val="18"/>
                <w:szCs w:val="18"/>
              </w:rPr>
              <w:t>Moderate</w:t>
            </w:r>
          </w:p>
        </w:tc>
        <w:tc>
          <w:tcPr>
            <w:tcW w:w="4678" w:type="dxa"/>
          </w:tcPr>
          <w:p w14:paraId="784E1DC0" w14:textId="77777777" w:rsidR="006B6B5F" w:rsidRPr="005516CD" w:rsidRDefault="006B6B5F" w:rsidP="006B6B5F">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Promotion of productive diversification in order to buffer variations in individual components, through participatory farm planning, the systematization and dissemination of traditional knowledge on diverse farming systems, and the inclusion of diversified systems in the TA packages to be supported through the project.</w:t>
            </w:r>
          </w:p>
          <w:p w14:paraId="67D84C2E" w14:textId="77777777" w:rsidR="006B6B5F" w:rsidRPr="005516CD" w:rsidRDefault="006B6B5F" w:rsidP="006B6B5F">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Complementary emphasis on non-market benefits such as provision of subsistence products, food security and CC resilience</w:t>
            </w:r>
          </w:p>
        </w:tc>
        <w:tc>
          <w:tcPr>
            <w:tcW w:w="850" w:type="dxa"/>
            <w:shd w:val="clear" w:color="auto" w:fill="auto"/>
          </w:tcPr>
          <w:p w14:paraId="6FEF5D3F"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 xml:space="preserve">Economic and </w:t>
            </w:r>
            <w:proofErr w:type="spellStart"/>
            <w:r w:rsidRPr="005516CD">
              <w:rPr>
                <w:rFonts w:asciiTheme="majorHAnsi" w:hAnsiTheme="majorHAnsi" w:cstheme="majorHAnsi"/>
                <w:color w:val="000000"/>
                <w:sz w:val="18"/>
                <w:szCs w:val="18"/>
              </w:rPr>
              <w:t>organi-zational</w:t>
            </w:r>
            <w:proofErr w:type="spellEnd"/>
          </w:p>
        </w:tc>
        <w:tc>
          <w:tcPr>
            <w:tcW w:w="988" w:type="dxa"/>
            <w:shd w:val="clear" w:color="auto" w:fill="auto"/>
          </w:tcPr>
          <w:p w14:paraId="4CD9203D"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P=3</w:t>
            </w:r>
          </w:p>
        </w:tc>
      </w:tr>
      <w:tr w:rsidR="006B6B5F" w:rsidRPr="005516CD" w14:paraId="3B6D957C" w14:textId="77777777" w:rsidTr="00FB5829">
        <w:trPr>
          <w:trHeight w:val="287"/>
        </w:trPr>
        <w:tc>
          <w:tcPr>
            <w:tcW w:w="362" w:type="dxa"/>
            <w:shd w:val="clear" w:color="auto" w:fill="auto"/>
          </w:tcPr>
          <w:p w14:paraId="39902F65"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6</w:t>
            </w:r>
          </w:p>
        </w:tc>
        <w:tc>
          <w:tcPr>
            <w:tcW w:w="1643" w:type="dxa"/>
            <w:shd w:val="clear" w:color="auto" w:fill="auto"/>
          </w:tcPr>
          <w:p w14:paraId="6B7713E0" w14:textId="77777777" w:rsidR="006B6B5F" w:rsidRPr="005516CD" w:rsidRDefault="006B6B5F" w:rsidP="006B6B5F">
            <w:pPr>
              <w:rPr>
                <w:rFonts w:asciiTheme="majorHAnsi" w:eastAsia="Helvetica" w:hAnsiTheme="majorHAnsi" w:cstheme="majorHAnsi"/>
                <w:sz w:val="18"/>
                <w:szCs w:val="18"/>
              </w:rPr>
            </w:pPr>
            <w:r w:rsidRPr="005516CD">
              <w:rPr>
                <w:rFonts w:asciiTheme="majorHAnsi" w:hAnsiTheme="majorHAnsi" w:cstheme="majorHAnsi"/>
                <w:sz w:val="18"/>
                <w:szCs w:val="18"/>
              </w:rPr>
              <w:t>The existence of inadequate conditions of land tenure security is given by private sector actors as a disincentive for their investment in significant areas of perennial cash crop production, such as coffee and cacao plantations.</w:t>
            </w:r>
          </w:p>
        </w:tc>
        <w:tc>
          <w:tcPr>
            <w:tcW w:w="932" w:type="dxa"/>
            <w:shd w:val="clear" w:color="auto" w:fill="auto"/>
          </w:tcPr>
          <w:p w14:paraId="52425E94" w14:textId="77777777" w:rsidR="006B6B5F" w:rsidRPr="005516CD" w:rsidRDefault="006B6B5F" w:rsidP="006B6B5F">
            <w:pPr>
              <w:rPr>
                <w:rFonts w:asciiTheme="majorHAnsi" w:hAnsiTheme="majorHAnsi" w:cstheme="majorHAnsi"/>
                <w:sz w:val="18"/>
                <w:szCs w:val="18"/>
              </w:rPr>
            </w:pPr>
            <w:r w:rsidRPr="005516CD">
              <w:rPr>
                <w:rFonts w:asciiTheme="majorHAnsi" w:hAnsiTheme="majorHAnsi" w:cstheme="majorHAnsi"/>
                <w:sz w:val="18"/>
                <w:szCs w:val="18"/>
              </w:rPr>
              <w:t>Low</w:t>
            </w:r>
          </w:p>
        </w:tc>
        <w:tc>
          <w:tcPr>
            <w:tcW w:w="4678" w:type="dxa"/>
          </w:tcPr>
          <w:p w14:paraId="57332450" w14:textId="77777777" w:rsidR="006B6B5F" w:rsidRPr="005516CD" w:rsidRDefault="006B6B5F" w:rsidP="00FB5829">
            <w:pPr>
              <w:spacing w:after="120"/>
              <w:rPr>
                <w:rFonts w:asciiTheme="majorHAnsi" w:hAnsiTheme="majorHAnsi" w:cstheme="majorHAnsi"/>
                <w:color w:val="000000"/>
                <w:sz w:val="18"/>
                <w:szCs w:val="18"/>
              </w:rPr>
            </w:pPr>
            <w:r w:rsidRPr="005516CD">
              <w:rPr>
                <w:rFonts w:asciiTheme="majorHAnsi" w:hAnsiTheme="majorHAnsi" w:cstheme="majorHAnsi"/>
                <w:color w:val="000000"/>
                <w:sz w:val="18"/>
                <w:szCs w:val="18"/>
              </w:rPr>
              <w:t>While it is beyond the scope of the project to resolve land tenure issues, it will work with local communities to explore options for developing customary-based mechanisms which provide sufficient social sanction of occupancy and use rights to allow farmers to invest in such production systems.</w:t>
            </w:r>
          </w:p>
          <w:p w14:paraId="6004F504" w14:textId="77777777" w:rsidR="006B6B5F" w:rsidRPr="005516CD" w:rsidRDefault="006B6B5F" w:rsidP="006B6B5F">
            <w:pPr>
              <w:rPr>
                <w:rFonts w:ascii="Calibri" w:eastAsia="Helvetica" w:hAnsi="Calibri" w:cs="Calibri"/>
                <w:sz w:val="18"/>
                <w:szCs w:val="18"/>
              </w:rPr>
            </w:pPr>
            <w:r w:rsidRPr="005516CD">
              <w:rPr>
                <w:rFonts w:asciiTheme="majorHAnsi" w:hAnsiTheme="majorHAnsi" w:cstheme="majorHAnsi"/>
                <w:color w:val="000000"/>
                <w:sz w:val="18"/>
                <w:szCs w:val="18"/>
              </w:rPr>
              <w:t>Research suggests that poor levels of development of social capital resources are more significant than tenure as a determinant of smallholders’ willingness to adopt agricultural technologies, including agroforestry and tree planting</w:t>
            </w:r>
            <w:r w:rsidRPr="005516CD">
              <w:rPr>
                <w:rFonts w:asciiTheme="majorHAnsi" w:hAnsiTheme="majorHAnsi" w:cstheme="majorHAnsi"/>
                <w:color w:val="000000"/>
                <w:sz w:val="18"/>
                <w:szCs w:val="18"/>
              </w:rPr>
              <w:footnoteReference w:id="88"/>
            </w:r>
            <w:r w:rsidRPr="005516CD">
              <w:rPr>
                <w:rFonts w:asciiTheme="majorHAnsi" w:hAnsiTheme="majorHAnsi" w:cstheme="majorHAnsi"/>
                <w:color w:val="000000"/>
                <w:sz w:val="18"/>
                <w:szCs w:val="18"/>
              </w:rPr>
              <w:t>, and to this end the project will invest in strengthening social and capital.</w:t>
            </w:r>
          </w:p>
        </w:tc>
        <w:tc>
          <w:tcPr>
            <w:tcW w:w="850" w:type="dxa"/>
            <w:shd w:val="clear" w:color="auto" w:fill="auto"/>
          </w:tcPr>
          <w:p w14:paraId="39388022"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Social and legal</w:t>
            </w:r>
          </w:p>
        </w:tc>
        <w:tc>
          <w:tcPr>
            <w:tcW w:w="988" w:type="dxa"/>
            <w:shd w:val="clear" w:color="auto" w:fill="auto"/>
          </w:tcPr>
          <w:p w14:paraId="47985E7C"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P=3</w:t>
            </w:r>
          </w:p>
        </w:tc>
      </w:tr>
      <w:tr w:rsidR="006B6B5F" w:rsidRPr="005516CD" w14:paraId="7527A679" w14:textId="77777777" w:rsidTr="00FB5829">
        <w:trPr>
          <w:trHeight w:val="287"/>
        </w:trPr>
        <w:tc>
          <w:tcPr>
            <w:tcW w:w="362" w:type="dxa"/>
            <w:shd w:val="clear" w:color="auto" w:fill="auto"/>
          </w:tcPr>
          <w:p w14:paraId="760C9919"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7</w:t>
            </w:r>
          </w:p>
        </w:tc>
        <w:tc>
          <w:tcPr>
            <w:tcW w:w="1643" w:type="dxa"/>
            <w:shd w:val="clear" w:color="auto" w:fill="auto"/>
          </w:tcPr>
          <w:p w14:paraId="5C5A593A" w14:textId="77777777" w:rsidR="006B6B5F" w:rsidRPr="005516CD" w:rsidRDefault="006B6B5F" w:rsidP="006B6B5F">
            <w:pPr>
              <w:rPr>
                <w:rFonts w:asciiTheme="majorHAnsi" w:hAnsiTheme="majorHAnsi" w:cstheme="majorHAnsi"/>
                <w:color w:val="000000"/>
                <w:sz w:val="18"/>
                <w:szCs w:val="18"/>
              </w:rPr>
            </w:pPr>
            <w:r w:rsidRPr="005516CD">
              <w:rPr>
                <w:rFonts w:asciiTheme="majorHAnsi" w:eastAsia="Helvetica" w:hAnsiTheme="majorHAnsi" w:cstheme="majorHAnsi"/>
                <w:sz w:val="18"/>
                <w:szCs w:val="18"/>
              </w:rPr>
              <w:t xml:space="preserve">The </w:t>
            </w:r>
            <w:r w:rsidRPr="005516CD">
              <w:rPr>
                <w:rFonts w:asciiTheme="majorHAnsi" w:eastAsia="Times New Roman" w:hAnsiTheme="majorHAnsi" w:cstheme="majorHAnsi"/>
                <w:sz w:val="18"/>
                <w:szCs w:val="18"/>
              </w:rPr>
              <w:t>Project would potentially reproduce discriminations against women based on gender (SESP Risk 1, please see Annex F)</w:t>
            </w:r>
          </w:p>
        </w:tc>
        <w:tc>
          <w:tcPr>
            <w:tcW w:w="932" w:type="dxa"/>
            <w:shd w:val="clear" w:color="auto" w:fill="auto"/>
          </w:tcPr>
          <w:p w14:paraId="111DFDBC"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sz w:val="18"/>
                <w:szCs w:val="18"/>
              </w:rPr>
              <w:t>Moderate</w:t>
            </w:r>
          </w:p>
        </w:tc>
        <w:tc>
          <w:tcPr>
            <w:tcW w:w="4678" w:type="dxa"/>
          </w:tcPr>
          <w:p w14:paraId="469BCBD8" w14:textId="77777777" w:rsidR="006B6B5F" w:rsidRPr="005516CD" w:rsidRDefault="006B6B5F" w:rsidP="006B6B5F">
            <w:pPr>
              <w:rPr>
                <w:rFonts w:ascii="Calibri" w:eastAsia="Helvetica" w:hAnsi="Calibri" w:cs="Calibri"/>
                <w:sz w:val="18"/>
                <w:szCs w:val="18"/>
              </w:rPr>
            </w:pPr>
            <w:r w:rsidRPr="005516CD">
              <w:rPr>
                <w:rFonts w:ascii="Calibri" w:eastAsia="Helvetica" w:hAnsi="Calibri" w:cs="Calibri"/>
                <w:sz w:val="18"/>
                <w:szCs w:val="18"/>
              </w:rPr>
              <w:t>Analyses of gender a differentiation in economic and productive roles has been carried out during the PPG phase and comprehensive Gender Assessment and Action Plan (GAPP) prepared accordingly. The GAAP has informed the design of the project activities, including a focus on a diversity of value chains, including support for household creole gardens in which women dominate, as well as support of fruit, and medicinal plant value chains and the transformation of products (such as creating sweets with coconut using traditional methods), in which women can play a leading role. As part of monitoring of the GAAP the following indicators are included:</w:t>
            </w:r>
          </w:p>
          <w:p w14:paraId="61E8004C" w14:textId="77777777" w:rsidR="006B6B5F" w:rsidRPr="005516CD" w:rsidRDefault="006B6B5F" w:rsidP="00FB5829">
            <w:pPr>
              <w:pStyle w:val="ListParagraph"/>
              <w:numPr>
                <w:ilvl w:val="0"/>
                <w:numId w:val="137"/>
              </w:numPr>
              <w:ind w:left="217" w:hanging="141"/>
              <w:rPr>
                <w:rFonts w:ascii="Calibri" w:eastAsia="Helvetica" w:hAnsi="Calibri" w:cs="Calibri"/>
                <w:sz w:val="18"/>
                <w:szCs w:val="18"/>
              </w:rPr>
            </w:pPr>
            <w:r w:rsidRPr="005516CD">
              <w:rPr>
                <w:rFonts w:ascii="Calibri" w:eastAsia="Helvetica" w:hAnsi="Calibri" w:cs="Calibri"/>
                <w:sz w:val="18"/>
                <w:szCs w:val="18"/>
              </w:rPr>
              <w:t>Percentage of participatory activities promoting production in gardens, diversified and nutritious varieties, and crops for sale in domestic markets</w:t>
            </w:r>
          </w:p>
          <w:p w14:paraId="1C6053DB" w14:textId="77777777" w:rsidR="006B6B5F" w:rsidRPr="005516CD" w:rsidRDefault="006B6B5F" w:rsidP="006B6B5F">
            <w:pPr>
              <w:pStyle w:val="ListParagraph"/>
              <w:numPr>
                <w:ilvl w:val="0"/>
                <w:numId w:val="137"/>
              </w:numPr>
              <w:pBdr>
                <w:top w:val="none" w:sz="0" w:space="0" w:color="auto"/>
                <w:left w:val="none" w:sz="0" w:space="0" w:color="auto"/>
                <w:bottom w:val="none" w:sz="0" w:space="0" w:color="auto"/>
                <w:right w:val="none" w:sz="0" w:space="0" w:color="auto"/>
                <w:between w:val="none" w:sz="0" w:space="0" w:color="auto"/>
                <w:bar w:val="none" w:sz="0" w:color="auto"/>
              </w:pBdr>
              <w:ind w:left="217" w:hanging="141"/>
              <w:rPr>
                <w:rFonts w:ascii="Calibri" w:eastAsia="Helvetica" w:hAnsi="Calibri" w:cs="Calibri"/>
                <w:sz w:val="18"/>
                <w:szCs w:val="18"/>
              </w:rPr>
            </w:pPr>
            <w:r w:rsidRPr="005516CD">
              <w:rPr>
                <w:rFonts w:ascii="Calibri" w:eastAsia="Helvetica" w:hAnsi="Calibri" w:cs="Calibri"/>
                <w:sz w:val="18"/>
                <w:szCs w:val="18"/>
              </w:rPr>
              <w:t xml:space="preserve">Number/% of women and men participating in activities targeting commercialization of tree products, small-scale processing, transformation of products into handicrafts – </w:t>
            </w:r>
          </w:p>
          <w:p w14:paraId="367DAFC8" w14:textId="77777777" w:rsidR="006B6B5F" w:rsidRPr="005516CD" w:rsidRDefault="006B6B5F" w:rsidP="00FB5829">
            <w:pPr>
              <w:pStyle w:val="ListParagraph"/>
              <w:numPr>
                <w:ilvl w:val="0"/>
                <w:numId w:val="137"/>
              </w:numPr>
              <w:pBdr>
                <w:top w:val="none" w:sz="0" w:space="0" w:color="auto"/>
                <w:left w:val="none" w:sz="0" w:space="0" w:color="auto"/>
                <w:bottom w:val="none" w:sz="0" w:space="0" w:color="auto"/>
                <w:right w:val="none" w:sz="0" w:space="0" w:color="auto"/>
                <w:between w:val="none" w:sz="0" w:space="0" w:color="auto"/>
                <w:bar w:val="none" w:sz="0" w:color="auto"/>
              </w:pBdr>
              <w:spacing w:after="120"/>
              <w:ind w:left="216" w:hanging="142"/>
              <w:rPr>
                <w:rFonts w:ascii="Calibri" w:eastAsia="Helvetica" w:hAnsi="Calibri" w:cs="Calibri"/>
                <w:sz w:val="18"/>
                <w:szCs w:val="18"/>
              </w:rPr>
            </w:pPr>
            <w:r w:rsidRPr="005516CD">
              <w:rPr>
                <w:rFonts w:ascii="Calibri" w:eastAsia="Helvetica" w:hAnsi="Calibri" w:cs="Calibri"/>
                <w:sz w:val="18"/>
                <w:szCs w:val="18"/>
              </w:rPr>
              <w:t xml:space="preserve">Total/% of participatory activities </w:t>
            </w:r>
          </w:p>
          <w:p w14:paraId="0ECD607A" w14:textId="77777777" w:rsidR="006B6B5F" w:rsidRPr="005516CD" w:rsidRDefault="006B6B5F" w:rsidP="006B6B5F">
            <w:pPr>
              <w:rPr>
                <w:rFonts w:ascii="Calibri" w:eastAsia="Helvetica" w:hAnsi="Calibri" w:cs="Calibri"/>
                <w:sz w:val="18"/>
                <w:szCs w:val="18"/>
              </w:rPr>
            </w:pPr>
            <w:r w:rsidRPr="005516CD">
              <w:rPr>
                <w:rFonts w:ascii="Calibri" w:eastAsia="Helvetica" w:hAnsi="Calibri" w:cs="Calibri"/>
                <w:sz w:val="18"/>
                <w:szCs w:val="18"/>
              </w:rPr>
              <w:t>Various other gender-specific activities and indicators have also been identified and promoted to ensure equitable opportunities for women to benefit from the target production systems and their value chains, or from productive alternatives. Of particular significance is that the baseline situation is characterized by cash tree crops (cacao and coffee) principally managed by men; with project interventions allowing those same plantations to also provide productive opportunities for women (herbs, fruit etc.). Finally, the project also emphasizes integration of women’s group in local governance mechanisms and the equitable participation of women in local institutional planning structure and as recipients of agricultural extension activities.</w:t>
            </w:r>
          </w:p>
        </w:tc>
        <w:tc>
          <w:tcPr>
            <w:tcW w:w="850" w:type="dxa"/>
            <w:shd w:val="clear" w:color="auto" w:fill="auto"/>
          </w:tcPr>
          <w:p w14:paraId="77FAF378"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Social</w:t>
            </w:r>
          </w:p>
        </w:tc>
        <w:tc>
          <w:tcPr>
            <w:tcW w:w="988" w:type="dxa"/>
            <w:shd w:val="clear" w:color="auto" w:fill="auto"/>
          </w:tcPr>
          <w:p w14:paraId="715B49E9"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I = 3</w:t>
            </w:r>
          </w:p>
          <w:p w14:paraId="562F71A5" w14:textId="77777777" w:rsidR="006B6B5F" w:rsidRPr="005516CD" w:rsidRDefault="006B6B5F" w:rsidP="006B6B5F">
            <w:pPr>
              <w:rPr>
                <w:rFonts w:asciiTheme="majorHAnsi" w:hAnsiTheme="majorHAnsi" w:cstheme="majorHAnsi"/>
                <w:color w:val="000000"/>
                <w:sz w:val="18"/>
                <w:szCs w:val="18"/>
              </w:rPr>
            </w:pPr>
            <w:r w:rsidRPr="005516CD">
              <w:rPr>
                <w:rFonts w:asciiTheme="majorHAnsi" w:eastAsia="Helvetica" w:hAnsiTheme="majorHAnsi" w:cstheme="majorHAnsi"/>
                <w:sz w:val="18"/>
                <w:szCs w:val="18"/>
              </w:rPr>
              <w:t>P = 2</w:t>
            </w:r>
          </w:p>
        </w:tc>
      </w:tr>
      <w:tr w:rsidR="006B6B5F" w:rsidRPr="005516CD" w14:paraId="5E31C25B" w14:textId="77777777" w:rsidTr="00FB5829">
        <w:trPr>
          <w:trHeight w:val="287"/>
        </w:trPr>
        <w:tc>
          <w:tcPr>
            <w:tcW w:w="362" w:type="dxa"/>
            <w:shd w:val="clear" w:color="auto" w:fill="auto"/>
          </w:tcPr>
          <w:p w14:paraId="0D2A6081"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8</w:t>
            </w:r>
          </w:p>
        </w:tc>
        <w:tc>
          <w:tcPr>
            <w:tcW w:w="1643" w:type="dxa"/>
            <w:shd w:val="clear" w:color="auto" w:fill="auto"/>
          </w:tcPr>
          <w:p w14:paraId="2DC4E1BF" w14:textId="77777777" w:rsidR="006B6B5F" w:rsidRPr="005516CD" w:rsidRDefault="006B6B5F" w:rsidP="006B6B5F">
            <w:pPr>
              <w:rPr>
                <w:rFonts w:asciiTheme="majorHAnsi" w:hAnsiTheme="majorHAnsi" w:cstheme="majorHAnsi"/>
                <w:color w:val="000000"/>
                <w:sz w:val="18"/>
                <w:szCs w:val="18"/>
              </w:rPr>
            </w:pPr>
            <w:r w:rsidRPr="005516CD">
              <w:rPr>
                <w:rFonts w:asciiTheme="majorHAnsi" w:eastAsia="Times New Roman" w:hAnsiTheme="majorHAnsi" w:cstheme="majorHAnsi"/>
                <w:sz w:val="18"/>
                <w:szCs w:val="18"/>
              </w:rPr>
              <w:t xml:space="preserve">The potential outcomes of the Project would be sensitive or vulnerable to potential impacts of </w:t>
            </w:r>
            <w:r w:rsidRPr="005516CD">
              <w:rPr>
                <w:rFonts w:asciiTheme="majorHAnsi" w:eastAsia="Times New Roman" w:hAnsiTheme="majorHAnsi" w:cstheme="majorHAnsi"/>
                <w:bCs/>
                <w:color w:val="000000"/>
                <w:sz w:val="18"/>
                <w:szCs w:val="18"/>
              </w:rPr>
              <w:t>climate</w:t>
            </w:r>
            <w:r w:rsidRPr="005516CD">
              <w:rPr>
                <w:rFonts w:asciiTheme="majorHAnsi" w:eastAsia="Times New Roman" w:hAnsiTheme="majorHAnsi" w:cstheme="majorHAnsi"/>
                <w:sz w:val="18"/>
                <w:szCs w:val="18"/>
              </w:rPr>
              <w:t xml:space="preserve"> change (SESP Risk 2, please see Annex F)</w:t>
            </w:r>
          </w:p>
        </w:tc>
        <w:tc>
          <w:tcPr>
            <w:tcW w:w="932" w:type="dxa"/>
            <w:shd w:val="clear" w:color="auto" w:fill="auto"/>
          </w:tcPr>
          <w:p w14:paraId="75152EA8"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sz w:val="18"/>
                <w:szCs w:val="18"/>
              </w:rPr>
              <w:t>Moderate</w:t>
            </w:r>
          </w:p>
        </w:tc>
        <w:tc>
          <w:tcPr>
            <w:tcW w:w="4678" w:type="dxa"/>
            <w:shd w:val="clear" w:color="auto" w:fill="auto"/>
          </w:tcPr>
          <w:p w14:paraId="48ABCDCE"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 xml:space="preserve">Haiti is one of the </w:t>
            </w:r>
            <w:proofErr w:type="spellStart"/>
            <w:r w:rsidRPr="005516CD">
              <w:rPr>
                <w:rFonts w:asciiTheme="majorHAnsi" w:hAnsiTheme="majorHAnsi" w:cstheme="majorHAnsi"/>
                <w:color w:val="000000"/>
                <w:sz w:val="18"/>
                <w:szCs w:val="18"/>
              </w:rPr>
              <w:t>countries</w:t>
            </w:r>
            <w:proofErr w:type="spellEnd"/>
            <w:r w:rsidRPr="005516CD">
              <w:rPr>
                <w:rFonts w:asciiTheme="majorHAnsi" w:hAnsiTheme="majorHAnsi" w:cstheme="majorHAnsi"/>
                <w:color w:val="000000"/>
                <w:sz w:val="18"/>
                <w:szCs w:val="18"/>
              </w:rPr>
              <w:t xml:space="preserve"> most vulnerable to the impacts of climate change on agricultural production systems, so any interventions will carry this risk. The project however will promote production systems with high levels of structural and compositional diversity, the use of climate-resistant varieties, and the maintenance of overall diversity of livelihood support options and farm systems, in order to maximize climate resilience, and therefore improves overall vulnerability to climate change compared to the baseline situation. The interventions also draw on the extensive experience of FAO on climate resilient agricultural interventions, </w:t>
            </w:r>
            <w:proofErr w:type="gramStart"/>
            <w:r w:rsidRPr="005516CD">
              <w:rPr>
                <w:rFonts w:asciiTheme="majorHAnsi" w:hAnsiTheme="majorHAnsi" w:cstheme="majorHAnsi"/>
                <w:color w:val="000000"/>
                <w:sz w:val="18"/>
                <w:szCs w:val="18"/>
              </w:rPr>
              <w:t>in regards to</w:t>
            </w:r>
            <w:proofErr w:type="gramEnd"/>
            <w:r w:rsidRPr="005516CD">
              <w:rPr>
                <w:rFonts w:asciiTheme="majorHAnsi" w:hAnsiTheme="majorHAnsi" w:cstheme="majorHAnsi"/>
                <w:color w:val="000000"/>
                <w:sz w:val="18"/>
                <w:szCs w:val="18"/>
              </w:rPr>
              <w:t xml:space="preserve"> species selection. Species that show the most resistance to changing environmental conditions will be used.</w:t>
            </w:r>
          </w:p>
        </w:tc>
        <w:tc>
          <w:tcPr>
            <w:tcW w:w="850" w:type="dxa"/>
            <w:shd w:val="clear" w:color="auto" w:fill="auto"/>
          </w:tcPr>
          <w:p w14:paraId="02032B89"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Environ-mental</w:t>
            </w:r>
          </w:p>
        </w:tc>
        <w:tc>
          <w:tcPr>
            <w:tcW w:w="988" w:type="dxa"/>
            <w:shd w:val="clear" w:color="auto" w:fill="auto"/>
          </w:tcPr>
          <w:p w14:paraId="4EA9D620"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I = 2</w:t>
            </w:r>
          </w:p>
          <w:p w14:paraId="64885BAC" w14:textId="77777777" w:rsidR="006B6B5F" w:rsidRPr="005516CD" w:rsidRDefault="006B6B5F" w:rsidP="006B6B5F">
            <w:pPr>
              <w:rPr>
                <w:rFonts w:asciiTheme="majorHAnsi" w:hAnsiTheme="majorHAnsi" w:cstheme="majorHAnsi"/>
                <w:color w:val="000000"/>
                <w:sz w:val="18"/>
                <w:szCs w:val="18"/>
              </w:rPr>
            </w:pPr>
            <w:r w:rsidRPr="005516CD">
              <w:rPr>
                <w:rFonts w:asciiTheme="majorHAnsi" w:eastAsia="Helvetica" w:hAnsiTheme="majorHAnsi" w:cstheme="majorHAnsi"/>
                <w:sz w:val="18"/>
                <w:szCs w:val="18"/>
              </w:rPr>
              <w:t>P = 3</w:t>
            </w:r>
          </w:p>
        </w:tc>
      </w:tr>
      <w:tr w:rsidR="006B6B5F" w:rsidRPr="005516CD" w14:paraId="443F1046" w14:textId="77777777" w:rsidTr="00FB5829">
        <w:trPr>
          <w:trHeight w:val="287"/>
        </w:trPr>
        <w:tc>
          <w:tcPr>
            <w:tcW w:w="362" w:type="dxa"/>
            <w:shd w:val="clear" w:color="auto" w:fill="auto"/>
          </w:tcPr>
          <w:p w14:paraId="35F9F3FA"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9</w:t>
            </w:r>
          </w:p>
        </w:tc>
        <w:tc>
          <w:tcPr>
            <w:tcW w:w="1643" w:type="dxa"/>
            <w:shd w:val="clear" w:color="auto" w:fill="auto"/>
          </w:tcPr>
          <w:p w14:paraId="51118C45" w14:textId="77777777" w:rsidR="006B6B5F" w:rsidRPr="005516CD" w:rsidRDefault="006B6B5F" w:rsidP="006B6B5F">
            <w:pPr>
              <w:rPr>
                <w:rFonts w:asciiTheme="majorHAnsi" w:hAnsiTheme="majorHAnsi" w:cstheme="majorHAnsi"/>
                <w:color w:val="000000"/>
                <w:sz w:val="18"/>
                <w:szCs w:val="18"/>
              </w:rPr>
            </w:pPr>
            <w:r w:rsidRPr="005516CD">
              <w:rPr>
                <w:rFonts w:asciiTheme="majorHAnsi" w:eastAsia="Times New Roman" w:hAnsiTheme="majorHAnsi" w:cstheme="majorHAnsi"/>
                <w:sz w:val="18"/>
                <w:szCs w:val="18"/>
              </w:rPr>
              <w:t>The proposed Project would be susceptible to earthquakes, subsidence, landslides, erosion, flooding or extreme climatic conditions (SESP Risk 3, please see Annex F)</w:t>
            </w:r>
          </w:p>
        </w:tc>
        <w:tc>
          <w:tcPr>
            <w:tcW w:w="932" w:type="dxa"/>
            <w:shd w:val="clear" w:color="auto" w:fill="auto"/>
          </w:tcPr>
          <w:p w14:paraId="293F13BA"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sz w:val="18"/>
                <w:szCs w:val="18"/>
              </w:rPr>
              <w:t>Moderate</w:t>
            </w:r>
          </w:p>
        </w:tc>
        <w:tc>
          <w:tcPr>
            <w:tcW w:w="4678" w:type="dxa"/>
            <w:shd w:val="clear" w:color="auto" w:fill="auto"/>
          </w:tcPr>
          <w:p w14:paraId="73E4862E"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 xml:space="preserve">Haiti is one of the </w:t>
            </w:r>
            <w:proofErr w:type="spellStart"/>
            <w:r w:rsidRPr="005516CD">
              <w:rPr>
                <w:rFonts w:asciiTheme="majorHAnsi" w:hAnsiTheme="majorHAnsi" w:cstheme="majorHAnsi"/>
                <w:color w:val="000000"/>
                <w:sz w:val="18"/>
                <w:szCs w:val="18"/>
              </w:rPr>
              <w:t>countries</w:t>
            </w:r>
            <w:proofErr w:type="spellEnd"/>
            <w:r w:rsidRPr="005516CD">
              <w:rPr>
                <w:rFonts w:asciiTheme="majorHAnsi" w:hAnsiTheme="majorHAnsi" w:cstheme="majorHAnsi"/>
                <w:color w:val="000000"/>
                <w:sz w:val="18"/>
                <w:szCs w:val="18"/>
              </w:rPr>
              <w:t xml:space="preserve"> most vulnerable to the impacts of extreme climatic conditions, so any interventions will carry this risk. The project activities however will support the maintenance of diverse, as well as robust/resilient livelihood support and farming systems in order to minimize the livelihood implications of the failure of individual productive components due to natural disasters. As mentioned above, the interventions will also draw on the extensive experience of FAO on climate resilient agricultural interventions, </w:t>
            </w:r>
            <w:proofErr w:type="gramStart"/>
            <w:r w:rsidRPr="005516CD">
              <w:rPr>
                <w:rFonts w:asciiTheme="majorHAnsi" w:hAnsiTheme="majorHAnsi" w:cstheme="majorHAnsi"/>
                <w:color w:val="000000"/>
                <w:sz w:val="18"/>
                <w:szCs w:val="18"/>
              </w:rPr>
              <w:t>in regards to</w:t>
            </w:r>
            <w:proofErr w:type="gramEnd"/>
            <w:r w:rsidRPr="005516CD">
              <w:rPr>
                <w:rFonts w:asciiTheme="majorHAnsi" w:hAnsiTheme="majorHAnsi" w:cstheme="majorHAnsi"/>
                <w:color w:val="000000"/>
                <w:sz w:val="18"/>
                <w:szCs w:val="18"/>
              </w:rPr>
              <w:t xml:space="preserve"> species selection, time and location of planting, to minimize any possible losses.</w:t>
            </w:r>
          </w:p>
        </w:tc>
        <w:tc>
          <w:tcPr>
            <w:tcW w:w="850" w:type="dxa"/>
            <w:shd w:val="clear" w:color="auto" w:fill="auto"/>
          </w:tcPr>
          <w:p w14:paraId="20FC9B15"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Environ-mental</w:t>
            </w:r>
          </w:p>
        </w:tc>
        <w:tc>
          <w:tcPr>
            <w:tcW w:w="988" w:type="dxa"/>
            <w:shd w:val="clear" w:color="auto" w:fill="auto"/>
          </w:tcPr>
          <w:p w14:paraId="15D63E96"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I = 2</w:t>
            </w:r>
          </w:p>
          <w:p w14:paraId="572BBEAE" w14:textId="77777777" w:rsidR="006B6B5F" w:rsidRPr="005516CD" w:rsidRDefault="006B6B5F" w:rsidP="006B6B5F">
            <w:pPr>
              <w:rPr>
                <w:rFonts w:asciiTheme="majorHAnsi" w:hAnsiTheme="majorHAnsi" w:cstheme="majorHAnsi"/>
                <w:color w:val="000000"/>
                <w:sz w:val="18"/>
                <w:szCs w:val="18"/>
              </w:rPr>
            </w:pPr>
            <w:r w:rsidRPr="005516CD">
              <w:rPr>
                <w:rFonts w:asciiTheme="majorHAnsi" w:eastAsia="Helvetica" w:hAnsiTheme="majorHAnsi" w:cstheme="majorHAnsi"/>
                <w:sz w:val="18"/>
                <w:szCs w:val="18"/>
              </w:rPr>
              <w:t>P = 3</w:t>
            </w:r>
          </w:p>
        </w:tc>
      </w:tr>
      <w:tr w:rsidR="006B6B5F" w:rsidRPr="005516CD" w14:paraId="64456ADF" w14:textId="77777777" w:rsidTr="00FB5829">
        <w:trPr>
          <w:trHeight w:val="287"/>
        </w:trPr>
        <w:tc>
          <w:tcPr>
            <w:tcW w:w="362" w:type="dxa"/>
            <w:shd w:val="clear" w:color="auto" w:fill="auto"/>
          </w:tcPr>
          <w:p w14:paraId="426018F5"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10</w:t>
            </w:r>
          </w:p>
        </w:tc>
        <w:tc>
          <w:tcPr>
            <w:tcW w:w="1643" w:type="dxa"/>
            <w:shd w:val="clear" w:color="auto" w:fill="auto"/>
          </w:tcPr>
          <w:p w14:paraId="7BAA4C70" w14:textId="77777777" w:rsidR="006B6B5F" w:rsidRPr="005516CD" w:rsidRDefault="006B6B5F" w:rsidP="006B6B5F">
            <w:pPr>
              <w:rPr>
                <w:rFonts w:asciiTheme="majorHAnsi" w:eastAsia="Times New Roman" w:hAnsiTheme="majorHAnsi" w:cstheme="majorHAnsi"/>
                <w:sz w:val="18"/>
                <w:szCs w:val="18"/>
                <w:lang w:val="en-US"/>
              </w:rPr>
            </w:pPr>
            <w:r w:rsidRPr="005516CD">
              <w:rPr>
                <w:rFonts w:asciiTheme="majorHAnsi" w:eastAsia="Times New Roman" w:hAnsiTheme="majorHAnsi" w:cstheme="majorHAnsi"/>
                <w:sz w:val="18"/>
                <w:szCs w:val="18"/>
                <w:lang w:val="en-US"/>
              </w:rPr>
              <w:t>The Project would potentially result in the release of pollutants to the environment due to routine or non-routine circumstances with the potential for adverse impacts (there is the potential for wet coffee milling to result in the release of organic pollutants to water courses if inadequately managed). This release may lead to adverse impacts to habitats and/or ecosystems</w:t>
            </w:r>
          </w:p>
          <w:p w14:paraId="4F4351EF" w14:textId="77777777" w:rsidR="006B6B5F" w:rsidRPr="005516CD" w:rsidRDefault="006B6B5F" w:rsidP="006B6B5F">
            <w:pPr>
              <w:rPr>
                <w:rFonts w:asciiTheme="majorHAnsi" w:hAnsiTheme="majorHAnsi" w:cstheme="majorHAnsi"/>
                <w:color w:val="000000"/>
                <w:sz w:val="18"/>
                <w:szCs w:val="18"/>
              </w:rPr>
            </w:pPr>
            <w:r w:rsidRPr="005516CD">
              <w:rPr>
                <w:rFonts w:asciiTheme="majorHAnsi" w:eastAsia="Times New Roman" w:hAnsiTheme="majorHAnsi" w:cstheme="majorHAnsi"/>
                <w:sz w:val="18"/>
                <w:szCs w:val="18"/>
              </w:rPr>
              <w:t>(SESP Risk 4, please see Annex F)</w:t>
            </w:r>
          </w:p>
        </w:tc>
        <w:tc>
          <w:tcPr>
            <w:tcW w:w="932" w:type="dxa"/>
            <w:shd w:val="clear" w:color="auto" w:fill="auto"/>
          </w:tcPr>
          <w:p w14:paraId="64AB115E"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sz w:val="18"/>
                <w:szCs w:val="18"/>
              </w:rPr>
              <w:t>Low</w:t>
            </w:r>
          </w:p>
        </w:tc>
        <w:tc>
          <w:tcPr>
            <w:tcW w:w="4678" w:type="dxa"/>
            <w:shd w:val="clear" w:color="auto" w:fill="auto"/>
          </w:tcPr>
          <w:p w14:paraId="11C6314C" w14:textId="77777777" w:rsidR="006B6B5F" w:rsidRPr="005516CD" w:rsidRDefault="006B6B5F" w:rsidP="00FB5829">
            <w:pPr>
              <w:spacing w:after="120"/>
              <w:rPr>
                <w:rFonts w:asciiTheme="majorHAnsi" w:hAnsiTheme="majorHAnsi" w:cstheme="majorHAnsi"/>
                <w:sz w:val="18"/>
                <w:szCs w:val="18"/>
              </w:rPr>
            </w:pPr>
            <w:r w:rsidRPr="005516CD">
              <w:rPr>
                <w:rFonts w:asciiTheme="majorHAnsi" w:hAnsiTheme="majorHAnsi" w:cstheme="majorHAnsi"/>
                <w:sz w:val="18"/>
                <w:szCs w:val="18"/>
              </w:rPr>
              <w:t>It is expected that “</w:t>
            </w:r>
            <w:r w:rsidRPr="005516CD">
              <w:rPr>
                <w:rFonts w:asciiTheme="majorHAnsi" w:hAnsiTheme="majorHAnsi" w:cstheme="majorHAnsi"/>
                <w:i/>
                <w:sz w:val="18"/>
                <w:szCs w:val="18"/>
              </w:rPr>
              <w:t>naturel</w:t>
            </w:r>
            <w:r w:rsidRPr="005516CD">
              <w:rPr>
                <w:rFonts w:asciiTheme="majorHAnsi" w:hAnsiTheme="majorHAnsi" w:cstheme="majorHAnsi"/>
                <w:sz w:val="18"/>
                <w:szCs w:val="18"/>
              </w:rPr>
              <w:t>” production will continue to predominate: wet milling will not be actively promoted, but in cases where producers choose to use this method the project will support the use of “ecological” washing and milling facilities in order to minimize environmental impacts.</w:t>
            </w:r>
          </w:p>
          <w:p w14:paraId="7B5DE488" w14:textId="77777777" w:rsidR="006B6B5F" w:rsidRPr="005516CD" w:rsidRDefault="006B6B5F" w:rsidP="006B6B5F">
            <w:pPr>
              <w:rPr>
                <w:rFonts w:asciiTheme="majorHAnsi" w:hAnsiTheme="majorHAnsi" w:cstheme="majorHAnsi"/>
                <w:color w:val="000000"/>
                <w:sz w:val="18"/>
                <w:szCs w:val="18"/>
              </w:rPr>
            </w:pPr>
            <w:r w:rsidRPr="005516CD">
              <w:rPr>
                <w:rFonts w:ascii="Calibri" w:eastAsia="Helvetica" w:hAnsi="Calibri" w:cs="Calibri"/>
                <w:sz w:val="18"/>
                <w:szCs w:val="18"/>
              </w:rPr>
              <w:t>To be further assessed prior to project inception and captured in subsequent management plan(s), if determined necessary in the assessment.</w:t>
            </w:r>
          </w:p>
        </w:tc>
        <w:tc>
          <w:tcPr>
            <w:tcW w:w="850" w:type="dxa"/>
            <w:shd w:val="clear" w:color="auto" w:fill="auto"/>
          </w:tcPr>
          <w:p w14:paraId="5C1530E3"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Environ-mental</w:t>
            </w:r>
          </w:p>
        </w:tc>
        <w:tc>
          <w:tcPr>
            <w:tcW w:w="988" w:type="dxa"/>
            <w:shd w:val="clear" w:color="auto" w:fill="auto"/>
          </w:tcPr>
          <w:p w14:paraId="34015B7E"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I = 2</w:t>
            </w:r>
          </w:p>
          <w:p w14:paraId="331FC13F" w14:textId="77777777" w:rsidR="006B6B5F" w:rsidRPr="005516CD" w:rsidRDefault="006B6B5F" w:rsidP="006B6B5F">
            <w:pPr>
              <w:rPr>
                <w:rFonts w:asciiTheme="majorHAnsi" w:hAnsiTheme="majorHAnsi" w:cstheme="majorHAnsi"/>
                <w:color w:val="000000"/>
                <w:sz w:val="18"/>
                <w:szCs w:val="18"/>
              </w:rPr>
            </w:pPr>
            <w:r w:rsidRPr="005516CD">
              <w:rPr>
                <w:rFonts w:asciiTheme="majorHAnsi" w:eastAsia="Helvetica" w:hAnsiTheme="majorHAnsi" w:cstheme="majorHAnsi"/>
                <w:sz w:val="18"/>
                <w:szCs w:val="18"/>
              </w:rPr>
              <w:t>P = 1</w:t>
            </w:r>
          </w:p>
        </w:tc>
      </w:tr>
      <w:tr w:rsidR="006B6B5F" w:rsidRPr="005516CD" w14:paraId="76F27C59" w14:textId="77777777" w:rsidTr="00FB5829">
        <w:trPr>
          <w:trHeight w:val="287"/>
        </w:trPr>
        <w:tc>
          <w:tcPr>
            <w:tcW w:w="362" w:type="dxa"/>
            <w:shd w:val="clear" w:color="auto" w:fill="auto"/>
          </w:tcPr>
          <w:p w14:paraId="5621D6CF"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11</w:t>
            </w:r>
          </w:p>
        </w:tc>
        <w:tc>
          <w:tcPr>
            <w:tcW w:w="1643" w:type="dxa"/>
            <w:shd w:val="clear" w:color="auto" w:fill="auto"/>
          </w:tcPr>
          <w:p w14:paraId="6B3AAF52" w14:textId="77777777" w:rsidR="006B6B5F" w:rsidRPr="005516CD" w:rsidRDefault="006B6B5F" w:rsidP="006B6B5F">
            <w:pPr>
              <w:rPr>
                <w:rFonts w:asciiTheme="majorHAnsi" w:eastAsia="Times New Roman" w:hAnsiTheme="majorHAnsi" w:cstheme="majorHAnsi"/>
                <w:sz w:val="18"/>
                <w:szCs w:val="18"/>
              </w:rPr>
            </w:pPr>
            <w:r w:rsidRPr="005516CD">
              <w:rPr>
                <w:rFonts w:asciiTheme="majorHAnsi" w:eastAsia="Times New Roman" w:hAnsiTheme="majorHAnsi" w:cstheme="majorHAnsi"/>
                <w:sz w:val="18"/>
                <w:szCs w:val="18"/>
              </w:rPr>
              <w:t>Potential child labour in promoted agroforestry for coffee, cacao and home gardens</w:t>
            </w:r>
          </w:p>
          <w:p w14:paraId="4564BAC0" w14:textId="77777777" w:rsidR="006B6B5F" w:rsidRPr="005516CD" w:rsidRDefault="006B6B5F" w:rsidP="006B6B5F">
            <w:pPr>
              <w:rPr>
                <w:rFonts w:asciiTheme="majorHAnsi" w:hAnsiTheme="majorHAnsi" w:cstheme="majorHAnsi"/>
                <w:color w:val="000000"/>
                <w:sz w:val="18"/>
                <w:szCs w:val="18"/>
              </w:rPr>
            </w:pPr>
            <w:r w:rsidRPr="005516CD">
              <w:rPr>
                <w:rFonts w:asciiTheme="majorHAnsi" w:eastAsia="Times New Roman" w:hAnsiTheme="majorHAnsi" w:cstheme="majorHAnsi"/>
                <w:sz w:val="18"/>
                <w:szCs w:val="18"/>
              </w:rPr>
              <w:t>(SESP Risk 5, please see Annex F).</w:t>
            </w:r>
          </w:p>
        </w:tc>
        <w:tc>
          <w:tcPr>
            <w:tcW w:w="932" w:type="dxa"/>
            <w:shd w:val="clear" w:color="auto" w:fill="auto"/>
          </w:tcPr>
          <w:p w14:paraId="445D2932"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sz w:val="18"/>
                <w:szCs w:val="18"/>
              </w:rPr>
              <w:t>Low</w:t>
            </w:r>
          </w:p>
        </w:tc>
        <w:tc>
          <w:tcPr>
            <w:tcW w:w="4678" w:type="dxa"/>
            <w:shd w:val="clear" w:color="auto" w:fill="auto"/>
          </w:tcPr>
          <w:p w14:paraId="45024E03" w14:textId="77777777" w:rsidR="006B6B5F" w:rsidRPr="005516CD" w:rsidRDefault="006B6B5F" w:rsidP="006B6B5F">
            <w:pPr>
              <w:rPr>
                <w:rFonts w:asciiTheme="majorHAnsi" w:hAnsiTheme="majorHAnsi" w:cstheme="majorHAnsi"/>
                <w:color w:val="000000"/>
                <w:sz w:val="18"/>
                <w:szCs w:val="18"/>
              </w:rPr>
            </w:pPr>
            <w:r w:rsidRPr="005516CD">
              <w:rPr>
                <w:rFonts w:ascii="Calibri" w:eastAsia="Helvetica" w:hAnsi="Calibri" w:cs="Calibri"/>
                <w:sz w:val="18"/>
                <w:szCs w:val="18"/>
              </w:rPr>
              <w:t>To be further assessed prior to project inception and captured in subsequent management plan(s)</w:t>
            </w:r>
          </w:p>
        </w:tc>
        <w:tc>
          <w:tcPr>
            <w:tcW w:w="850" w:type="dxa"/>
            <w:shd w:val="clear" w:color="auto" w:fill="auto"/>
          </w:tcPr>
          <w:p w14:paraId="0477A3AF"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Social</w:t>
            </w:r>
          </w:p>
        </w:tc>
        <w:tc>
          <w:tcPr>
            <w:tcW w:w="988" w:type="dxa"/>
            <w:shd w:val="clear" w:color="auto" w:fill="auto"/>
          </w:tcPr>
          <w:p w14:paraId="7CCF14D6" w14:textId="77777777" w:rsidR="006B6B5F" w:rsidRPr="005516CD" w:rsidRDefault="006B6B5F" w:rsidP="006B6B5F">
            <w:pPr>
              <w:rPr>
                <w:rFonts w:asciiTheme="majorHAnsi" w:eastAsia="Helvetica" w:hAnsiTheme="majorHAnsi" w:cstheme="majorHAnsi"/>
                <w:sz w:val="18"/>
                <w:szCs w:val="18"/>
              </w:rPr>
            </w:pPr>
            <w:r w:rsidRPr="005516CD">
              <w:rPr>
                <w:rFonts w:asciiTheme="majorHAnsi" w:eastAsia="Helvetica" w:hAnsiTheme="majorHAnsi" w:cstheme="majorHAnsi"/>
                <w:sz w:val="18"/>
                <w:szCs w:val="18"/>
              </w:rPr>
              <w:t>I = 2</w:t>
            </w:r>
          </w:p>
          <w:p w14:paraId="2F5F52A6" w14:textId="77777777" w:rsidR="006B6B5F" w:rsidRPr="005516CD" w:rsidRDefault="006B6B5F" w:rsidP="006B6B5F">
            <w:pPr>
              <w:rPr>
                <w:rFonts w:asciiTheme="majorHAnsi" w:hAnsiTheme="majorHAnsi" w:cstheme="majorHAnsi"/>
                <w:color w:val="000000"/>
                <w:sz w:val="18"/>
                <w:szCs w:val="18"/>
              </w:rPr>
            </w:pPr>
            <w:r w:rsidRPr="005516CD">
              <w:rPr>
                <w:rFonts w:asciiTheme="majorHAnsi" w:eastAsia="Helvetica" w:hAnsiTheme="majorHAnsi" w:cstheme="majorHAnsi"/>
                <w:sz w:val="18"/>
                <w:szCs w:val="18"/>
              </w:rPr>
              <w:t>P = 2</w:t>
            </w:r>
          </w:p>
        </w:tc>
      </w:tr>
      <w:tr w:rsidR="006B6B5F" w:rsidRPr="005516CD" w14:paraId="35938555" w14:textId="77777777" w:rsidTr="00FB5829">
        <w:trPr>
          <w:trHeight w:val="287"/>
        </w:trPr>
        <w:tc>
          <w:tcPr>
            <w:tcW w:w="362" w:type="dxa"/>
            <w:shd w:val="clear" w:color="auto" w:fill="auto"/>
          </w:tcPr>
          <w:p w14:paraId="4F995E90"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12</w:t>
            </w:r>
          </w:p>
        </w:tc>
        <w:tc>
          <w:tcPr>
            <w:tcW w:w="1643" w:type="dxa"/>
            <w:shd w:val="clear" w:color="auto" w:fill="auto"/>
          </w:tcPr>
          <w:p w14:paraId="49CD9A72" w14:textId="77777777" w:rsidR="006B6B5F" w:rsidRPr="005516CD" w:rsidRDefault="006B6B5F" w:rsidP="006B6B5F">
            <w:pPr>
              <w:rPr>
                <w:rFonts w:ascii="Calibri" w:eastAsia="Times New Roman" w:hAnsi="Calibri" w:cs="Calibri"/>
                <w:sz w:val="18"/>
                <w:szCs w:val="18"/>
              </w:rPr>
            </w:pPr>
            <w:r w:rsidRPr="005516CD">
              <w:rPr>
                <w:rFonts w:ascii="Calibri" w:eastAsia="Times New Roman" w:hAnsi="Calibri" w:cs="Calibri"/>
                <w:sz w:val="18"/>
                <w:szCs w:val="18"/>
              </w:rPr>
              <w:t>The Project would potentially limit women’s ability to use, develop and protect natural resources, taking into account different roles and positions of women and men in accessing environmental goods and services</w:t>
            </w:r>
          </w:p>
          <w:p w14:paraId="6FAAE2F9" w14:textId="77777777" w:rsidR="006B6B5F" w:rsidRPr="005516CD" w:rsidRDefault="006B6B5F" w:rsidP="006B6B5F">
            <w:pPr>
              <w:rPr>
                <w:rFonts w:asciiTheme="majorHAnsi" w:eastAsia="Times New Roman" w:hAnsiTheme="majorHAnsi" w:cstheme="majorHAnsi"/>
                <w:sz w:val="18"/>
                <w:szCs w:val="18"/>
              </w:rPr>
            </w:pPr>
            <w:r w:rsidRPr="005516CD">
              <w:rPr>
                <w:rFonts w:asciiTheme="majorHAnsi" w:eastAsia="Times New Roman" w:hAnsiTheme="majorHAnsi" w:cstheme="majorHAnsi"/>
                <w:sz w:val="18"/>
                <w:szCs w:val="18"/>
              </w:rPr>
              <w:t>(SESP Risk 6, please see Annex F)</w:t>
            </w:r>
          </w:p>
        </w:tc>
        <w:tc>
          <w:tcPr>
            <w:tcW w:w="932" w:type="dxa"/>
            <w:shd w:val="clear" w:color="auto" w:fill="auto"/>
          </w:tcPr>
          <w:p w14:paraId="09D26950" w14:textId="77777777" w:rsidR="006B6B5F" w:rsidRPr="005516CD" w:rsidRDefault="006B6B5F" w:rsidP="006B6B5F">
            <w:pPr>
              <w:rPr>
                <w:rFonts w:asciiTheme="majorHAnsi" w:hAnsiTheme="majorHAnsi" w:cstheme="majorHAnsi"/>
                <w:sz w:val="18"/>
                <w:szCs w:val="18"/>
              </w:rPr>
            </w:pPr>
            <w:r w:rsidRPr="005516CD">
              <w:rPr>
                <w:rFonts w:asciiTheme="majorHAnsi" w:hAnsiTheme="majorHAnsi" w:cstheme="majorHAnsi"/>
                <w:sz w:val="18"/>
                <w:szCs w:val="18"/>
              </w:rPr>
              <w:t>Moderate</w:t>
            </w:r>
          </w:p>
        </w:tc>
        <w:tc>
          <w:tcPr>
            <w:tcW w:w="4678" w:type="dxa"/>
            <w:shd w:val="clear" w:color="auto" w:fill="auto"/>
          </w:tcPr>
          <w:p w14:paraId="681EE978" w14:textId="77777777" w:rsidR="006B6B5F" w:rsidRPr="005516CD" w:rsidRDefault="006B6B5F" w:rsidP="006B6B5F">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Analyses of gender a differentiation in economic and productive roles has been carried out during the PPG phase and comprehensive Gender Assessment and Action Plan (GAPP) prepared accordingly. The GAAP has informed the design of the project activities, including a focus on a diversity of value chains, including support for household creole gardens in which women dominate, as well as support of fruit, and medicinal plant value chains and the transformation of products (such as creating sweets with coconut using traditional methods), in which women can play a leading role. As part of monitoring of the GAAP the following indicators are included:</w:t>
            </w:r>
          </w:p>
          <w:p w14:paraId="04EF7E68" w14:textId="77777777" w:rsidR="006B6B5F" w:rsidRPr="005516CD" w:rsidRDefault="006B6B5F" w:rsidP="00FB5829">
            <w:pPr>
              <w:pStyle w:val="ListParagraph"/>
              <w:numPr>
                <w:ilvl w:val="0"/>
                <w:numId w:val="137"/>
              </w:numPr>
              <w:ind w:left="217" w:hanging="141"/>
              <w:rPr>
                <w:rFonts w:ascii="Calibri" w:eastAsia="Helvetica" w:hAnsi="Calibri" w:cs="Calibri"/>
                <w:sz w:val="18"/>
                <w:szCs w:val="18"/>
              </w:rPr>
            </w:pPr>
            <w:r w:rsidRPr="005516CD">
              <w:rPr>
                <w:rFonts w:ascii="Calibri" w:eastAsia="Helvetica" w:hAnsi="Calibri" w:cs="Calibri"/>
                <w:sz w:val="18"/>
                <w:szCs w:val="18"/>
              </w:rPr>
              <w:t>Percentage of participatory activities promoting production in gardens, diversified and nutritious varieties, and crops for sale in domestic markets</w:t>
            </w:r>
          </w:p>
          <w:p w14:paraId="72D11F24" w14:textId="77777777" w:rsidR="006B6B5F" w:rsidRPr="005516CD" w:rsidRDefault="006B6B5F" w:rsidP="006B6B5F">
            <w:pPr>
              <w:pStyle w:val="ListParagraph"/>
              <w:numPr>
                <w:ilvl w:val="0"/>
                <w:numId w:val="137"/>
              </w:numPr>
              <w:ind w:left="217" w:hanging="141"/>
              <w:rPr>
                <w:rFonts w:ascii="Calibri" w:eastAsia="Helvetica" w:hAnsi="Calibri" w:cs="Calibri"/>
                <w:sz w:val="18"/>
                <w:szCs w:val="18"/>
              </w:rPr>
            </w:pPr>
            <w:r w:rsidRPr="005516CD">
              <w:rPr>
                <w:rFonts w:ascii="Calibri" w:eastAsia="Helvetica" w:hAnsi="Calibri" w:cs="Calibri"/>
                <w:sz w:val="18"/>
                <w:szCs w:val="18"/>
              </w:rPr>
              <w:t xml:space="preserve">Number/% of women and men participating in activities targeting commercialization of tree products, small-scale processing, transformation of products into handicrafts  </w:t>
            </w:r>
          </w:p>
          <w:p w14:paraId="5BA48D3B" w14:textId="77777777" w:rsidR="006B6B5F" w:rsidRPr="005516CD" w:rsidRDefault="006B6B5F" w:rsidP="00FB5829">
            <w:pPr>
              <w:pStyle w:val="ListParagraph"/>
              <w:numPr>
                <w:ilvl w:val="0"/>
                <w:numId w:val="137"/>
              </w:numPr>
              <w:spacing w:after="120"/>
              <w:ind w:left="216" w:hanging="142"/>
              <w:rPr>
                <w:rFonts w:ascii="Calibri" w:eastAsia="Helvetica" w:hAnsi="Calibri" w:cs="Calibri"/>
                <w:sz w:val="18"/>
                <w:szCs w:val="18"/>
              </w:rPr>
            </w:pPr>
            <w:r w:rsidRPr="005516CD">
              <w:rPr>
                <w:rFonts w:ascii="Calibri" w:eastAsia="Helvetica" w:hAnsi="Calibri" w:cs="Calibri"/>
                <w:sz w:val="18"/>
                <w:szCs w:val="18"/>
              </w:rPr>
              <w:t xml:space="preserve">Total/% of participatory activities </w:t>
            </w:r>
          </w:p>
          <w:p w14:paraId="52CAF2AA" w14:textId="77777777" w:rsidR="006B6B5F" w:rsidRPr="005516CD" w:rsidRDefault="006B6B5F" w:rsidP="00FB5829">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Various other gender-specific activities and indicators have also been identified and promoted to ensure equitable opportunities for women to benefit from the target production systems and their value chains, or from productive alternatives. Of particular significance is that the baseline situation is characterized by cash tree crops (cacao and coffee) principally managed by men; with project interventions allowing those same plantations to also provide productive opportunities for women (herbs, fruit etc.). Finally, the project also emphasizes integration of women’s group in local governance mechanisms and the equitable participation of women in local institutional planning structure and as recipients of agricultural extension activities.</w:t>
            </w:r>
          </w:p>
        </w:tc>
        <w:tc>
          <w:tcPr>
            <w:tcW w:w="850" w:type="dxa"/>
            <w:shd w:val="clear" w:color="auto" w:fill="auto"/>
          </w:tcPr>
          <w:p w14:paraId="4ECC429E"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Social</w:t>
            </w:r>
          </w:p>
          <w:p w14:paraId="0D247F98"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Environ-mental</w:t>
            </w:r>
          </w:p>
        </w:tc>
        <w:tc>
          <w:tcPr>
            <w:tcW w:w="988" w:type="dxa"/>
            <w:shd w:val="clear" w:color="auto" w:fill="auto"/>
          </w:tcPr>
          <w:p w14:paraId="4C3F95AD" w14:textId="77777777" w:rsidR="006B6B5F" w:rsidRPr="005516CD" w:rsidRDefault="006B6B5F" w:rsidP="006B6B5F">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 = 3</w:t>
            </w:r>
          </w:p>
          <w:p w14:paraId="3E5DF52D" w14:textId="77777777" w:rsidR="006B6B5F" w:rsidRPr="005516CD" w:rsidRDefault="006B6B5F" w:rsidP="006B6B5F">
            <w:pPr>
              <w:rPr>
                <w:rFonts w:asciiTheme="majorHAnsi" w:eastAsia="Helvetica" w:hAnsiTheme="majorHAnsi" w:cstheme="majorHAnsi"/>
                <w:sz w:val="18"/>
                <w:szCs w:val="18"/>
              </w:rPr>
            </w:pPr>
            <w:r w:rsidRPr="005516CD">
              <w:rPr>
                <w:rFonts w:ascii="Calibri" w:eastAsia="Helvetica" w:hAnsi="Calibri" w:cs="Calibri"/>
                <w:sz w:val="18"/>
                <w:szCs w:val="18"/>
                <w:bdr w:val="nil"/>
              </w:rPr>
              <w:t>P = 2</w:t>
            </w:r>
          </w:p>
        </w:tc>
      </w:tr>
      <w:tr w:rsidR="006B6B5F" w:rsidRPr="005516CD" w14:paraId="4D143A09" w14:textId="77777777" w:rsidTr="00FB5829">
        <w:trPr>
          <w:trHeight w:val="287"/>
        </w:trPr>
        <w:tc>
          <w:tcPr>
            <w:tcW w:w="362" w:type="dxa"/>
            <w:shd w:val="clear" w:color="auto" w:fill="auto"/>
          </w:tcPr>
          <w:p w14:paraId="776EDA61"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13</w:t>
            </w:r>
          </w:p>
        </w:tc>
        <w:tc>
          <w:tcPr>
            <w:tcW w:w="1643" w:type="dxa"/>
            <w:shd w:val="clear" w:color="auto" w:fill="auto"/>
          </w:tcPr>
          <w:p w14:paraId="72BCA688" w14:textId="77777777" w:rsidR="006B6B5F" w:rsidRPr="005516CD" w:rsidRDefault="006B6B5F" w:rsidP="006B6B5F">
            <w:pPr>
              <w:rPr>
                <w:rFonts w:ascii="Calibri" w:eastAsia="Times New Roman" w:hAnsi="Calibri" w:cs="Calibri"/>
                <w:sz w:val="18"/>
                <w:szCs w:val="18"/>
              </w:rPr>
            </w:pPr>
            <w:r w:rsidRPr="005516CD">
              <w:rPr>
                <w:rFonts w:ascii="Calibri" w:eastAsia="Times New Roman" w:hAnsi="Calibri" w:cs="Calibri"/>
                <w:sz w:val="18"/>
                <w:szCs w:val="18"/>
              </w:rPr>
              <w:t>The Project could potentially cause adverse impacts to habitats (e.g. modified, natural, and critical habitats) and/or ecosystems and ecosystem services</w:t>
            </w:r>
          </w:p>
          <w:p w14:paraId="4A4DB3CE" w14:textId="77777777" w:rsidR="006B6B5F" w:rsidRPr="005516CD" w:rsidRDefault="006B6B5F" w:rsidP="006B6B5F">
            <w:pPr>
              <w:rPr>
                <w:rFonts w:ascii="Calibri" w:eastAsia="Times New Roman" w:hAnsi="Calibri" w:cs="Calibri"/>
                <w:sz w:val="18"/>
                <w:szCs w:val="18"/>
              </w:rPr>
            </w:pPr>
            <w:r w:rsidRPr="005516CD">
              <w:rPr>
                <w:rFonts w:asciiTheme="majorHAnsi" w:eastAsia="Times New Roman" w:hAnsiTheme="majorHAnsi" w:cstheme="majorHAnsi"/>
                <w:sz w:val="18"/>
                <w:szCs w:val="18"/>
              </w:rPr>
              <w:t>(SESP Risk 7, please see Annex F)</w:t>
            </w:r>
          </w:p>
        </w:tc>
        <w:tc>
          <w:tcPr>
            <w:tcW w:w="932" w:type="dxa"/>
            <w:shd w:val="clear" w:color="auto" w:fill="auto"/>
          </w:tcPr>
          <w:p w14:paraId="21F7BE2E" w14:textId="77777777" w:rsidR="006B6B5F" w:rsidRPr="005516CD" w:rsidRDefault="006B6B5F" w:rsidP="006B6B5F">
            <w:pPr>
              <w:rPr>
                <w:rFonts w:asciiTheme="majorHAnsi" w:hAnsiTheme="majorHAnsi" w:cstheme="majorHAnsi"/>
                <w:sz w:val="18"/>
                <w:szCs w:val="18"/>
              </w:rPr>
            </w:pPr>
            <w:r w:rsidRPr="005516CD">
              <w:rPr>
                <w:rFonts w:asciiTheme="majorHAnsi" w:hAnsiTheme="majorHAnsi" w:cstheme="majorHAnsi"/>
                <w:sz w:val="18"/>
                <w:szCs w:val="18"/>
              </w:rPr>
              <w:t>Low</w:t>
            </w:r>
          </w:p>
        </w:tc>
        <w:tc>
          <w:tcPr>
            <w:tcW w:w="4678" w:type="dxa"/>
            <w:shd w:val="clear" w:color="auto" w:fill="auto"/>
          </w:tcPr>
          <w:p w14:paraId="3847A41B" w14:textId="77777777" w:rsidR="006B6B5F" w:rsidRPr="005516CD" w:rsidRDefault="006B6B5F" w:rsidP="006B6B5F">
            <w:pPr>
              <w:rPr>
                <w:rFonts w:ascii="Calibri" w:eastAsia="Helvetica" w:hAnsi="Calibri" w:cs="Calibri"/>
                <w:sz w:val="18"/>
                <w:szCs w:val="18"/>
              </w:rPr>
            </w:pPr>
            <w:r w:rsidRPr="005516CD">
              <w:rPr>
                <w:rFonts w:ascii="Calibri" w:eastAsia="Helvetica" w:hAnsi="Calibri" w:cs="Calibri"/>
                <w:sz w:val="18"/>
                <w:szCs w:val="18"/>
              </w:rPr>
              <w:t>To be further assessed prior to project inception and captured in subsequent management plan(s)</w:t>
            </w:r>
          </w:p>
        </w:tc>
        <w:tc>
          <w:tcPr>
            <w:tcW w:w="850" w:type="dxa"/>
            <w:shd w:val="clear" w:color="auto" w:fill="auto"/>
          </w:tcPr>
          <w:p w14:paraId="2F6F7EE5"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Environ-mental</w:t>
            </w:r>
          </w:p>
        </w:tc>
        <w:tc>
          <w:tcPr>
            <w:tcW w:w="988" w:type="dxa"/>
            <w:shd w:val="clear" w:color="auto" w:fill="auto"/>
          </w:tcPr>
          <w:p w14:paraId="6363DDEC" w14:textId="77777777" w:rsidR="006B6B5F" w:rsidRPr="005516CD" w:rsidRDefault="006B6B5F" w:rsidP="006B6B5F">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 = 2</w:t>
            </w:r>
          </w:p>
          <w:p w14:paraId="0945928F" w14:textId="77777777" w:rsidR="006B6B5F" w:rsidRPr="005516CD" w:rsidRDefault="006B6B5F" w:rsidP="006B6B5F">
            <w:pPr>
              <w:rPr>
                <w:rFonts w:asciiTheme="majorHAnsi" w:eastAsia="Helvetica" w:hAnsiTheme="majorHAnsi" w:cstheme="majorHAnsi"/>
                <w:sz w:val="18"/>
                <w:szCs w:val="18"/>
              </w:rPr>
            </w:pPr>
            <w:r w:rsidRPr="005516CD">
              <w:rPr>
                <w:rFonts w:ascii="Calibri" w:eastAsia="Helvetica" w:hAnsi="Calibri" w:cs="Calibri"/>
                <w:sz w:val="18"/>
                <w:szCs w:val="18"/>
                <w:bdr w:val="nil"/>
              </w:rPr>
              <w:t>P = 1</w:t>
            </w:r>
          </w:p>
        </w:tc>
      </w:tr>
      <w:tr w:rsidR="006B6B5F" w:rsidRPr="005516CD" w14:paraId="4F9C019A" w14:textId="77777777" w:rsidTr="00FB5829">
        <w:trPr>
          <w:trHeight w:val="287"/>
        </w:trPr>
        <w:tc>
          <w:tcPr>
            <w:tcW w:w="362" w:type="dxa"/>
            <w:shd w:val="clear" w:color="auto" w:fill="auto"/>
          </w:tcPr>
          <w:p w14:paraId="1C034D0E" w14:textId="77777777" w:rsidR="006B6B5F" w:rsidRPr="005516CD" w:rsidRDefault="006B6B5F" w:rsidP="006B6B5F">
            <w:pPr>
              <w:jc w:val="center"/>
              <w:rPr>
                <w:rFonts w:asciiTheme="majorHAnsi" w:hAnsiTheme="majorHAnsi" w:cstheme="majorHAnsi"/>
                <w:color w:val="000000"/>
                <w:sz w:val="18"/>
                <w:szCs w:val="18"/>
              </w:rPr>
            </w:pPr>
            <w:r w:rsidRPr="005516CD">
              <w:rPr>
                <w:rFonts w:asciiTheme="majorHAnsi" w:hAnsiTheme="majorHAnsi" w:cstheme="majorHAnsi"/>
                <w:color w:val="000000"/>
                <w:sz w:val="18"/>
                <w:szCs w:val="18"/>
              </w:rPr>
              <w:t>14</w:t>
            </w:r>
          </w:p>
        </w:tc>
        <w:tc>
          <w:tcPr>
            <w:tcW w:w="1643" w:type="dxa"/>
            <w:shd w:val="clear" w:color="auto" w:fill="auto"/>
          </w:tcPr>
          <w:p w14:paraId="45AFC723" w14:textId="77777777" w:rsidR="006B6B5F" w:rsidRPr="005516CD" w:rsidRDefault="006B6B5F" w:rsidP="006B6B5F">
            <w:pPr>
              <w:rPr>
                <w:rFonts w:ascii="Calibri" w:eastAsia="Times New Roman" w:hAnsi="Calibri" w:cs="Calibri"/>
                <w:bCs/>
                <w:color w:val="000000"/>
                <w:sz w:val="18"/>
                <w:szCs w:val="18"/>
              </w:rPr>
            </w:pPr>
            <w:r w:rsidRPr="005516CD">
              <w:rPr>
                <w:rFonts w:ascii="Calibri" w:eastAsia="Times New Roman" w:hAnsi="Calibri" w:cs="Calibri"/>
                <w:bCs/>
                <w:sz w:val="18"/>
                <w:szCs w:val="18"/>
              </w:rPr>
              <w:t>Risk to have</w:t>
            </w:r>
            <w:r w:rsidRPr="005516CD">
              <w:rPr>
                <w:rFonts w:ascii="Calibri" w:eastAsia="Times New Roman" w:hAnsi="Calibri" w:cs="Calibri"/>
                <w:bCs/>
                <w:color w:val="000000"/>
                <w:sz w:val="18"/>
                <w:szCs w:val="18"/>
              </w:rPr>
              <w:t xml:space="preserve"> any Project activities proposed within or adjacent to critical habitats and/or environmentally sensitive areas, recognized as such by authoritative sources and/or indigenous peoples or local communities</w:t>
            </w:r>
          </w:p>
          <w:p w14:paraId="03775446" w14:textId="77777777" w:rsidR="006B6B5F" w:rsidRPr="005516CD" w:rsidRDefault="006B6B5F" w:rsidP="006B6B5F">
            <w:pPr>
              <w:rPr>
                <w:rFonts w:ascii="Calibri" w:eastAsia="Times New Roman" w:hAnsi="Calibri" w:cs="Calibri"/>
                <w:sz w:val="18"/>
                <w:szCs w:val="18"/>
              </w:rPr>
            </w:pPr>
            <w:r w:rsidRPr="005516CD">
              <w:rPr>
                <w:rFonts w:asciiTheme="majorHAnsi" w:eastAsia="Times New Roman" w:hAnsiTheme="majorHAnsi" w:cstheme="majorHAnsi"/>
                <w:sz w:val="18"/>
                <w:szCs w:val="18"/>
              </w:rPr>
              <w:t>(SESP Risk 8, please see Annex F)</w:t>
            </w:r>
          </w:p>
        </w:tc>
        <w:tc>
          <w:tcPr>
            <w:tcW w:w="932" w:type="dxa"/>
            <w:shd w:val="clear" w:color="auto" w:fill="auto"/>
          </w:tcPr>
          <w:p w14:paraId="13E8AAA5" w14:textId="77777777" w:rsidR="006B6B5F" w:rsidRPr="005516CD" w:rsidRDefault="006B6B5F" w:rsidP="006B6B5F">
            <w:pPr>
              <w:rPr>
                <w:rFonts w:asciiTheme="majorHAnsi" w:hAnsiTheme="majorHAnsi" w:cstheme="majorHAnsi"/>
                <w:sz w:val="18"/>
                <w:szCs w:val="18"/>
              </w:rPr>
            </w:pPr>
            <w:r w:rsidRPr="005516CD">
              <w:rPr>
                <w:rFonts w:asciiTheme="majorHAnsi" w:hAnsiTheme="majorHAnsi" w:cstheme="majorHAnsi"/>
                <w:sz w:val="18"/>
                <w:szCs w:val="18"/>
              </w:rPr>
              <w:t>Low</w:t>
            </w:r>
          </w:p>
        </w:tc>
        <w:tc>
          <w:tcPr>
            <w:tcW w:w="4678" w:type="dxa"/>
            <w:shd w:val="clear" w:color="auto" w:fill="auto"/>
          </w:tcPr>
          <w:p w14:paraId="5FE72BAB" w14:textId="77777777" w:rsidR="006B6B5F" w:rsidRPr="005516CD" w:rsidRDefault="006B6B5F" w:rsidP="006B6B5F">
            <w:pPr>
              <w:rPr>
                <w:rFonts w:ascii="Calibri" w:eastAsia="Helvetica" w:hAnsi="Calibri" w:cs="Calibri"/>
                <w:sz w:val="18"/>
                <w:szCs w:val="18"/>
              </w:rPr>
            </w:pPr>
            <w:r w:rsidRPr="005516CD">
              <w:rPr>
                <w:rFonts w:ascii="Calibri" w:eastAsia="Helvetica" w:hAnsi="Calibri" w:cs="Calibri"/>
                <w:sz w:val="18"/>
                <w:szCs w:val="18"/>
              </w:rPr>
              <w:t>To be further assessed prior to project inception and captured in subsequent management plan(s)</w:t>
            </w:r>
          </w:p>
        </w:tc>
        <w:tc>
          <w:tcPr>
            <w:tcW w:w="850" w:type="dxa"/>
            <w:shd w:val="clear" w:color="auto" w:fill="auto"/>
          </w:tcPr>
          <w:p w14:paraId="42833402" w14:textId="77777777" w:rsidR="006B6B5F" w:rsidRPr="005516CD" w:rsidRDefault="006B6B5F" w:rsidP="006B6B5F">
            <w:pPr>
              <w:rPr>
                <w:rFonts w:asciiTheme="majorHAnsi" w:hAnsiTheme="majorHAnsi" w:cstheme="majorHAnsi"/>
                <w:color w:val="000000"/>
                <w:sz w:val="18"/>
                <w:szCs w:val="18"/>
              </w:rPr>
            </w:pPr>
            <w:r w:rsidRPr="005516CD">
              <w:rPr>
                <w:rFonts w:asciiTheme="majorHAnsi" w:hAnsiTheme="majorHAnsi" w:cstheme="majorHAnsi"/>
                <w:color w:val="000000"/>
                <w:sz w:val="18"/>
                <w:szCs w:val="18"/>
              </w:rPr>
              <w:t>Environ-mental</w:t>
            </w:r>
          </w:p>
        </w:tc>
        <w:tc>
          <w:tcPr>
            <w:tcW w:w="988" w:type="dxa"/>
            <w:shd w:val="clear" w:color="auto" w:fill="auto"/>
          </w:tcPr>
          <w:p w14:paraId="3E6F185A" w14:textId="77777777" w:rsidR="006B6B5F" w:rsidRPr="005516CD" w:rsidRDefault="006B6B5F" w:rsidP="006B6B5F">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I = 2</w:t>
            </w:r>
          </w:p>
          <w:p w14:paraId="4706168D" w14:textId="77777777" w:rsidR="006B6B5F" w:rsidRPr="005516CD" w:rsidRDefault="006B6B5F" w:rsidP="006B6B5F">
            <w:pPr>
              <w:pBdr>
                <w:top w:val="nil"/>
                <w:left w:val="nil"/>
                <w:bottom w:val="nil"/>
                <w:right w:val="nil"/>
                <w:between w:val="nil"/>
                <w:bar w:val="nil"/>
              </w:pBdr>
              <w:rPr>
                <w:rFonts w:ascii="Calibri" w:eastAsia="Helvetica" w:hAnsi="Calibri" w:cs="Calibri"/>
                <w:sz w:val="18"/>
                <w:szCs w:val="18"/>
                <w:bdr w:val="nil"/>
              </w:rPr>
            </w:pPr>
            <w:r w:rsidRPr="005516CD">
              <w:rPr>
                <w:rFonts w:ascii="Calibri" w:eastAsia="Helvetica" w:hAnsi="Calibri" w:cs="Calibri"/>
                <w:sz w:val="18"/>
                <w:szCs w:val="18"/>
                <w:bdr w:val="nil"/>
              </w:rPr>
              <w:t>P = 1</w:t>
            </w:r>
          </w:p>
        </w:tc>
      </w:tr>
    </w:tbl>
    <w:p w14:paraId="2EF65DBE" w14:textId="77777777" w:rsidR="00DE75AB" w:rsidRPr="005516CD" w:rsidRDefault="00DE75AB" w:rsidP="00DE75AB">
      <w:pPr>
        <w:rPr>
          <w:sz w:val="22"/>
          <w:szCs w:val="22"/>
        </w:rPr>
      </w:pPr>
    </w:p>
    <w:p w14:paraId="3C7711F9" w14:textId="77777777" w:rsidR="00805434" w:rsidRPr="005516CD" w:rsidRDefault="00805434" w:rsidP="007B146B">
      <w:pPr>
        <w:rPr>
          <w:sz w:val="22"/>
          <w:szCs w:val="22"/>
        </w:rPr>
      </w:pPr>
    </w:p>
    <w:p w14:paraId="3EF95007" w14:textId="77777777" w:rsidR="00A30FF3" w:rsidRPr="005516CD" w:rsidRDefault="00A30FF3" w:rsidP="007B146B">
      <w:pPr>
        <w:pStyle w:val="Body"/>
        <w:spacing w:after="0"/>
        <w:ind w:left="85" w:hanging="85"/>
        <w:jc w:val="left"/>
        <w:rPr>
          <w:rStyle w:val="None"/>
          <w:u w:val="single"/>
        </w:rPr>
        <w:sectPr w:rsidR="00A30FF3" w:rsidRPr="005516CD" w:rsidSect="00F91241">
          <w:pgSz w:w="12240" w:h="15840"/>
          <w:pgMar w:top="1440" w:right="1440" w:bottom="1440" w:left="1440" w:header="708" w:footer="432" w:gutter="0"/>
          <w:cols w:space="720"/>
        </w:sectPr>
      </w:pPr>
    </w:p>
    <w:p w14:paraId="7D7FFCD3" w14:textId="77777777" w:rsidR="00191AA4" w:rsidRPr="005516CD" w:rsidRDefault="00191AA4" w:rsidP="007B146B">
      <w:pPr>
        <w:pStyle w:val="Body"/>
        <w:spacing w:after="0"/>
        <w:ind w:left="85" w:hanging="85"/>
        <w:jc w:val="left"/>
        <w:rPr>
          <w:rStyle w:val="None"/>
          <w:u w:val="single"/>
        </w:rPr>
      </w:pPr>
    </w:p>
    <w:p w14:paraId="32131427" w14:textId="3BBDEA12" w:rsidR="00A42B14" w:rsidRPr="005516CD" w:rsidRDefault="00971CA3" w:rsidP="00FB5829">
      <w:pPr>
        <w:pStyle w:val="Heading2"/>
        <w:numPr>
          <w:ilvl w:val="0"/>
          <w:numId w:val="28"/>
        </w:numPr>
        <w:spacing w:after="0"/>
        <w:ind w:left="0" w:firstLine="0"/>
        <w:rPr>
          <w:rStyle w:val="None"/>
          <w:rFonts w:ascii="Calibri" w:eastAsia="Calibri" w:hAnsi="Calibri" w:cs="Calibri"/>
          <w:b w:val="0"/>
          <w:bCs w:val="0"/>
          <w:color w:val="auto"/>
          <w:sz w:val="24"/>
          <w:szCs w:val="24"/>
          <w:bdr w:val="none" w:sz="0" w:space="0" w:color="auto"/>
        </w:rPr>
      </w:pPr>
      <w:bookmarkStart w:id="135" w:name="_Toc8933114"/>
      <w:bookmarkStart w:id="136" w:name="_Toc476730173"/>
      <w:r w:rsidRPr="00971CA3">
        <w:rPr>
          <w:rFonts w:ascii="Calibri" w:eastAsia="Calibri" w:hAnsi="Calibri"/>
          <w:lang w:val="en-US"/>
        </w:rPr>
        <w:t>Results of the capacity assessment of the project implementing partner and HACT micro assessment</w:t>
      </w:r>
      <w:bookmarkEnd w:id="135"/>
      <w:r w:rsidR="003B4957">
        <w:rPr>
          <w:rFonts w:ascii="Calibri" w:eastAsia="Calibri" w:hAnsi="Calibri"/>
          <w:lang w:val="en-US"/>
        </w:rPr>
        <w:t xml:space="preserve"> </w:t>
      </w:r>
      <w:r w:rsidR="003B4957">
        <w:rPr>
          <w:rFonts w:ascii="Calibri" w:eastAsia="Calibri" w:hAnsi="Calibri"/>
          <w:color w:val="FF0000"/>
          <w:lang w:val="en-US"/>
        </w:rPr>
        <w:t xml:space="preserve">to be added after LPAC / at time of </w:t>
      </w:r>
      <w:proofErr w:type="spellStart"/>
      <w:r w:rsidR="003B4957">
        <w:rPr>
          <w:rFonts w:ascii="Calibri" w:eastAsia="Calibri" w:hAnsi="Calibri"/>
          <w:color w:val="FF0000"/>
          <w:lang w:val="en-US"/>
        </w:rPr>
        <w:t>prodoc</w:t>
      </w:r>
      <w:proofErr w:type="spellEnd"/>
      <w:r w:rsidR="003B4957">
        <w:rPr>
          <w:rFonts w:ascii="Calibri" w:eastAsia="Calibri" w:hAnsi="Calibri"/>
          <w:color w:val="FF0000"/>
          <w:lang w:val="en-US"/>
        </w:rPr>
        <w:t xml:space="preserve"> signature</w:t>
      </w:r>
    </w:p>
    <w:p w14:paraId="20F8EC6B" w14:textId="77777777" w:rsidR="00A42B14" w:rsidRPr="005516CD" w:rsidRDefault="00A42B14" w:rsidP="00A42B14">
      <w:pPr>
        <w:pStyle w:val="Body"/>
      </w:pPr>
    </w:p>
    <w:p w14:paraId="596F5FDA" w14:textId="77777777" w:rsidR="00A42B14" w:rsidRPr="005516CD" w:rsidRDefault="00A42B14" w:rsidP="00A42B14">
      <w:pPr>
        <w:pStyle w:val="Body"/>
        <w:sectPr w:rsidR="00A42B14" w:rsidRPr="005516CD" w:rsidSect="00F91241">
          <w:pgSz w:w="12240" w:h="15840"/>
          <w:pgMar w:top="1440" w:right="1440" w:bottom="1440" w:left="1440" w:header="720" w:footer="720" w:gutter="0"/>
          <w:cols w:space="720"/>
          <w:docGrid w:linePitch="326"/>
        </w:sectPr>
      </w:pPr>
    </w:p>
    <w:p w14:paraId="20BD25A2" w14:textId="77777777" w:rsidR="00A42B14" w:rsidRPr="005516CD" w:rsidRDefault="00A42B14" w:rsidP="00A42B14">
      <w:pPr>
        <w:pStyle w:val="Body"/>
      </w:pPr>
    </w:p>
    <w:p w14:paraId="75ABFFB8" w14:textId="77777777" w:rsidR="00191AA4" w:rsidRPr="005516CD" w:rsidRDefault="00191AA4" w:rsidP="00FB5829">
      <w:pPr>
        <w:pStyle w:val="Heading2"/>
        <w:numPr>
          <w:ilvl w:val="0"/>
          <w:numId w:val="28"/>
        </w:numPr>
        <w:spacing w:after="0"/>
        <w:ind w:left="0" w:firstLine="0"/>
        <w:rPr>
          <w:rStyle w:val="None"/>
          <w:rFonts w:ascii="Calibri" w:eastAsia="Calibri" w:hAnsi="Calibri" w:cs="Times New Roman"/>
          <w:b w:val="0"/>
          <w:bCs w:val="0"/>
          <w:color w:val="auto"/>
          <w:sz w:val="24"/>
          <w:szCs w:val="24"/>
          <w:bdr w:val="none" w:sz="0" w:space="0" w:color="auto"/>
        </w:rPr>
      </w:pPr>
      <w:bookmarkStart w:id="137" w:name="_Toc7535986"/>
      <w:bookmarkStart w:id="138" w:name="_Toc476730174"/>
      <w:bookmarkStart w:id="139" w:name="_Toc8933115"/>
      <w:bookmarkEnd w:id="136"/>
      <w:bookmarkEnd w:id="137"/>
      <w:r w:rsidRPr="005516CD">
        <w:rPr>
          <w:rStyle w:val="None"/>
          <w:rFonts w:ascii="Calibri" w:eastAsia="Calibri" w:hAnsi="Calibri"/>
        </w:rPr>
        <w:t>Gender rating</w:t>
      </w:r>
      <w:bookmarkEnd w:id="138"/>
      <w:bookmarkEnd w:id="139"/>
    </w:p>
    <w:p w14:paraId="627E1A2C" w14:textId="77777777" w:rsidR="009338AE" w:rsidRPr="005516CD" w:rsidRDefault="009338AE" w:rsidP="009338AE">
      <w:pPr>
        <w:rPr>
          <w:rFonts w:asciiTheme="majorHAnsi" w:hAnsiTheme="majorHAnsi" w:cstheme="majorHAnsi"/>
          <w:sz w:val="20"/>
          <w:szCs w:val="20"/>
        </w:rPr>
      </w:pPr>
      <w:r w:rsidRPr="005516CD">
        <w:rPr>
          <w:rFonts w:asciiTheme="majorHAnsi" w:hAnsiTheme="majorHAnsi" w:cstheme="majorHAnsi"/>
          <w:sz w:val="20"/>
          <w:szCs w:val="20"/>
        </w:rPr>
        <w:t>Based on UNDP´s Tracking Gender-Related Investments and Expenditures in ATLAS</w:t>
      </w:r>
    </w:p>
    <w:tbl>
      <w:tblPr>
        <w:tblStyle w:val="TableGrid"/>
        <w:tblW w:w="8607" w:type="dxa"/>
        <w:tblLook w:val="04A0" w:firstRow="1" w:lastRow="0" w:firstColumn="1" w:lastColumn="0" w:noHBand="0" w:noVBand="1"/>
      </w:tblPr>
      <w:tblGrid>
        <w:gridCol w:w="6896"/>
        <w:gridCol w:w="1711"/>
      </w:tblGrid>
      <w:tr w:rsidR="009338AE" w:rsidRPr="005516CD" w14:paraId="1C23884C" w14:textId="77777777" w:rsidTr="009338AE">
        <w:trPr>
          <w:trHeight w:val="380"/>
          <w:tblHeader/>
        </w:trPr>
        <w:tc>
          <w:tcPr>
            <w:tcW w:w="689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ABEEC38" w14:textId="77777777" w:rsidR="009338AE" w:rsidRPr="005516CD" w:rsidRDefault="009338AE" w:rsidP="009338AE">
            <w:pPr>
              <w:jc w:val="center"/>
              <w:rPr>
                <w:rFonts w:asciiTheme="majorHAnsi" w:hAnsiTheme="majorHAnsi" w:cstheme="majorHAnsi"/>
                <w:b/>
                <w:sz w:val="20"/>
                <w:szCs w:val="20"/>
              </w:rPr>
            </w:pPr>
            <w:r w:rsidRPr="005516CD">
              <w:rPr>
                <w:rFonts w:asciiTheme="majorHAnsi" w:hAnsiTheme="majorHAnsi" w:cstheme="majorHAnsi"/>
                <w:b/>
                <w:sz w:val="20"/>
                <w:szCs w:val="20"/>
              </w:rPr>
              <w:t>Output</w:t>
            </w:r>
          </w:p>
        </w:tc>
        <w:tc>
          <w:tcPr>
            <w:tcW w:w="171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978D8D7" w14:textId="77777777" w:rsidR="009338AE" w:rsidRPr="005516CD" w:rsidRDefault="009338AE" w:rsidP="009338AE">
            <w:pPr>
              <w:jc w:val="center"/>
              <w:rPr>
                <w:rFonts w:asciiTheme="majorHAnsi" w:hAnsiTheme="majorHAnsi" w:cstheme="majorHAnsi"/>
                <w:b/>
                <w:sz w:val="20"/>
                <w:szCs w:val="20"/>
              </w:rPr>
            </w:pPr>
            <w:r w:rsidRPr="005516CD">
              <w:rPr>
                <w:rFonts w:asciiTheme="majorHAnsi" w:hAnsiTheme="majorHAnsi" w:cstheme="majorHAnsi"/>
                <w:b/>
                <w:sz w:val="20"/>
                <w:szCs w:val="20"/>
              </w:rPr>
              <w:t>Gender rating</w:t>
            </w:r>
          </w:p>
        </w:tc>
      </w:tr>
      <w:tr w:rsidR="009338AE" w:rsidRPr="005516CD" w14:paraId="56146C49" w14:textId="77777777" w:rsidTr="009338AE">
        <w:trPr>
          <w:trHeight w:val="500"/>
        </w:trPr>
        <w:tc>
          <w:tcPr>
            <w:tcW w:w="86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1A309D6F" w14:textId="77777777" w:rsidR="009338AE" w:rsidRPr="005516CD" w:rsidRDefault="009338AE" w:rsidP="009338AE">
            <w:pPr>
              <w:rPr>
                <w:rFonts w:asciiTheme="majorHAnsi" w:hAnsiTheme="majorHAnsi" w:cstheme="majorHAnsi"/>
                <w:sz w:val="20"/>
                <w:szCs w:val="20"/>
              </w:rPr>
            </w:pPr>
            <w:r w:rsidRPr="005516CD">
              <w:rPr>
                <w:rFonts w:asciiTheme="majorHAnsi" w:hAnsiTheme="majorHAnsi" w:cstheme="majorHAnsi"/>
                <w:sz w:val="20"/>
                <w:szCs w:val="20"/>
              </w:rPr>
              <w:t>1.1 Decision making tools to optimize the configuration of landscape elements in relation to spatial aspects of connectivity, biological importance, production potential, vulnerability and flows of ecosystem services:</w:t>
            </w:r>
          </w:p>
        </w:tc>
      </w:tr>
      <w:tr w:rsidR="009338AE" w:rsidRPr="005516CD" w14:paraId="7F42A219" w14:textId="77777777" w:rsidTr="009338AE">
        <w:trPr>
          <w:trHeight w:val="440"/>
        </w:trPr>
        <w:tc>
          <w:tcPr>
            <w:tcW w:w="6896" w:type="dxa"/>
            <w:tcBorders>
              <w:top w:val="single" w:sz="4" w:space="0" w:color="auto"/>
              <w:left w:val="single" w:sz="4" w:space="0" w:color="auto"/>
              <w:bottom w:val="single" w:sz="4" w:space="0" w:color="auto"/>
              <w:right w:val="single" w:sz="4" w:space="0" w:color="auto"/>
            </w:tcBorders>
            <w:hideMark/>
          </w:tcPr>
          <w:p w14:paraId="688B18DD" w14:textId="77777777" w:rsidR="009338AE" w:rsidRPr="005516CD" w:rsidRDefault="009338AE" w:rsidP="009338AE">
            <w:pPr>
              <w:pStyle w:val="ListParagraph"/>
              <w:keepNext/>
              <w:numPr>
                <w:ilvl w:val="2"/>
                <w:numId w:val="150"/>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left="459" w:right="96" w:hanging="459"/>
              <w:jc w:val="both"/>
              <w:rPr>
                <w:rFonts w:asciiTheme="majorHAnsi" w:hAnsiTheme="majorHAnsi" w:cstheme="majorHAnsi"/>
                <w:sz w:val="20"/>
                <w:szCs w:val="20"/>
              </w:rPr>
            </w:pPr>
            <w:r w:rsidRPr="005516CD">
              <w:rPr>
                <w:rFonts w:asciiTheme="majorHAnsi" w:hAnsiTheme="majorHAnsi" w:cstheme="majorHAnsi"/>
                <w:sz w:val="20"/>
                <w:szCs w:val="20"/>
              </w:rPr>
              <w:t>Region-wide framework for harmonizing interventions in relation to the promotion of sustainable production and management systems</w:t>
            </w:r>
          </w:p>
        </w:tc>
        <w:tc>
          <w:tcPr>
            <w:tcW w:w="1711" w:type="dxa"/>
            <w:tcBorders>
              <w:top w:val="single" w:sz="4" w:space="0" w:color="auto"/>
              <w:left w:val="single" w:sz="4" w:space="0" w:color="auto"/>
              <w:bottom w:val="single" w:sz="4" w:space="0" w:color="auto"/>
              <w:right w:val="single" w:sz="4" w:space="0" w:color="auto"/>
            </w:tcBorders>
            <w:hideMark/>
          </w:tcPr>
          <w:p w14:paraId="3B45C927"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1</w:t>
            </w:r>
          </w:p>
        </w:tc>
      </w:tr>
      <w:tr w:rsidR="009338AE" w:rsidRPr="005516CD" w14:paraId="47F1D5F0" w14:textId="77777777" w:rsidTr="009338AE">
        <w:trPr>
          <w:trHeight w:val="457"/>
        </w:trPr>
        <w:tc>
          <w:tcPr>
            <w:tcW w:w="6896" w:type="dxa"/>
            <w:tcBorders>
              <w:top w:val="single" w:sz="4" w:space="0" w:color="auto"/>
              <w:left w:val="single" w:sz="4" w:space="0" w:color="auto"/>
              <w:bottom w:val="single" w:sz="4" w:space="0" w:color="auto"/>
              <w:right w:val="single" w:sz="4" w:space="0" w:color="auto"/>
            </w:tcBorders>
            <w:hideMark/>
          </w:tcPr>
          <w:p w14:paraId="3A519D7B" w14:textId="77777777" w:rsidR="009338AE" w:rsidRPr="005516CD" w:rsidRDefault="009338AE" w:rsidP="009338AE">
            <w:pPr>
              <w:pStyle w:val="ListParagraph"/>
              <w:keepNext/>
              <w:numPr>
                <w:ilvl w:val="2"/>
                <w:numId w:val="150"/>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left="459" w:right="96" w:hanging="459"/>
              <w:jc w:val="both"/>
              <w:rPr>
                <w:rFonts w:asciiTheme="majorHAnsi" w:hAnsiTheme="majorHAnsi" w:cstheme="majorHAnsi"/>
                <w:sz w:val="20"/>
                <w:szCs w:val="20"/>
              </w:rPr>
            </w:pPr>
            <w:r w:rsidRPr="005516CD">
              <w:rPr>
                <w:rFonts w:asciiTheme="majorHAnsi" w:hAnsiTheme="majorHAnsi" w:cstheme="majorHAnsi"/>
                <w:sz w:val="20"/>
                <w:szCs w:val="20"/>
              </w:rPr>
              <w:t>Social and economic development plans formulated and implemented by local governments that include provisions for the promotion of BD-friendly production systems</w:t>
            </w:r>
          </w:p>
        </w:tc>
        <w:tc>
          <w:tcPr>
            <w:tcW w:w="1711" w:type="dxa"/>
            <w:tcBorders>
              <w:top w:val="single" w:sz="4" w:space="0" w:color="auto"/>
              <w:left w:val="single" w:sz="4" w:space="0" w:color="auto"/>
              <w:bottom w:val="single" w:sz="4" w:space="0" w:color="auto"/>
              <w:right w:val="single" w:sz="4" w:space="0" w:color="auto"/>
            </w:tcBorders>
            <w:hideMark/>
          </w:tcPr>
          <w:p w14:paraId="68135006"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2</w:t>
            </w:r>
          </w:p>
        </w:tc>
      </w:tr>
      <w:tr w:rsidR="009338AE" w:rsidRPr="005516CD" w14:paraId="2E339BEF" w14:textId="77777777" w:rsidTr="009338AE">
        <w:trPr>
          <w:trHeight w:val="228"/>
        </w:trPr>
        <w:tc>
          <w:tcPr>
            <w:tcW w:w="6896" w:type="dxa"/>
            <w:tcBorders>
              <w:top w:val="single" w:sz="4" w:space="0" w:color="auto"/>
              <w:left w:val="single" w:sz="4" w:space="0" w:color="auto"/>
              <w:bottom w:val="single" w:sz="4" w:space="0" w:color="auto"/>
              <w:right w:val="single" w:sz="4" w:space="0" w:color="auto"/>
            </w:tcBorders>
            <w:hideMark/>
          </w:tcPr>
          <w:p w14:paraId="23A93746" w14:textId="77777777" w:rsidR="009338AE" w:rsidRPr="005516CD" w:rsidRDefault="009338AE" w:rsidP="009338AE">
            <w:pPr>
              <w:pStyle w:val="ListParagraph"/>
              <w:keepNext/>
              <w:numPr>
                <w:ilvl w:val="2"/>
                <w:numId w:val="150"/>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left="459" w:right="96" w:hanging="459"/>
              <w:jc w:val="both"/>
              <w:rPr>
                <w:rFonts w:asciiTheme="majorHAnsi" w:hAnsiTheme="majorHAnsi" w:cstheme="majorHAnsi"/>
                <w:sz w:val="20"/>
                <w:szCs w:val="20"/>
              </w:rPr>
            </w:pPr>
            <w:r w:rsidRPr="005516CD">
              <w:rPr>
                <w:rFonts w:asciiTheme="majorHAnsi" w:hAnsiTheme="majorHAnsi" w:cstheme="majorHAnsi"/>
                <w:sz w:val="20"/>
                <w:szCs w:val="20"/>
              </w:rPr>
              <w:t xml:space="preserve">Systems for environmental monitoring and information management at landscape level established and </w:t>
            </w:r>
            <w:r w:rsidRPr="005516CD">
              <w:rPr>
                <w:rFonts w:asciiTheme="majorHAnsi" w:hAnsiTheme="majorHAnsi" w:cstheme="majorHAnsi"/>
                <w:sz w:val="20"/>
                <w:szCs w:val="20"/>
              </w:rPr>
              <w:pgNum/>
            </w:r>
            <w:proofErr w:type="spellStart"/>
            <w:r w:rsidRPr="005516CD">
              <w:rPr>
                <w:rFonts w:asciiTheme="majorHAnsi" w:hAnsiTheme="majorHAnsi" w:cstheme="majorHAnsi"/>
                <w:sz w:val="20"/>
                <w:szCs w:val="20"/>
              </w:rPr>
              <w:t>perationalized</w:t>
            </w:r>
            <w:proofErr w:type="spellEnd"/>
            <w:r w:rsidRPr="005516CD">
              <w:rPr>
                <w:rFonts w:asciiTheme="majorHAnsi" w:hAnsiTheme="majorHAnsi" w:cstheme="majorHAnsi"/>
                <w:sz w:val="20"/>
                <w:szCs w:val="20"/>
              </w:rPr>
              <w:t xml:space="preserve"> in Department and Commune governments (including Commune Agricultural Offices), permitting management of landscapes in </w:t>
            </w:r>
            <w:proofErr w:type="spellStart"/>
            <w:r w:rsidRPr="005516CD">
              <w:rPr>
                <w:rFonts w:asciiTheme="majorHAnsi" w:hAnsiTheme="majorHAnsi" w:cstheme="majorHAnsi"/>
                <w:sz w:val="20"/>
                <w:szCs w:val="20"/>
              </w:rPr>
              <w:t>favour</w:t>
            </w:r>
            <w:proofErr w:type="spellEnd"/>
            <w:r w:rsidRPr="005516CD">
              <w:rPr>
                <w:rFonts w:asciiTheme="majorHAnsi" w:hAnsiTheme="majorHAnsi" w:cstheme="majorHAnsi"/>
                <w:sz w:val="20"/>
                <w:szCs w:val="20"/>
              </w:rPr>
              <w:t xml:space="preserve"> of environmental benefits to respond adaptively to evolving social, economic and environmental conditions:</w:t>
            </w:r>
          </w:p>
        </w:tc>
        <w:tc>
          <w:tcPr>
            <w:tcW w:w="1711" w:type="dxa"/>
            <w:tcBorders>
              <w:top w:val="single" w:sz="4" w:space="0" w:color="auto"/>
              <w:left w:val="single" w:sz="4" w:space="0" w:color="auto"/>
              <w:bottom w:val="single" w:sz="4" w:space="0" w:color="auto"/>
              <w:right w:val="single" w:sz="4" w:space="0" w:color="auto"/>
            </w:tcBorders>
          </w:tcPr>
          <w:p w14:paraId="2DBA3F2A"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1</w:t>
            </w:r>
          </w:p>
          <w:p w14:paraId="5D15F3B7" w14:textId="77777777" w:rsidR="009338AE" w:rsidRPr="005516CD" w:rsidRDefault="009338AE">
            <w:pPr>
              <w:jc w:val="center"/>
              <w:rPr>
                <w:rFonts w:asciiTheme="majorHAnsi" w:hAnsiTheme="majorHAnsi" w:cstheme="majorHAnsi"/>
                <w:sz w:val="20"/>
                <w:szCs w:val="20"/>
              </w:rPr>
            </w:pPr>
          </w:p>
        </w:tc>
      </w:tr>
      <w:tr w:rsidR="009338AE" w:rsidRPr="005516CD" w14:paraId="594E25BD" w14:textId="77777777" w:rsidTr="009338AE">
        <w:trPr>
          <w:trHeight w:val="325"/>
        </w:trPr>
        <w:tc>
          <w:tcPr>
            <w:tcW w:w="6896" w:type="dxa"/>
            <w:tcBorders>
              <w:top w:val="single" w:sz="4" w:space="0" w:color="auto"/>
              <w:left w:val="single" w:sz="4" w:space="0" w:color="auto"/>
              <w:bottom w:val="single" w:sz="4" w:space="0" w:color="auto"/>
              <w:right w:val="single" w:sz="4" w:space="0" w:color="auto"/>
            </w:tcBorders>
            <w:hideMark/>
          </w:tcPr>
          <w:p w14:paraId="0CF1DB3F" w14:textId="77777777" w:rsidR="009338AE" w:rsidRPr="005516CD" w:rsidRDefault="009338AE" w:rsidP="009338AE">
            <w:pPr>
              <w:pStyle w:val="ListParagraph"/>
              <w:keepNext/>
              <w:numPr>
                <w:ilvl w:val="2"/>
                <w:numId w:val="150"/>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left="459" w:right="96" w:hanging="459"/>
              <w:jc w:val="both"/>
              <w:rPr>
                <w:rFonts w:asciiTheme="majorHAnsi" w:hAnsiTheme="majorHAnsi" w:cstheme="majorHAnsi"/>
                <w:sz w:val="20"/>
                <w:szCs w:val="20"/>
              </w:rPr>
            </w:pPr>
            <w:r w:rsidRPr="005516CD">
              <w:rPr>
                <w:rFonts w:asciiTheme="majorHAnsi" w:hAnsiTheme="majorHAnsi" w:cstheme="majorHAnsi"/>
                <w:sz w:val="20"/>
                <w:szCs w:val="20"/>
              </w:rPr>
              <w:t>Consolidation of the capacities of producer cooperatives/federations for monitoring the compliance of their member producers with environmental management and traceability standards</w:t>
            </w:r>
          </w:p>
        </w:tc>
        <w:tc>
          <w:tcPr>
            <w:tcW w:w="1711" w:type="dxa"/>
            <w:tcBorders>
              <w:top w:val="single" w:sz="4" w:space="0" w:color="auto"/>
              <w:left w:val="single" w:sz="4" w:space="0" w:color="auto"/>
              <w:bottom w:val="single" w:sz="4" w:space="0" w:color="auto"/>
              <w:right w:val="single" w:sz="4" w:space="0" w:color="auto"/>
            </w:tcBorders>
            <w:hideMark/>
          </w:tcPr>
          <w:p w14:paraId="3574B4F0"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1</w:t>
            </w:r>
          </w:p>
        </w:tc>
      </w:tr>
      <w:tr w:rsidR="009338AE" w:rsidRPr="005516CD" w14:paraId="047EF8AE" w14:textId="77777777" w:rsidTr="009338AE">
        <w:trPr>
          <w:trHeight w:val="228"/>
        </w:trPr>
        <w:tc>
          <w:tcPr>
            <w:tcW w:w="86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0AB999" w14:textId="77777777" w:rsidR="009338AE" w:rsidRPr="005516CD" w:rsidRDefault="009338AE" w:rsidP="009338AE">
            <w:pPr>
              <w:rPr>
                <w:rFonts w:asciiTheme="majorHAnsi" w:hAnsiTheme="majorHAnsi" w:cstheme="majorHAnsi"/>
                <w:sz w:val="20"/>
                <w:szCs w:val="20"/>
              </w:rPr>
            </w:pPr>
            <w:r w:rsidRPr="005516CD">
              <w:rPr>
                <w:rFonts w:asciiTheme="majorHAnsi" w:hAnsiTheme="majorHAnsi" w:cstheme="majorHAnsi"/>
                <w:sz w:val="20"/>
                <w:szCs w:val="20"/>
              </w:rPr>
              <w:t>1.2 Socially- and institutionally sustainable mechanisms for governance in support of tree-rich production systems:</w:t>
            </w:r>
          </w:p>
        </w:tc>
      </w:tr>
      <w:tr w:rsidR="009338AE" w:rsidRPr="005516CD" w14:paraId="19F8DF93" w14:textId="77777777" w:rsidTr="009338AE">
        <w:trPr>
          <w:trHeight w:val="325"/>
        </w:trPr>
        <w:tc>
          <w:tcPr>
            <w:tcW w:w="6896" w:type="dxa"/>
            <w:tcBorders>
              <w:top w:val="single" w:sz="4" w:space="0" w:color="auto"/>
              <w:left w:val="single" w:sz="4" w:space="0" w:color="auto"/>
              <w:bottom w:val="single" w:sz="4" w:space="0" w:color="auto"/>
              <w:right w:val="single" w:sz="4" w:space="0" w:color="auto"/>
            </w:tcBorders>
            <w:hideMark/>
          </w:tcPr>
          <w:p w14:paraId="1616D360" w14:textId="77777777" w:rsidR="009338AE" w:rsidRPr="005516CD" w:rsidRDefault="009338AE" w:rsidP="009338AE">
            <w:pPr>
              <w:pStyle w:val="ListParagraph"/>
              <w:keepNext/>
              <w:numPr>
                <w:ilvl w:val="2"/>
                <w:numId w:val="151"/>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left="318" w:right="96" w:hanging="318"/>
              <w:jc w:val="both"/>
              <w:rPr>
                <w:rFonts w:asciiTheme="majorHAnsi" w:hAnsiTheme="majorHAnsi" w:cstheme="majorHAnsi"/>
                <w:sz w:val="20"/>
                <w:szCs w:val="20"/>
              </w:rPr>
            </w:pPr>
            <w:r w:rsidRPr="005516CD">
              <w:rPr>
                <w:rFonts w:asciiTheme="majorHAnsi" w:hAnsiTheme="majorHAnsi" w:cstheme="majorHAnsi"/>
                <w:sz w:val="20"/>
                <w:szCs w:val="20"/>
              </w:rPr>
              <w:t xml:space="preserve">Community-based mechanisms for countering threats to community interests in relation to natural resources </w:t>
            </w:r>
          </w:p>
        </w:tc>
        <w:tc>
          <w:tcPr>
            <w:tcW w:w="1711" w:type="dxa"/>
            <w:tcBorders>
              <w:top w:val="single" w:sz="4" w:space="0" w:color="auto"/>
              <w:left w:val="single" w:sz="4" w:space="0" w:color="auto"/>
              <w:bottom w:val="single" w:sz="4" w:space="0" w:color="auto"/>
              <w:right w:val="single" w:sz="4" w:space="0" w:color="auto"/>
            </w:tcBorders>
            <w:hideMark/>
          </w:tcPr>
          <w:p w14:paraId="04B7CB24"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2</w:t>
            </w:r>
          </w:p>
        </w:tc>
      </w:tr>
      <w:tr w:rsidR="009338AE" w:rsidRPr="005516CD" w14:paraId="735FE711" w14:textId="77777777" w:rsidTr="009338AE">
        <w:trPr>
          <w:trHeight w:val="228"/>
        </w:trPr>
        <w:tc>
          <w:tcPr>
            <w:tcW w:w="6896" w:type="dxa"/>
            <w:tcBorders>
              <w:top w:val="single" w:sz="4" w:space="0" w:color="auto"/>
              <w:left w:val="single" w:sz="4" w:space="0" w:color="auto"/>
              <w:bottom w:val="single" w:sz="4" w:space="0" w:color="auto"/>
              <w:right w:val="single" w:sz="4" w:space="0" w:color="auto"/>
            </w:tcBorders>
            <w:hideMark/>
          </w:tcPr>
          <w:p w14:paraId="7BA5C66B" w14:textId="77777777" w:rsidR="009338AE" w:rsidRPr="005516CD" w:rsidRDefault="009338AE" w:rsidP="009338AE">
            <w:pPr>
              <w:pStyle w:val="ListParagraph"/>
              <w:keepNext/>
              <w:numPr>
                <w:ilvl w:val="2"/>
                <w:numId w:val="151"/>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left="459" w:right="96" w:hanging="459"/>
              <w:jc w:val="both"/>
              <w:rPr>
                <w:rFonts w:asciiTheme="majorHAnsi" w:hAnsiTheme="majorHAnsi" w:cstheme="majorHAnsi"/>
                <w:sz w:val="20"/>
                <w:szCs w:val="20"/>
              </w:rPr>
            </w:pPr>
            <w:r w:rsidRPr="005516CD">
              <w:rPr>
                <w:rFonts w:asciiTheme="majorHAnsi" w:hAnsiTheme="majorHAnsi" w:cstheme="majorHAnsi"/>
                <w:sz w:val="20"/>
                <w:szCs w:val="20"/>
              </w:rPr>
              <w:t xml:space="preserve">Community-based </w:t>
            </w:r>
            <w:proofErr w:type="spellStart"/>
            <w:r w:rsidRPr="005516CD">
              <w:rPr>
                <w:rFonts w:asciiTheme="majorHAnsi" w:hAnsiTheme="majorHAnsi" w:cstheme="majorHAnsi"/>
                <w:sz w:val="20"/>
                <w:szCs w:val="20"/>
              </w:rPr>
              <w:t>organisations</w:t>
            </w:r>
            <w:proofErr w:type="spellEnd"/>
            <w:r w:rsidRPr="005516CD">
              <w:rPr>
                <w:rFonts w:asciiTheme="majorHAnsi" w:hAnsiTheme="majorHAnsi" w:cstheme="majorHAnsi"/>
                <w:sz w:val="20"/>
                <w:szCs w:val="20"/>
              </w:rPr>
              <w:t xml:space="preserve"> strengthened to facilitate joint action in support of BD-friendly landscape and ecosystem management such as the protection of remnants of vegetation and the restoration of degraded areas around water catchment areas, and the effective social control of threats</w:t>
            </w:r>
          </w:p>
        </w:tc>
        <w:tc>
          <w:tcPr>
            <w:tcW w:w="1711" w:type="dxa"/>
            <w:tcBorders>
              <w:top w:val="single" w:sz="4" w:space="0" w:color="auto"/>
              <w:left w:val="single" w:sz="4" w:space="0" w:color="auto"/>
              <w:bottom w:val="single" w:sz="4" w:space="0" w:color="auto"/>
              <w:right w:val="single" w:sz="4" w:space="0" w:color="auto"/>
            </w:tcBorders>
            <w:hideMark/>
          </w:tcPr>
          <w:p w14:paraId="21B9E3AB"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1</w:t>
            </w:r>
          </w:p>
        </w:tc>
      </w:tr>
      <w:tr w:rsidR="009338AE" w:rsidRPr="005516CD" w14:paraId="7A49C29A" w14:textId="77777777" w:rsidTr="009338AE">
        <w:trPr>
          <w:trHeight w:val="325"/>
        </w:trPr>
        <w:tc>
          <w:tcPr>
            <w:tcW w:w="86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130701C" w14:textId="77777777" w:rsidR="009338AE" w:rsidRPr="005516CD" w:rsidRDefault="009338AE">
            <w:pPr>
              <w:rPr>
                <w:rFonts w:asciiTheme="majorHAnsi" w:hAnsiTheme="majorHAnsi" w:cstheme="majorHAnsi"/>
                <w:sz w:val="20"/>
                <w:szCs w:val="20"/>
              </w:rPr>
            </w:pPr>
            <w:r w:rsidRPr="005516CD">
              <w:rPr>
                <w:rFonts w:asciiTheme="majorHAnsi" w:hAnsiTheme="majorHAnsi" w:cstheme="majorHAnsi"/>
                <w:sz w:val="20"/>
                <w:szCs w:val="20"/>
              </w:rPr>
              <w:t>1.3 Market-based instruments to facilitate the delivery of environmental benefits:</w:t>
            </w:r>
          </w:p>
        </w:tc>
      </w:tr>
      <w:tr w:rsidR="009338AE" w:rsidRPr="005516CD" w14:paraId="113A9152" w14:textId="77777777" w:rsidTr="009338AE">
        <w:trPr>
          <w:trHeight w:val="325"/>
        </w:trPr>
        <w:tc>
          <w:tcPr>
            <w:tcW w:w="6896" w:type="dxa"/>
            <w:tcBorders>
              <w:top w:val="single" w:sz="4" w:space="0" w:color="auto"/>
              <w:left w:val="single" w:sz="4" w:space="0" w:color="auto"/>
              <w:bottom w:val="single" w:sz="4" w:space="0" w:color="auto"/>
              <w:right w:val="single" w:sz="4" w:space="0" w:color="auto"/>
            </w:tcBorders>
            <w:hideMark/>
          </w:tcPr>
          <w:p w14:paraId="7ABB8561" w14:textId="77777777" w:rsidR="009338AE" w:rsidRPr="005516CD" w:rsidRDefault="009338AE" w:rsidP="009338AE">
            <w:pPr>
              <w:pStyle w:val="ListParagraph"/>
              <w:numPr>
                <w:ilvl w:val="2"/>
                <w:numId w:val="152"/>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left="459" w:right="96" w:hanging="459"/>
              <w:jc w:val="both"/>
              <w:rPr>
                <w:rFonts w:asciiTheme="majorHAnsi" w:hAnsiTheme="majorHAnsi" w:cstheme="majorHAnsi"/>
                <w:sz w:val="20"/>
                <w:szCs w:val="20"/>
                <w:lang w:val="en-GB"/>
              </w:rPr>
            </w:pPr>
            <w:r w:rsidRPr="005516CD">
              <w:rPr>
                <w:rFonts w:asciiTheme="majorHAnsi" w:hAnsiTheme="majorHAnsi" w:cstheme="majorHAnsi"/>
                <w:sz w:val="20"/>
                <w:szCs w:val="20"/>
                <w:lang w:val="en-GB"/>
              </w:rPr>
              <w:t xml:space="preserve">Coherent framework for Government support to integrating producers into markets that favour sustainable production </w:t>
            </w:r>
          </w:p>
        </w:tc>
        <w:tc>
          <w:tcPr>
            <w:tcW w:w="1711" w:type="dxa"/>
            <w:tcBorders>
              <w:top w:val="single" w:sz="4" w:space="0" w:color="auto"/>
              <w:left w:val="single" w:sz="4" w:space="0" w:color="auto"/>
              <w:bottom w:val="single" w:sz="4" w:space="0" w:color="auto"/>
              <w:right w:val="single" w:sz="4" w:space="0" w:color="auto"/>
            </w:tcBorders>
            <w:hideMark/>
          </w:tcPr>
          <w:p w14:paraId="06F8C8C3"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2</w:t>
            </w:r>
          </w:p>
        </w:tc>
      </w:tr>
      <w:tr w:rsidR="009338AE" w:rsidRPr="005516CD" w14:paraId="7707E112" w14:textId="77777777" w:rsidTr="009338AE">
        <w:trPr>
          <w:trHeight w:val="228"/>
        </w:trPr>
        <w:tc>
          <w:tcPr>
            <w:tcW w:w="6896" w:type="dxa"/>
            <w:tcBorders>
              <w:top w:val="single" w:sz="4" w:space="0" w:color="auto"/>
              <w:left w:val="single" w:sz="4" w:space="0" w:color="auto"/>
              <w:bottom w:val="single" w:sz="4" w:space="0" w:color="auto"/>
              <w:right w:val="single" w:sz="4" w:space="0" w:color="auto"/>
            </w:tcBorders>
            <w:hideMark/>
          </w:tcPr>
          <w:p w14:paraId="0EE5BE46" w14:textId="77777777" w:rsidR="009338AE" w:rsidRPr="005516CD" w:rsidRDefault="009338AE" w:rsidP="009338AE">
            <w:pPr>
              <w:pStyle w:val="ListParagraph"/>
              <w:numPr>
                <w:ilvl w:val="2"/>
                <w:numId w:val="152"/>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 xml:space="preserve">Branding based on socio-cultural-environmental factors </w:t>
            </w:r>
          </w:p>
        </w:tc>
        <w:tc>
          <w:tcPr>
            <w:tcW w:w="1711" w:type="dxa"/>
            <w:tcBorders>
              <w:top w:val="single" w:sz="4" w:space="0" w:color="auto"/>
              <w:left w:val="single" w:sz="4" w:space="0" w:color="auto"/>
              <w:bottom w:val="single" w:sz="4" w:space="0" w:color="auto"/>
              <w:right w:val="single" w:sz="4" w:space="0" w:color="auto"/>
            </w:tcBorders>
            <w:hideMark/>
          </w:tcPr>
          <w:p w14:paraId="1EC141D9"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2</w:t>
            </w:r>
          </w:p>
        </w:tc>
      </w:tr>
      <w:tr w:rsidR="009338AE" w:rsidRPr="005516CD" w14:paraId="51E72DD9" w14:textId="77777777" w:rsidTr="009338AE">
        <w:trPr>
          <w:trHeight w:val="325"/>
        </w:trPr>
        <w:tc>
          <w:tcPr>
            <w:tcW w:w="6896" w:type="dxa"/>
            <w:tcBorders>
              <w:top w:val="single" w:sz="4" w:space="0" w:color="auto"/>
              <w:left w:val="single" w:sz="4" w:space="0" w:color="auto"/>
              <w:bottom w:val="single" w:sz="4" w:space="0" w:color="auto"/>
              <w:right w:val="single" w:sz="4" w:space="0" w:color="auto"/>
            </w:tcBorders>
            <w:hideMark/>
          </w:tcPr>
          <w:p w14:paraId="04525512" w14:textId="77777777" w:rsidR="009338AE" w:rsidRPr="005516CD" w:rsidRDefault="009338AE" w:rsidP="009338AE">
            <w:pPr>
              <w:pStyle w:val="ListParagraph"/>
              <w:numPr>
                <w:ilvl w:val="2"/>
                <w:numId w:val="152"/>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Local and national value chains</w:t>
            </w:r>
          </w:p>
        </w:tc>
        <w:tc>
          <w:tcPr>
            <w:tcW w:w="1711" w:type="dxa"/>
            <w:tcBorders>
              <w:top w:val="single" w:sz="4" w:space="0" w:color="auto"/>
              <w:left w:val="single" w:sz="4" w:space="0" w:color="auto"/>
              <w:bottom w:val="single" w:sz="4" w:space="0" w:color="auto"/>
              <w:right w:val="single" w:sz="4" w:space="0" w:color="auto"/>
            </w:tcBorders>
            <w:hideMark/>
          </w:tcPr>
          <w:p w14:paraId="65964BCF"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1</w:t>
            </w:r>
          </w:p>
        </w:tc>
      </w:tr>
      <w:tr w:rsidR="009338AE" w:rsidRPr="005516CD" w14:paraId="714CBC94" w14:textId="77777777" w:rsidTr="009338AE">
        <w:trPr>
          <w:trHeight w:val="228"/>
        </w:trPr>
        <w:tc>
          <w:tcPr>
            <w:tcW w:w="6896" w:type="dxa"/>
            <w:tcBorders>
              <w:top w:val="single" w:sz="4" w:space="0" w:color="auto"/>
              <w:left w:val="single" w:sz="4" w:space="0" w:color="auto"/>
              <w:bottom w:val="single" w:sz="4" w:space="0" w:color="auto"/>
              <w:right w:val="single" w:sz="4" w:space="0" w:color="auto"/>
            </w:tcBorders>
            <w:hideMark/>
          </w:tcPr>
          <w:p w14:paraId="2CD6BC05" w14:textId="77777777" w:rsidR="009338AE" w:rsidRPr="005516CD" w:rsidRDefault="009338AE" w:rsidP="009338AE">
            <w:pPr>
              <w:pStyle w:val="ListParagraph"/>
              <w:numPr>
                <w:ilvl w:val="2"/>
                <w:numId w:val="152"/>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left="459" w:right="96" w:hanging="459"/>
              <w:jc w:val="both"/>
              <w:rPr>
                <w:rFonts w:asciiTheme="majorHAnsi" w:hAnsiTheme="majorHAnsi" w:cstheme="majorHAnsi"/>
                <w:sz w:val="20"/>
                <w:szCs w:val="20"/>
                <w:lang w:val="en-GB"/>
              </w:rPr>
            </w:pPr>
            <w:r w:rsidRPr="005516CD">
              <w:rPr>
                <w:rFonts w:asciiTheme="majorHAnsi" w:hAnsiTheme="majorHAnsi" w:cstheme="majorHAnsi"/>
                <w:sz w:val="20"/>
                <w:szCs w:val="20"/>
                <w:lang w:val="en-GB"/>
              </w:rPr>
              <w:t>Increased involvement of chambers of commerce in support of sustainable production systems</w:t>
            </w:r>
          </w:p>
        </w:tc>
        <w:tc>
          <w:tcPr>
            <w:tcW w:w="1711" w:type="dxa"/>
            <w:tcBorders>
              <w:top w:val="single" w:sz="4" w:space="0" w:color="auto"/>
              <w:left w:val="single" w:sz="4" w:space="0" w:color="auto"/>
              <w:bottom w:val="single" w:sz="4" w:space="0" w:color="auto"/>
              <w:right w:val="single" w:sz="4" w:space="0" w:color="auto"/>
            </w:tcBorders>
            <w:hideMark/>
          </w:tcPr>
          <w:p w14:paraId="44F7CBA8"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0</w:t>
            </w:r>
          </w:p>
        </w:tc>
      </w:tr>
      <w:tr w:rsidR="009338AE" w:rsidRPr="005516CD" w14:paraId="0B7741AD" w14:textId="77777777" w:rsidTr="009338AE">
        <w:trPr>
          <w:trHeight w:val="325"/>
        </w:trPr>
        <w:tc>
          <w:tcPr>
            <w:tcW w:w="86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7EB5DB9" w14:textId="77777777" w:rsidR="009338AE" w:rsidRPr="005516CD" w:rsidRDefault="009338AE" w:rsidP="009338AE">
            <w:pPr>
              <w:rPr>
                <w:rFonts w:asciiTheme="majorHAnsi" w:hAnsiTheme="majorHAnsi" w:cstheme="majorHAnsi"/>
                <w:sz w:val="20"/>
                <w:szCs w:val="20"/>
              </w:rPr>
            </w:pPr>
            <w:r w:rsidRPr="005516CD">
              <w:rPr>
                <w:rFonts w:asciiTheme="majorHAnsi" w:hAnsiTheme="majorHAnsi" w:cstheme="majorHAnsi"/>
                <w:sz w:val="20"/>
                <w:szCs w:val="20"/>
              </w:rPr>
              <w:t>2.</w:t>
            </w:r>
            <w:r w:rsidRPr="005516CD">
              <w:rPr>
                <w:rFonts w:asciiTheme="majorHAnsi" w:eastAsia="Arial Unicode MS" w:hAnsiTheme="majorHAnsi" w:cstheme="majorHAnsi"/>
                <w:color w:val="000000"/>
                <w:sz w:val="20"/>
                <w:szCs w:val="20"/>
                <w:bdr w:val="none" w:sz="0" w:space="0" w:color="auto" w:frame="1"/>
                <w:lang w:val="en-US"/>
              </w:rPr>
              <w:t>1 Improved service delivery systems for technical assistance:</w:t>
            </w:r>
          </w:p>
        </w:tc>
      </w:tr>
      <w:tr w:rsidR="009338AE" w:rsidRPr="005516CD" w14:paraId="34612089" w14:textId="77777777" w:rsidTr="009338AE">
        <w:trPr>
          <w:trHeight w:val="325"/>
        </w:trPr>
        <w:tc>
          <w:tcPr>
            <w:tcW w:w="6896" w:type="dxa"/>
            <w:tcBorders>
              <w:top w:val="single" w:sz="4" w:space="0" w:color="auto"/>
              <w:left w:val="single" w:sz="4" w:space="0" w:color="auto"/>
              <w:bottom w:val="single" w:sz="4" w:space="0" w:color="auto"/>
              <w:right w:val="single" w:sz="4" w:space="0" w:color="auto"/>
            </w:tcBorders>
            <w:hideMark/>
          </w:tcPr>
          <w:p w14:paraId="791F378D" w14:textId="77777777" w:rsidR="009338AE" w:rsidRPr="005516CD" w:rsidRDefault="009338AE" w:rsidP="009338AE">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bdr w:val="none" w:sz="0" w:space="0" w:color="auto" w:frame="1"/>
              </w:rPr>
              <w:t>2.1.1 Mechanisms for the generation and transfer of knowledge on the application of     tree-based systems generating multiple environmental benefits</w:t>
            </w:r>
          </w:p>
        </w:tc>
        <w:tc>
          <w:tcPr>
            <w:tcW w:w="1711" w:type="dxa"/>
            <w:tcBorders>
              <w:top w:val="single" w:sz="4" w:space="0" w:color="auto"/>
              <w:left w:val="single" w:sz="4" w:space="0" w:color="auto"/>
              <w:bottom w:val="single" w:sz="4" w:space="0" w:color="auto"/>
              <w:right w:val="single" w:sz="4" w:space="0" w:color="auto"/>
            </w:tcBorders>
            <w:hideMark/>
          </w:tcPr>
          <w:p w14:paraId="3DA314C8"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 xml:space="preserve">2   </w:t>
            </w:r>
          </w:p>
        </w:tc>
      </w:tr>
      <w:tr w:rsidR="009338AE" w:rsidRPr="005516CD" w14:paraId="6E44DF40" w14:textId="77777777" w:rsidTr="009338AE">
        <w:trPr>
          <w:trHeight w:val="228"/>
        </w:trPr>
        <w:tc>
          <w:tcPr>
            <w:tcW w:w="6896" w:type="dxa"/>
            <w:tcBorders>
              <w:top w:val="single" w:sz="4" w:space="0" w:color="auto"/>
              <w:left w:val="single" w:sz="4" w:space="0" w:color="auto"/>
              <w:bottom w:val="single" w:sz="4" w:space="0" w:color="auto"/>
              <w:right w:val="single" w:sz="4" w:space="0" w:color="auto"/>
            </w:tcBorders>
            <w:hideMark/>
          </w:tcPr>
          <w:p w14:paraId="0D2A067B" w14:textId="77777777" w:rsidR="009338AE" w:rsidRPr="005516CD" w:rsidRDefault="009338AE" w:rsidP="009338AE">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2.1.2 Technical guidelines and extension materials on the management of tree-based production systems.</w:t>
            </w:r>
          </w:p>
        </w:tc>
        <w:tc>
          <w:tcPr>
            <w:tcW w:w="1711" w:type="dxa"/>
            <w:tcBorders>
              <w:top w:val="single" w:sz="4" w:space="0" w:color="auto"/>
              <w:left w:val="single" w:sz="4" w:space="0" w:color="auto"/>
              <w:bottom w:val="single" w:sz="4" w:space="0" w:color="auto"/>
              <w:right w:val="single" w:sz="4" w:space="0" w:color="auto"/>
            </w:tcBorders>
            <w:hideMark/>
          </w:tcPr>
          <w:p w14:paraId="204766F1"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1</w:t>
            </w:r>
          </w:p>
        </w:tc>
      </w:tr>
      <w:tr w:rsidR="009338AE" w:rsidRPr="005516CD" w14:paraId="169C121F" w14:textId="77777777" w:rsidTr="009338AE">
        <w:trPr>
          <w:trHeight w:val="325"/>
        </w:trPr>
        <w:tc>
          <w:tcPr>
            <w:tcW w:w="86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633580D3" w14:textId="77777777" w:rsidR="009338AE" w:rsidRPr="005516CD" w:rsidRDefault="009338AE" w:rsidP="009338AE">
            <w:pPr>
              <w:rPr>
                <w:rFonts w:asciiTheme="majorHAnsi" w:hAnsiTheme="majorHAnsi" w:cstheme="majorHAnsi"/>
                <w:sz w:val="20"/>
                <w:szCs w:val="20"/>
              </w:rPr>
            </w:pPr>
            <w:r w:rsidRPr="005516CD">
              <w:rPr>
                <w:rFonts w:asciiTheme="majorHAnsi" w:hAnsiTheme="majorHAnsi" w:cstheme="majorHAnsi"/>
                <w:sz w:val="20"/>
                <w:szCs w:val="20"/>
              </w:rPr>
              <w:t>2.2 Improved financing mechanisms for tree-based production systems:</w:t>
            </w:r>
          </w:p>
        </w:tc>
      </w:tr>
      <w:tr w:rsidR="009338AE" w:rsidRPr="005516CD" w14:paraId="4128AB7B" w14:textId="77777777" w:rsidTr="009338AE">
        <w:trPr>
          <w:trHeight w:val="228"/>
        </w:trPr>
        <w:tc>
          <w:tcPr>
            <w:tcW w:w="6896" w:type="dxa"/>
            <w:tcBorders>
              <w:top w:val="single" w:sz="4" w:space="0" w:color="auto"/>
              <w:left w:val="single" w:sz="4" w:space="0" w:color="auto"/>
              <w:bottom w:val="single" w:sz="4" w:space="0" w:color="auto"/>
              <w:right w:val="single" w:sz="4" w:space="0" w:color="auto"/>
            </w:tcBorders>
          </w:tcPr>
          <w:p w14:paraId="7C6FDF36" w14:textId="77777777" w:rsidR="009338AE" w:rsidRPr="005516CD" w:rsidRDefault="009338AE" w:rsidP="009338AE">
            <w:pPr>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2.2.1 Analysis and guidance materials on creditworthiness of businesses related to tree-based production systems</w:t>
            </w:r>
          </w:p>
        </w:tc>
        <w:tc>
          <w:tcPr>
            <w:tcW w:w="1711" w:type="dxa"/>
            <w:tcBorders>
              <w:top w:val="single" w:sz="4" w:space="0" w:color="auto"/>
              <w:left w:val="single" w:sz="4" w:space="0" w:color="auto"/>
              <w:bottom w:val="single" w:sz="4" w:space="0" w:color="auto"/>
              <w:right w:val="single" w:sz="4" w:space="0" w:color="auto"/>
            </w:tcBorders>
            <w:hideMark/>
          </w:tcPr>
          <w:p w14:paraId="6AD32468"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0</w:t>
            </w:r>
          </w:p>
        </w:tc>
      </w:tr>
      <w:tr w:rsidR="009338AE" w:rsidRPr="005516CD" w14:paraId="7BB61B77" w14:textId="77777777" w:rsidTr="009338AE">
        <w:trPr>
          <w:trHeight w:val="325"/>
        </w:trPr>
        <w:tc>
          <w:tcPr>
            <w:tcW w:w="6896" w:type="dxa"/>
            <w:tcBorders>
              <w:top w:val="single" w:sz="4" w:space="0" w:color="auto"/>
              <w:left w:val="single" w:sz="4" w:space="0" w:color="auto"/>
              <w:bottom w:val="single" w:sz="4" w:space="0" w:color="auto"/>
              <w:right w:val="single" w:sz="4" w:space="0" w:color="auto"/>
            </w:tcBorders>
          </w:tcPr>
          <w:p w14:paraId="504777B5" w14:textId="77777777" w:rsidR="009338AE" w:rsidRPr="005516CD" w:rsidRDefault="009338AE" w:rsidP="009338AE">
            <w:pPr>
              <w:rPr>
                <w:rFonts w:asciiTheme="majorHAnsi" w:hAnsiTheme="majorHAnsi" w:cstheme="majorHAnsi"/>
                <w:sz w:val="20"/>
                <w:szCs w:val="20"/>
              </w:rPr>
            </w:pPr>
            <w:r w:rsidRPr="005516CD">
              <w:rPr>
                <w:rFonts w:asciiTheme="majorHAnsi" w:hAnsiTheme="majorHAnsi" w:cstheme="majorHAnsi"/>
                <w:sz w:val="20"/>
                <w:szCs w:val="20"/>
              </w:rPr>
              <w:t>2.2.2 Tree-based businesses with capacities to take on and manage finance</w:t>
            </w:r>
          </w:p>
        </w:tc>
        <w:tc>
          <w:tcPr>
            <w:tcW w:w="1711" w:type="dxa"/>
            <w:tcBorders>
              <w:top w:val="single" w:sz="4" w:space="0" w:color="auto"/>
              <w:left w:val="single" w:sz="4" w:space="0" w:color="auto"/>
              <w:bottom w:val="single" w:sz="4" w:space="0" w:color="auto"/>
              <w:right w:val="single" w:sz="4" w:space="0" w:color="auto"/>
            </w:tcBorders>
            <w:hideMark/>
          </w:tcPr>
          <w:p w14:paraId="60C8356A"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1</w:t>
            </w:r>
          </w:p>
        </w:tc>
      </w:tr>
      <w:tr w:rsidR="009338AE" w:rsidRPr="005516CD" w14:paraId="710925B1" w14:textId="77777777" w:rsidTr="009338AE">
        <w:trPr>
          <w:trHeight w:val="228"/>
        </w:trPr>
        <w:tc>
          <w:tcPr>
            <w:tcW w:w="6896" w:type="dxa"/>
            <w:tcBorders>
              <w:top w:val="single" w:sz="4" w:space="0" w:color="auto"/>
              <w:left w:val="single" w:sz="4" w:space="0" w:color="auto"/>
              <w:bottom w:val="single" w:sz="4" w:space="0" w:color="auto"/>
              <w:right w:val="single" w:sz="4" w:space="0" w:color="auto"/>
            </w:tcBorders>
          </w:tcPr>
          <w:p w14:paraId="14489D05" w14:textId="77777777" w:rsidR="009338AE" w:rsidRPr="005516CD" w:rsidRDefault="009338AE" w:rsidP="009338AE">
            <w:pPr>
              <w:keepNext/>
              <w:tabs>
                <w:tab w:val="left" w:pos="426"/>
              </w:tabs>
              <w:ind w:right="96"/>
              <w:jc w:val="both"/>
              <w:rPr>
                <w:rFonts w:asciiTheme="majorHAnsi" w:hAnsiTheme="majorHAnsi" w:cstheme="majorHAnsi"/>
                <w:sz w:val="20"/>
                <w:szCs w:val="20"/>
              </w:rPr>
            </w:pPr>
            <w:r w:rsidRPr="005516CD">
              <w:rPr>
                <w:rFonts w:asciiTheme="majorHAnsi" w:hAnsiTheme="majorHAnsi" w:cstheme="majorHAnsi"/>
                <w:sz w:val="20"/>
                <w:szCs w:val="20"/>
              </w:rPr>
              <w:t>2.2.3 Credit packages developed and offered by diverse financing sources</w:t>
            </w:r>
          </w:p>
          <w:p w14:paraId="40BC74CD" w14:textId="77777777" w:rsidR="009338AE" w:rsidRPr="005516CD" w:rsidRDefault="009338AE" w:rsidP="009338AE">
            <w:pPr>
              <w:rPr>
                <w:rFonts w:asciiTheme="majorHAnsi" w:hAnsiTheme="majorHAnsi" w:cstheme="majorHAnsi"/>
                <w:sz w:val="20"/>
                <w:szCs w:val="20"/>
              </w:rPr>
            </w:pPr>
          </w:p>
        </w:tc>
        <w:tc>
          <w:tcPr>
            <w:tcW w:w="1711" w:type="dxa"/>
            <w:tcBorders>
              <w:top w:val="single" w:sz="4" w:space="0" w:color="auto"/>
              <w:left w:val="single" w:sz="4" w:space="0" w:color="auto"/>
              <w:bottom w:val="single" w:sz="4" w:space="0" w:color="auto"/>
              <w:right w:val="single" w:sz="4" w:space="0" w:color="auto"/>
            </w:tcBorders>
            <w:hideMark/>
          </w:tcPr>
          <w:p w14:paraId="18D9A7DA"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1</w:t>
            </w:r>
          </w:p>
        </w:tc>
      </w:tr>
      <w:tr w:rsidR="009338AE" w:rsidRPr="005516CD" w14:paraId="7043D407" w14:textId="77777777" w:rsidTr="009338AE">
        <w:trPr>
          <w:trHeight w:val="325"/>
        </w:trPr>
        <w:tc>
          <w:tcPr>
            <w:tcW w:w="8607"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6F7ECCB" w14:textId="77777777" w:rsidR="009338AE" w:rsidRPr="005516CD" w:rsidRDefault="009338AE" w:rsidP="009338AE">
            <w:pPr>
              <w:rPr>
                <w:rFonts w:asciiTheme="majorHAnsi" w:hAnsiTheme="majorHAnsi" w:cstheme="majorHAnsi"/>
                <w:sz w:val="20"/>
                <w:szCs w:val="20"/>
              </w:rPr>
            </w:pPr>
            <w:r w:rsidRPr="005516CD">
              <w:rPr>
                <w:rFonts w:asciiTheme="majorHAnsi" w:hAnsiTheme="majorHAnsi" w:cstheme="majorHAnsi"/>
                <w:sz w:val="20"/>
                <w:szCs w:val="20"/>
              </w:rPr>
              <w:t>2.3 Capacities for generating revenue from tree-based systems on farm:</w:t>
            </w:r>
          </w:p>
        </w:tc>
      </w:tr>
      <w:tr w:rsidR="009338AE" w:rsidRPr="005516CD" w14:paraId="2A27B811" w14:textId="77777777" w:rsidTr="009338AE">
        <w:trPr>
          <w:trHeight w:val="311"/>
        </w:trPr>
        <w:tc>
          <w:tcPr>
            <w:tcW w:w="6896" w:type="dxa"/>
            <w:tcBorders>
              <w:top w:val="single" w:sz="4" w:space="0" w:color="auto"/>
              <w:left w:val="single" w:sz="4" w:space="0" w:color="auto"/>
              <w:bottom w:val="single" w:sz="4" w:space="0" w:color="auto"/>
              <w:right w:val="single" w:sz="4" w:space="0" w:color="auto"/>
            </w:tcBorders>
          </w:tcPr>
          <w:p w14:paraId="7529F7CB" w14:textId="77777777" w:rsidR="009338AE" w:rsidRPr="005516CD" w:rsidRDefault="009338AE" w:rsidP="009338AE">
            <w:pPr>
              <w:pStyle w:val="ListParagraph"/>
              <w:numPr>
                <w:ilvl w:val="2"/>
                <w:numId w:val="153"/>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left="459" w:right="96" w:hanging="459"/>
              <w:jc w:val="both"/>
              <w:rPr>
                <w:rFonts w:asciiTheme="majorHAnsi" w:hAnsiTheme="majorHAnsi" w:cstheme="majorHAnsi"/>
                <w:sz w:val="20"/>
                <w:szCs w:val="20"/>
              </w:rPr>
            </w:pPr>
            <w:r w:rsidRPr="005516CD">
              <w:rPr>
                <w:rFonts w:asciiTheme="majorHAnsi" w:hAnsiTheme="majorHAnsi" w:cstheme="majorHAnsi"/>
                <w:sz w:val="20"/>
                <w:szCs w:val="20"/>
              </w:rPr>
              <w:t xml:space="preserve">Producer </w:t>
            </w:r>
            <w:proofErr w:type="spellStart"/>
            <w:r w:rsidRPr="005516CD">
              <w:rPr>
                <w:rFonts w:asciiTheme="majorHAnsi" w:hAnsiTheme="majorHAnsi" w:cstheme="majorHAnsi"/>
                <w:sz w:val="20"/>
                <w:szCs w:val="20"/>
              </w:rPr>
              <w:t>organisations</w:t>
            </w:r>
            <w:proofErr w:type="spellEnd"/>
            <w:r w:rsidRPr="005516CD">
              <w:rPr>
                <w:rFonts w:asciiTheme="majorHAnsi" w:hAnsiTheme="majorHAnsi" w:cstheme="majorHAnsi"/>
                <w:sz w:val="20"/>
                <w:szCs w:val="20"/>
              </w:rPr>
              <w:t xml:space="preserve">, businesses and cooperatives with strengthened capacities for identifying </w:t>
            </w:r>
            <w:proofErr w:type="spellStart"/>
            <w:r w:rsidRPr="005516CD">
              <w:rPr>
                <w:rFonts w:asciiTheme="majorHAnsi" w:hAnsiTheme="majorHAnsi" w:cstheme="majorHAnsi"/>
                <w:sz w:val="20"/>
                <w:szCs w:val="20"/>
              </w:rPr>
              <w:t>favourable</w:t>
            </w:r>
            <w:proofErr w:type="spellEnd"/>
            <w:r w:rsidRPr="005516CD">
              <w:rPr>
                <w:rFonts w:asciiTheme="majorHAnsi" w:hAnsiTheme="majorHAnsi" w:cstheme="majorHAnsi"/>
                <w:sz w:val="20"/>
                <w:szCs w:val="20"/>
              </w:rPr>
              <w:t xml:space="preserve"> </w:t>
            </w:r>
            <w:r w:rsidRPr="005516CD">
              <w:rPr>
                <w:rFonts w:asciiTheme="majorHAnsi" w:hAnsiTheme="majorHAnsi" w:cstheme="majorHAnsi"/>
                <w:sz w:val="20"/>
                <w:szCs w:val="20"/>
                <w:lang w:val="en-GB"/>
              </w:rPr>
              <w:t>market</w:t>
            </w:r>
            <w:r w:rsidRPr="005516CD">
              <w:rPr>
                <w:rFonts w:asciiTheme="majorHAnsi" w:hAnsiTheme="majorHAnsi" w:cstheme="majorHAnsi"/>
                <w:sz w:val="20"/>
                <w:szCs w:val="20"/>
              </w:rPr>
              <w:t xml:space="preserve"> opportunities and gaining access to certification systems</w:t>
            </w:r>
          </w:p>
        </w:tc>
        <w:tc>
          <w:tcPr>
            <w:tcW w:w="1711" w:type="dxa"/>
            <w:tcBorders>
              <w:top w:val="single" w:sz="4" w:space="0" w:color="auto"/>
              <w:left w:val="single" w:sz="4" w:space="0" w:color="auto"/>
              <w:bottom w:val="single" w:sz="4" w:space="0" w:color="auto"/>
              <w:right w:val="single" w:sz="4" w:space="0" w:color="auto"/>
            </w:tcBorders>
            <w:hideMark/>
          </w:tcPr>
          <w:p w14:paraId="66140C46"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1</w:t>
            </w:r>
          </w:p>
        </w:tc>
      </w:tr>
      <w:tr w:rsidR="009338AE" w:rsidRPr="005516CD" w14:paraId="7DF4B0EC" w14:textId="77777777" w:rsidTr="009338AE">
        <w:trPr>
          <w:trHeight w:val="325"/>
        </w:trPr>
        <w:tc>
          <w:tcPr>
            <w:tcW w:w="6896" w:type="dxa"/>
            <w:tcBorders>
              <w:top w:val="single" w:sz="4" w:space="0" w:color="auto"/>
              <w:left w:val="single" w:sz="4" w:space="0" w:color="auto"/>
              <w:bottom w:val="single" w:sz="4" w:space="0" w:color="auto"/>
              <w:right w:val="single" w:sz="4" w:space="0" w:color="auto"/>
            </w:tcBorders>
          </w:tcPr>
          <w:p w14:paraId="50CD2776" w14:textId="77777777" w:rsidR="009338AE" w:rsidRPr="005516CD" w:rsidRDefault="009338AE" w:rsidP="009338AE">
            <w:pPr>
              <w:pStyle w:val="ListParagraph"/>
              <w:numPr>
                <w:ilvl w:val="2"/>
                <w:numId w:val="153"/>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ind w:left="459" w:right="96" w:hanging="459"/>
              <w:jc w:val="both"/>
              <w:rPr>
                <w:rFonts w:asciiTheme="majorHAnsi" w:hAnsiTheme="majorHAnsi" w:cstheme="majorHAnsi"/>
                <w:sz w:val="20"/>
                <w:szCs w:val="20"/>
              </w:rPr>
            </w:pPr>
            <w:r w:rsidRPr="005516CD">
              <w:rPr>
                <w:rFonts w:asciiTheme="majorHAnsi" w:hAnsiTheme="majorHAnsi" w:cstheme="majorHAnsi"/>
                <w:sz w:val="20"/>
                <w:szCs w:val="20"/>
              </w:rPr>
              <w:t>Improved capacities for adding value to the products of trees and tree-based management systems</w:t>
            </w:r>
          </w:p>
        </w:tc>
        <w:tc>
          <w:tcPr>
            <w:tcW w:w="1711" w:type="dxa"/>
            <w:tcBorders>
              <w:top w:val="single" w:sz="4" w:space="0" w:color="auto"/>
              <w:left w:val="single" w:sz="4" w:space="0" w:color="auto"/>
              <w:bottom w:val="single" w:sz="4" w:space="0" w:color="auto"/>
              <w:right w:val="single" w:sz="4" w:space="0" w:color="auto"/>
            </w:tcBorders>
            <w:hideMark/>
          </w:tcPr>
          <w:p w14:paraId="696FB80D"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2</w:t>
            </w:r>
          </w:p>
        </w:tc>
      </w:tr>
      <w:tr w:rsidR="009338AE" w:rsidRPr="005516CD" w14:paraId="6F6783BD" w14:textId="77777777" w:rsidTr="009338AE">
        <w:trPr>
          <w:trHeight w:val="228"/>
        </w:trPr>
        <w:tc>
          <w:tcPr>
            <w:tcW w:w="689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F3444A6" w14:textId="77777777" w:rsidR="009338AE" w:rsidRPr="005516CD" w:rsidRDefault="009338AE" w:rsidP="009338AE">
            <w:pPr>
              <w:pStyle w:val="Heading7"/>
              <w:keepNext/>
              <w:spacing w:before="0" w:after="0"/>
              <w:ind w:left="0"/>
              <w:rPr>
                <w:rFonts w:asciiTheme="majorHAnsi" w:hAnsiTheme="majorHAnsi" w:cstheme="majorHAnsi"/>
                <w:szCs w:val="20"/>
              </w:rPr>
            </w:pPr>
            <w:r w:rsidRPr="005516CD">
              <w:rPr>
                <w:rFonts w:asciiTheme="majorHAnsi" w:hAnsiTheme="majorHAnsi" w:cstheme="majorHAnsi"/>
                <w:szCs w:val="20"/>
              </w:rPr>
              <w:t>Output 3.1 Knowledge management and dissemination/scaling up strategy</w:t>
            </w:r>
          </w:p>
        </w:tc>
        <w:tc>
          <w:tcPr>
            <w:tcW w:w="171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033A51FA"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1</w:t>
            </w:r>
          </w:p>
        </w:tc>
      </w:tr>
      <w:tr w:rsidR="009338AE" w:rsidRPr="005516CD" w14:paraId="5BAF4388" w14:textId="77777777" w:rsidTr="009338AE">
        <w:trPr>
          <w:trHeight w:val="325"/>
        </w:trPr>
        <w:tc>
          <w:tcPr>
            <w:tcW w:w="689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135D209" w14:textId="77777777" w:rsidR="009338AE" w:rsidRPr="005516CD" w:rsidRDefault="009338AE" w:rsidP="009338AE">
            <w:pPr>
              <w:rPr>
                <w:rFonts w:asciiTheme="majorHAnsi" w:hAnsiTheme="majorHAnsi" w:cstheme="majorHAnsi"/>
                <w:sz w:val="20"/>
                <w:szCs w:val="20"/>
              </w:rPr>
            </w:pPr>
            <w:r w:rsidRPr="005516CD">
              <w:rPr>
                <w:rFonts w:asciiTheme="majorHAnsi" w:hAnsiTheme="majorHAnsi" w:cstheme="majorHAnsi"/>
                <w:sz w:val="20"/>
                <w:szCs w:val="20"/>
              </w:rPr>
              <w:t>Output 3.2 Communication strategy</w:t>
            </w:r>
          </w:p>
        </w:tc>
        <w:tc>
          <w:tcPr>
            <w:tcW w:w="171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8C79516"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2</w:t>
            </w:r>
          </w:p>
        </w:tc>
      </w:tr>
      <w:tr w:rsidR="009338AE" w:rsidRPr="005516CD" w14:paraId="5C613CE9" w14:textId="77777777" w:rsidTr="009338AE">
        <w:trPr>
          <w:trHeight w:val="228"/>
        </w:trPr>
        <w:tc>
          <w:tcPr>
            <w:tcW w:w="6896"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BEB0BD" w14:textId="77777777" w:rsidR="009338AE" w:rsidRPr="005516CD" w:rsidRDefault="009338AE" w:rsidP="009338AE">
            <w:pPr>
              <w:pStyle w:val="Heading7"/>
              <w:keepNext/>
              <w:spacing w:before="0" w:after="0"/>
              <w:ind w:left="0"/>
              <w:rPr>
                <w:rFonts w:asciiTheme="majorHAnsi" w:hAnsiTheme="majorHAnsi" w:cstheme="majorHAnsi"/>
                <w:szCs w:val="20"/>
              </w:rPr>
            </w:pPr>
            <w:r w:rsidRPr="005516CD">
              <w:rPr>
                <w:rFonts w:asciiTheme="majorHAnsi" w:hAnsiTheme="majorHAnsi" w:cstheme="majorHAnsi"/>
                <w:szCs w:val="20"/>
              </w:rPr>
              <w:t>Output 3.3 Monitoring and evaluation strategy</w:t>
            </w:r>
          </w:p>
        </w:tc>
        <w:tc>
          <w:tcPr>
            <w:tcW w:w="1711"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478F37EC" w14:textId="77777777" w:rsidR="009338AE" w:rsidRPr="005516CD" w:rsidRDefault="009338AE">
            <w:pPr>
              <w:jc w:val="center"/>
              <w:rPr>
                <w:rFonts w:asciiTheme="majorHAnsi" w:hAnsiTheme="majorHAnsi" w:cstheme="majorHAnsi"/>
                <w:sz w:val="20"/>
                <w:szCs w:val="20"/>
              </w:rPr>
            </w:pPr>
            <w:r w:rsidRPr="005516CD">
              <w:rPr>
                <w:rFonts w:asciiTheme="majorHAnsi" w:hAnsiTheme="majorHAnsi" w:cstheme="majorHAnsi"/>
                <w:sz w:val="20"/>
                <w:szCs w:val="20"/>
              </w:rPr>
              <w:t>2</w:t>
            </w:r>
          </w:p>
        </w:tc>
      </w:tr>
    </w:tbl>
    <w:p w14:paraId="196AB13B" w14:textId="77777777" w:rsidR="009061FA" w:rsidRPr="005516CD" w:rsidRDefault="009061FA" w:rsidP="007B146B">
      <w:pPr>
        <w:rPr>
          <w:rFonts w:asciiTheme="majorHAnsi" w:hAnsiTheme="majorHAnsi" w:cstheme="majorHAnsi"/>
          <w:sz w:val="20"/>
          <w:szCs w:val="20"/>
        </w:rPr>
      </w:pPr>
    </w:p>
    <w:p w14:paraId="2D1DDE34" w14:textId="77777777" w:rsidR="00191AA4" w:rsidRPr="005516CD" w:rsidRDefault="00191AA4" w:rsidP="007B146B">
      <w:pPr>
        <w:rPr>
          <w:rFonts w:asciiTheme="majorHAnsi" w:hAnsiTheme="majorHAnsi" w:cstheme="majorHAnsi"/>
          <w:sz w:val="20"/>
          <w:szCs w:val="20"/>
        </w:rPr>
      </w:pPr>
      <w:r w:rsidRPr="005516CD">
        <w:rPr>
          <w:rFonts w:asciiTheme="majorHAnsi" w:hAnsiTheme="majorHAnsi" w:cstheme="majorHAnsi"/>
          <w:sz w:val="20"/>
          <w:szCs w:val="20"/>
        </w:rPr>
        <w:t>Rating.</w:t>
      </w:r>
    </w:p>
    <w:p w14:paraId="6DE24C73" w14:textId="77777777" w:rsidR="00191AA4" w:rsidRPr="005516CD" w:rsidRDefault="00191AA4" w:rsidP="007B146B">
      <w:pPr>
        <w:ind w:left="567" w:hanging="567"/>
        <w:rPr>
          <w:rFonts w:asciiTheme="majorHAnsi" w:hAnsiTheme="majorHAnsi" w:cstheme="majorHAnsi"/>
          <w:sz w:val="20"/>
          <w:szCs w:val="20"/>
        </w:rPr>
      </w:pPr>
      <w:r w:rsidRPr="005516CD">
        <w:rPr>
          <w:rFonts w:asciiTheme="majorHAnsi" w:hAnsiTheme="majorHAnsi" w:cstheme="majorHAnsi"/>
          <w:sz w:val="20"/>
          <w:szCs w:val="20"/>
        </w:rPr>
        <w:t xml:space="preserve">3. </w:t>
      </w:r>
      <w:r w:rsidRPr="005516CD">
        <w:rPr>
          <w:rFonts w:asciiTheme="majorHAnsi" w:hAnsiTheme="majorHAnsi" w:cstheme="majorHAnsi"/>
          <w:sz w:val="20"/>
          <w:szCs w:val="20"/>
        </w:rPr>
        <w:tab/>
        <w:t>Outputs that have gender equality as a principal objective.</w:t>
      </w:r>
    </w:p>
    <w:p w14:paraId="1D9BD6A2" w14:textId="77777777" w:rsidR="00191AA4" w:rsidRPr="005516CD" w:rsidRDefault="00191AA4" w:rsidP="007B146B">
      <w:pPr>
        <w:ind w:left="567" w:hanging="567"/>
        <w:rPr>
          <w:rFonts w:asciiTheme="majorHAnsi" w:hAnsiTheme="majorHAnsi" w:cstheme="majorHAnsi"/>
          <w:sz w:val="20"/>
          <w:szCs w:val="20"/>
        </w:rPr>
      </w:pPr>
      <w:r w:rsidRPr="005516CD">
        <w:rPr>
          <w:rFonts w:asciiTheme="majorHAnsi" w:hAnsiTheme="majorHAnsi" w:cstheme="majorHAnsi"/>
          <w:sz w:val="20"/>
          <w:szCs w:val="20"/>
        </w:rPr>
        <w:t xml:space="preserve">2. </w:t>
      </w:r>
      <w:r w:rsidRPr="005516CD">
        <w:rPr>
          <w:rFonts w:asciiTheme="majorHAnsi" w:hAnsiTheme="majorHAnsi" w:cstheme="majorHAnsi"/>
          <w:sz w:val="20"/>
          <w:szCs w:val="20"/>
        </w:rPr>
        <w:tab/>
        <w:t>Outputs that have gender equality as a significant objective</w:t>
      </w:r>
    </w:p>
    <w:p w14:paraId="7E85CC41" w14:textId="77777777" w:rsidR="00191AA4" w:rsidRPr="005516CD" w:rsidRDefault="00191AA4" w:rsidP="007B146B">
      <w:pPr>
        <w:ind w:left="567" w:hanging="567"/>
        <w:rPr>
          <w:rFonts w:asciiTheme="majorHAnsi" w:hAnsiTheme="majorHAnsi" w:cstheme="majorHAnsi"/>
          <w:sz w:val="20"/>
          <w:szCs w:val="20"/>
        </w:rPr>
      </w:pPr>
      <w:r w:rsidRPr="005516CD">
        <w:rPr>
          <w:rFonts w:asciiTheme="majorHAnsi" w:hAnsiTheme="majorHAnsi" w:cstheme="majorHAnsi"/>
          <w:sz w:val="20"/>
          <w:szCs w:val="20"/>
        </w:rPr>
        <w:t xml:space="preserve">1. </w:t>
      </w:r>
      <w:r w:rsidRPr="005516CD">
        <w:rPr>
          <w:rFonts w:asciiTheme="majorHAnsi" w:hAnsiTheme="majorHAnsi" w:cstheme="majorHAnsi"/>
          <w:sz w:val="20"/>
          <w:szCs w:val="20"/>
        </w:rPr>
        <w:tab/>
        <w:t>Outputs that will contribute in some way to gender equality, but not significantly</w:t>
      </w:r>
    </w:p>
    <w:p w14:paraId="6DF9DDC9" w14:textId="77777777" w:rsidR="00191AA4" w:rsidRPr="005516CD" w:rsidRDefault="00191AA4" w:rsidP="007B146B">
      <w:pPr>
        <w:ind w:left="567" w:hanging="567"/>
        <w:rPr>
          <w:rFonts w:asciiTheme="majorHAnsi" w:hAnsiTheme="majorHAnsi" w:cstheme="majorHAnsi"/>
          <w:sz w:val="20"/>
          <w:szCs w:val="20"/>
        </w:rPr>
      </w:pPr>
      <w:r w:rsidRPr="005516CD">
        <w:rPr>
          <w:rFonts w:asciiTheme="majorHAnsi" w:hAnsiTheme="majorHAnsi" w:cstheme="majorHAnsi"/>
          <w:sz w:val="20"/>
          <w:szCs w:val="20"/>
        </w:rPr>
        <w:t xml:space="preserve">0. </w:t>
      </w:r>
      <w:r w:rsidRPr="005516CD">
        <w:rPr>
          <w:rFonts w:asciiTheme="majorHAnsi" w:hAnsiTheme="majorHAnsi" w:cstheme="majorHAnsi"/>
          <w:sz w:val="20"/>
          <w:szCs w:val="20"/>
        </w:rPr>
        <w:tab/>
        <w:t>Outputs that are not expected to contribute noticeably to gender equality</w:t>
      </w:r>
    </w:p>
    <w:p w14:paraId="25BE51BF" w14:textId="77777777" w:rsidR="00191AA4" w:rsidRPr="005516CD" w:rsidRDefault="00191AA4" w:rsidP="007B146B">
      <w:pPr>
        <w:rPr>
          <w:rStyle w:val="None"/>
          <w:rFonts w:ascii="Calibri" w:eastAsia="Calibri" w:hAnsi="Calibri" w:cs="Calibri"/>
          <w:b/>
          <w:bCs/>
          <w:color w:val="000000"/>
          <w:sz w:val="20"/>
          <w:szCs w:val="20"/>
          <w:u w:color="000000"/>
        </w:rPr>
      </w:pPr>
    </w:p>
    <w:p w14:paraId="1152CB41" w14:textId="77777777" w:rsidR="00191AA4" w:rsidRPr="005516CD" w:rsidRDefault="00191AA4" w:rsidP="007B146B">
      <w:pPr>
        <w:rPr>
          <w:rStyle w:val="None"/>
          <w:rFonts w:ascii="Calibri" w:eastAsia="Calibri" w:hAnsi="Calibri" w:cs="Calibri"/>
          <w:b/>
          <w:bCs/>
          <w:color w:val="000000"/>
          <w:sz w:val="20"/>
          <w:szCs w:val="20"/>
          <w:u w:color="000000"/>
        </w:rPr>
      </w:pPr>
    </w:p>
    <w:p w14:paraId="304C3F4D" w14:textId="77777777" w:rsidR="00191AA4" w:rsidRPr="005516CD" w:rsidRDefault="00191AA4" w:rsidP="007B146B">
      <w:pPr>
        <w:rPr>
          <w:rFonts w:ascii="Calibri" w:eastAsia="Calibri" w:hAnsi="Calibri" w:cs="Calibri"/>
          <w:b/>
          <w:bCs/>
          <w:color w:val="000000"/>
          <w:sz w:val="20"/>
          <w:szCs w:val="20"/>
          <w:u w:color="000000"/>
        </w:rPr>
      </w:pPr>
    </w:p>
    <w:p w14:paraId="782539C5" w14:textId="77777777" w:rsidR="00191AA4" w:rsidRPr="005516CD" w:rsidRDefault="00191AA4" w:rsidP="007B146B">
      <w:pPr>
        <w:pStyle w:val="Body"/>
        <w:spacing w:after="0"/>
        <w:ind w:left="85" w:hanging="85"/>
        <w:jc w:val="left"/>
        <w:rPr>
          <w:rFonts w:cs="Arial"/>
          <w:iCs/>
          <w:szCs w:val="22"/>
        </w:rPr>
      </w:pPr>
    </w:p>
    <w:p w14:paraId="472641BD" w14:textId="77777777" w:rsidR="00191AA4" w:rsidRPr="005516CD" w:rsidRDefault="00191AA4" w:rsidP="007B146B">
      <w:pPr>
        <w:rPr>
          <w:rStyle w:val="None"/>
          <w:rFonts w:ascii="Calibri" w:eastAsia="Calibri" w:hAnsi="Calibri" w:cs="Calibri"/>
          <w:i/>
          <w:iCs/>
          <w:color w:val="000000"/>
          <w:sz w:val="20"/>
          <w:szCs w:val="20"/>
          <w:u w:val="single" w:color="000000"/>
        </w:rPr>
      </w:pPr>
      <w:r w:rsidRPr="005516CD">
        <w:rPr>
          <w:rStyle w:val="None"/>
          <w:i/>
          <w:iCs/>
          <w:u w:val="single"/>
        </w:rPr>
        <w:br w:type="page"/>
      </w:r>
    </w:p>
    <w:p w14:paraId="21B4BD37" w14:textId="77777777" w:rsidR="00EB7D4F" w:rsidRPr="005516CD" w:rsidRDefault="00E53404">
      <w:pPr>
        <w:pStyle w:val="Heading2"/>
        <w:numPr>
          <w:ilvl w:val="0"/>
          <w:numId w:val="33"/>
        </w:numPr>
        <w:spacing w:after="0"/>
        <w:ind w:left="284" w:hanging="284"/>
        <w:rPr>
          <w:rStyle w:val="None"/>
          <w:rFonts w:ascii="Calibri" w:eastAsia="Calibri" w:hAnsi="Calibri"/>
        </w:rPr>
      </w:pPr>
      <w:bookmarkStart w:id="140" w:name="_Toc8933116"/>
      <w:r w:rsidRPr="005516CD">
        <w:rPr>
          <w:rStyle w:val="None"/>
          <w:rFonts w:ascii="Calibri" w:eastAsia="Calibri" w:hAnsi="Calibri"/>
        </w:rPr>
        <w:t>STANDARD LETTER OF AGREEMENT BETWEEN UNDP AND THE GOVERNMENT FOR THE PROVISION OF SUPPORT SERVICES</w:t>
      </w:r>
      <w:bookmarkEnd w:id="140"/>
    </w:p>
    <w:p w14:paraId="2DCB9A62" w14:textId="77777777" w:rsidR="00E53404" w:rsidRPr="005516CD" w:rsidRDefault="00EB7D4F" w:rsidP="00D914EE">
      <w:pPr>
        <w:numPr>
          <w:ilvl w:val="12"/>
          <w:numId w:val="0"/>
        </w:numPr>
        <w:tabs>
          <w:tab w:val="left" w:pos="0"/>
        </w:tabs>
        <w:suppressAutoHyphens/>
        <w:jc w:val="both"/>
        <w:rPr>
          <w:rFonts w:asciiTheme="majorHAnsi" w:hAnsiTheme="majorHAnsi" w:cstheme="majorHAnsi"/>
          <w:spacing w:val="-2"/>
          <w:sz w:val="22"/>
          <w:szCs w:val="22"/>
        </w:rPr>
      </w:pPr>
      <w:r w:rsidRPr="005516CD">
        <w:rPr>
          <w:rFonts w:asciiTheme="majorHAnsi" w:hAnsiTheme="majorHAnsi" w:cstheme="majorHAnsi"/>
          <w:spacing w:val="-2"/>
          <w:sz w:val="22"/>
          <w:szCs w:val="22"/>
        </w:rPr>
        <w:t xml:space="preserve"> (to be signed before the start of project implementation)</w:t>
      </w:r>
    </w:p>
    <w:p w14:paraId="76EE6C4D" w14:textId="77777777" w:rsidR="00E53404" w:rsidRPr="005516CD" w:rsidRDefault="00E53404" w:rsidP="00E53404">
      <w:pPr>
        <w:tabs>
          <w:tab w:val="left" w:pos="0"/>
          <w:tab w:val="left" w:pos="282"/>
          <w:tab w:val="left" w:pos="1440"/>
          <w:tab w:val="left" w:pos="2880"/>
        </w:tabs>
        <w:suppressAutoHyphens/>
        <w:jc w:val="both"/>
      </w:pPr>
    </w:p>
    <w:p w14:paraId="33BDC9D9" w14:textId="77777777" w:rsidR="007021A4" w:rsidRPr="005516CD" w:rsidRDefault="007021A4" w:rsidP="007021A4">
      <w:pPr>
        <w:pStyle w:val="BodyText2"/>
        <w:numPr>
          <w:ilvl w:val="12"/>
          <w:numId w:val="0"/>
        </w:numPr>
        <w:spacing w:after="0"/>
        <w:jc w:val="center"/>
        <w:rPr>
          <w:rFonts w:asciiTheme="minorHAnsi" w:hAnsiTheme="minorHAnsi" w:cstheme="minorHAnsi"/>
          <w:szCs w:val="20"/>
        </w:rPr>
      </w:pPr>
      <w:r w:rsidRPr="005516CD">
        <w:rPr>
          <w:rFonts w:asciiTheme="minorHAnsi" w:hAnsiTheme="minorHAnsi" w:cstheme="minorHAnsi"/>
          <w:b/>
          <w:szCs w:val="20"/>
        </w:rPr>
        <w:t>STANDARD LETTER OF AGREEMENT BETWEEN UNDP AND THE GOVERNMENT OF HAITI FOR THE PROVISION OF SUPPORT SERVICES</w:t>
      </w:r>
    </w:p>
    <w:p w14:paraId="12F557B0"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b/>
          <w:spacing w:val="-2"/>
          <w:sz w:val="20"/>
          <w:szCs w:val="20"/>
          <w:lang w:val="en-US"/>
        </w:rPr>
      </w:pPr>
    </w:p>
    <w:p w14:paraId="6931A3D9"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rPr>
      </w:pPr>
      <w:bookmarkStart w:id="141" w:name="_Hlk2939746"/>
      <w:bookmarkStart w:id="142" w:name="_Hlk2938928"/>
      <w:r w:rsidRPr="005516CD">
        <w:rPr>
          <w:rFonts w:asciiTheme="minorHAnsi" w:hAnsiTheme="minorHAnsi" w:cstheme="minorHAnsi"/>
          <w:spacing w:val="-2"/>
          <w:sz w:val="20"/>
          <w:szCs w:val="20"/>
        </w:rPr>
        <w:t xml:space="preserve">Dear </w:t>
      </w:r>
      <w:r w:rsidRPr="005516CD">
        <w:rPr>
          <w:rFonts w:asciiTheme="minorHAnsi" w:hAnsiTheme="minorHAnsi" w:cstheme="minorHAnsi"/>
          <w:i/>
          <w:spacing w:val="-2"/>
          <w:sz w:val="20"/>
          <w:szCs w:val="20"/>
        </w:rPr>
        <w:t xml:space="preserve">Mr. Jean Claudy Pierre </w:t>
      </w:r>
      <w:r w:rsidRPr="005516CD">
        <w:rPr>
          <w:rFonts w:asciiTheme="minorHAnsi" w:hAnsiTheme="minorHAnsi" w:cstheme="minorHAnsi"/>
          <w:spacing w:val="-2"/>
          <w:sz w:val="20"/>
          <w:szCs w:val="20"/>
        </w:rPr>
        <w:t xml:space="preserve"> </w:t>
      </w:r>
    </w:p>
    <w:p w14:paraId="30679C6A"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rPr>
      </w:pPr>
    </w:p>
    <w:p w14:paraId="11E86D85"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1.</w:t>
      </w:r>
      <w:r w:rsidRPr="005516CD">
        <w:rPr>
          <w:rFonts w:asciiTheme="minorHAnsi" w:hAnsiTheme="minorHAnsi" w:cstheme="minorHAnsi"/>
          <w:spacing w:val="-2"/>
          <w:sz w:val="20"/>
          <w:szCs w:val="20"/>
          <w:lang w:val="en-US"/>
        </w:rPr>
        <w:tab/>
        <w:t>Reference is made to consultations between officials of the Government of</w:t>
      </w:r>
      <w:r w:rsidRPr="005516CD">
        <w:rPr>
          <w:rFonts w:asciiTheme="minorHAnsi" w:hAnsiTheme="minorHAnsi" w:cstheme="minorHAnsi"/>
          <w:i/>
          <w:spacing w:val="-2"/>
          <w:sz w:val="20"/>
          <w:szCs w:val="20"/>
          <w:lang w:val="en-US"/>
        </w:rPr>
        <w:t xml:space="preserve"> Haiti</w:t>
      </w:r>
      <w:r w:rsidRPr="005516CD">
        <w:rPr>
          <w:rFonts w:asciiTheme="minorHAnsi" w:hAnsiTheme="minorHAnsi" w:cstheme="minorHAnsi"/>
          <w:spacing w:val="-2"/>
          <w:sz w:val="20"/>
          <w:szCs w:val="20"/>
          <w:lang w:val="en-US"/>
        </w:rPr>
        <w:t xml:space="preserve"> (hereinafter referred to as “the Government”) and officials of UNDP with respect to the provision of support services by the UNDP country office for nationally managed </w:t>
      </w:r>
      <w:proofErr w:type="spellStart"/>
      <w:r w:rsidRPr="005516CD">
        <w:rPr>
          <w:rFonts w:asciiTheme="minorHAnsi" w:hAnsiTheme="minorHAnsi" w:cstheme="minorHAnsi"/>
          <w:spacing w:val="-2"/>
          <w:sz w:val="20"/>
          <w:szCs w:val="20"/>
          <w:lang w:val="en-US"/>
        </w:rPr>
        <w:t>programmes</w:t>
      </w:r>
      <w:proofErr w:type="spellEnd"/>
      <w:r w:rsidRPr="005516CD">
        <w:rPr>
          <w:rFonts w:asciiTheme="minorHAnsi" w:hAnsiTheme="minorHAnsi" w:cstheme="minorHAnsi"/>
          <w:spacing w:val="-2"/>
          <w:sz w:val="20"/>
          <w:szCs w:val="20"/>
          <w:lang w:val="en-US"/>
        </w:rPr>
        <w:t xml:space="preserve"> and projects.  UNDP and the Government hereby agree that the UNDP country office may provide such support services at the request of the Government through its institution designated in the relevant </w:t>
      </w:r>
      <w:proofErr w:type="spellStart"/>
      <w:r w:rsidRPr="005516CD">
        <w:rPr>
          <w:rFonts w:asciiTheme="minorHAnsi" w:hAnsiTheme="minorHAnsi" w:cstheme="minorHAnsi"/>
          <w:spacing w:val="-2"/>
          <w:sz w:val="20"/>
          <w:szCs w:val="20"/>
          <w:lang w:val="en-US"/>
        </w:rPr>
        <w:t>programme</w:t>
      </w:r>
      <w:proofErr w:type="spellEnd"/>
      <w:r w:rsidRPr="005516CD">
        <w:rPr>
          <w:rFonts w:asciiTheme="minorHAnsi" w:hAnsiTheme="minorHAnsi" w:cstheme="minorHAnsi"/>
          <w:spacing w:val="-2"/>
          <w:sz w:val="20"/>
          <w:szCs w:val="20"/>
          <w:lang w:val="en-US"/>
        </w:rPr>
        <w:t xml:space="preserve"> support document or project document, as described below.</w:t>
      </w:r>
    </w:p>
    <w:p w14:paraId="1CBE4715"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4AB9BA35"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2.</w:t>
      </w:r>
      <w:r w:rsidRPr="005516CD">
        <w:rPr>
          <w:rFonts w:asciiTheme="minorHAnsi" w:hAnsiTheme="minorHAnsi" w:cstheme="minorHAnsi"/>
          <w:spacing w:val="-2"/>
          <w:sz w:val="20"/>
          <w:szCs w:val="20"/>
          <w:lang w:val="en-US"/>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14:paraId="52296B54"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1A075AD2"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3.</w:t>
      </w:r>
      <w:r w:rsidRPr="005516CD">
        <w:rPr>
          <w:rFonts w:asciiTheme="minorHAnsi" w:hAnsiTheme="minorHAnsi" w:cstheme="minorHAnsi"/>
          <w:spacing w:val="-2"/>
          <w:sz w:val="20"/>
          <w:szCs w:val="20"/>
          <w:lang w:val="en-US"/>
        </w:rPr>
        <w:tab/>
        <w:t xml:space="preserve">The UNDP country office may provide, at the request of the designated institution, the following support services for the activities of the </w:t>
      </w:r>
      <w:proofErr w:type="spellStart"/>
      <w:r w:rsidRPr="005516CD">
        <w:rPr>
          <w:rFonts w:asciiTheme="minorHAnsi" w:hAnsiTheme="minorHAnsi" w:cstheme="minorHAnsi"/>
          <w:spacing w:val="-2"/>
          <w:sz w:val="20"/>
          <w:szCs w:val="20"/>
          <w:lang w:val="en-US"/>
        </w:rPr>
        <w:t>programme</w:t>
      </w:r>
      <w:proofErr w:type="spellEnd"/>
      <w:r w:rsidRPr="005516CD">
        <w:rPr>
          <w:rFonts w:asciiTheme="minorHAnsi" w:hAnsiTheme="minorHAnsi" w:cstheme="minorHAnsi"/>
          <w:spacing w:val="-2"/>
          <w:sz w:val="20"/>
          <w:szCs w:val="20"/>
          <w:lang w:val="en-US"/>
        </w:rPr>
        <w:t>/project:</w:t>
      </w:r>
    </w:p>
    <w:p w14:paraId="2733F3F2"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(a)</w:t>
      </w:r>
      <w:r w:rsidRPr="005516CD">
        <w:rPr>
          <w:rFonts w:asciiTheme="minorHAnsi" w:hAnsiTheme="minorHAnsi" w:cstheme="minorHAnsi"/>
          <w:spacing w:val="-2"/>
          <w:sz w:val="20"/>
          <w:szCs w:val="20"/>
          <w:lang w:val="en-US"/>
        </w:rPr>
        <w:tab/>
        <w:t>Identification and/or</w:t>
      </w:r>
      <w:r w:rsidRPr="005516CD">
        <w:rPr>
          <w:rFonts w:asciiTheme="minorHAnsi" w:hAnsiTheme="minorHAnsi" w:cstheme="minorHAnsi"/>
          <w:b/>
          <w:spacing w:val="-2"/>
          <w:sz w:val="20"/>
          <w:szCs w:val="20"/>
          <w:lang w:val="en-US"/>
        </w:rPr>
        <w:t xml:space="preserve"> </w:t>
      </w:r>
      <w:r w:rsidRPr="005516CD">
        <w:rPr>
          <w:rFonts w:asciiTheme="minorHAnsi" w:hAnsiTheme="minorHAnsi" w:cstheme="minorHAnsi"/>
          <w:spacing w:val="-2"/>
          <w:sz w:val="20"/>
          <w:szCs w:val="20"/>
          <w:lang w:val="en-US"/>
        </w:rPr>
        <w:t xml:space="preserve">recruitment of project and </w:t>
      </w:r>
      <w:proofErr w:type="spellStart"/>
      <w:r w:rsidRPr="005516CD">
        <w:rPr>
          <w:rFonts w:asciiTheme="minorHAnsi" w:hAnsiTheme="minorHAnsi" w:cstheme="minorHAnsi"/>
          <w:spacing w:val="-2"/>
          <w:sz w:val="20"/>
          <w:szCs w:val="20"/>
          <w:lang w:val="en-US"/>
        </w:rPr>
        <w:t>programme</w:t>
      </w:r>
      <w:proofErr w:type="spellEnd"/>
      <w:r w:rsidRPr="005516CD">
        <w:rPr>
          <w:rFonts w:asciiTheme="minorHAnsi" w:hAnsiTheme="minorHAnsi" w:cstheme="minorHAnsi"/>
          <w:spacing w:val="-2"/>
          <w:sz w:val="20"/>
          <w:szCs w:val="20"/>
          <w:lang w:val="en-US"/>
        </w:rPr>
        <w:t xml:space="preserve"> personnel;</w:t>
      </w:r>
    </w:p>
    <w:p w14:paraId="0F225399"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(b)</w:t>
      </w:r>
      <w:r w:rsidRPr="005516CD">
        <w:rPr>
          <w:rFonts w:asciiTheme="minorHAnsi" w:hAnsiTheme="minorHAnsi" w:cstheme="minorHAnsi"/>
          <w:spacing w:val="-2"/>
          <w:sz w:val="20"/>
          <w:szCs w:val="20"/>
          <w:lang w:val="en-US"/>
        </w:rPr>
        <w:tab/>
        <w:t>Identification and facilitation of training activities;</w:t>
      </w:r>
    </w:p>
    <w:p w14:paraId="32EDCF67"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w:t>
      </w:r>
      <w:proofErr w:type="gramStart"/>
      <w:r w:rsidRPr="005516CD">
        <w:rPr>
          <w:rFonts w:asciiTheme="minorHAnsi" w:hAnsiTheme="minorHAnsi" w:cstheme="minorHAnsi"/>
          <w:spacing w:val="-2"/>
          <w:sz w:val="20"/>
          <w:szCs w:val="20"/>
          <w:lang w:val="ru-RU"/>
        </w:rPr>
        <w:t>с</w:t>
      </w:r>
      <w:r w:rsidRPr="005516CD">
        <w:rPr>
          <w:rFonts w:asciiTheme="minorHAnsi" w:hAnsiTheme="minorHAnsi" w:cstheme="minorHAnsi"/>
          <w:spacing w:val="-2"/>
          <w:sz w:val="20"/>
          <w:szCs w:val="20"/>
          <w:lang w:val="en-US"/>
        </w:rPr>
        <w:t xml:space="preserve">)   </w:t>
      </w:r>
      <w:proofErr w:type="gramEnd"/>
      <w:r w:rsidRPr="005516CD">
        <w:rPr>
          <w:rFonts w:asciiTheme="minorHAnsi" w:hAnsiTheme="minorHAnsi" w:cstheme="minorHAnsi"/>
          <w:spacing w:val="-2"/>
          <w:sz w:val="20"/>
          <w:szCs w:val="20"/>
          <w:lang w:val="en-US"/>
        </w:rPr>
        <w:t xml:space="preserve">     Procurement of goods and services.</w:t>
      </w:r>
    </w:p>
    <w:p w14:paraId="683A6C72"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245F3CF0"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4.</w:t>
      </w:r>
      <w:r w:rsidRPr="005516CD">
        <w:rPr>
          <w:rFonts w:asciiTheme="minorHAnsi" w:hAnsiTheme="minorHAnsi" w:cstheme="minorHAnsi"/>
          <w:spacing w:val="-2"/>
          <w:sz w:val="20"/>
          <w:szCs w:val="20"/>
          <w:lang w:val="en-US"/>
        </w:rPr>
        <w:tab/>
        <w:t xml:space="preserve">The procurement of goods and services and the recruitment of project and </w:t>
      </w:r>
      <w:proofErr w:type="spellStart"/>
      <w:r w:rsidRPr="005516CD">
        <w:rPr>
          <w:rFonts w:asciiTheme="minorHAnsi" w:hAnsiTheme="minorHAnsi" w:cstheme="minorHAnsi"/>
          <w:spacing w:val="-2"/>
          <w:sz w:val="20"/>
          <w:szCs w:val="20"/>
          <w:lang w:val="en-US"/>
        </w:rPr>
        <w:t>programme</w:t>
      </w:r>
      <w:proofErr w:type="spellEnd"/>
      <w:r w:rsidRPr="005516CD">
        <w:rPr>
          <w:rFonts w:asciiTheme="minorHAnsi" w:hAnsiTheme="minorHAnsi" w:cstheme="minorHAnsi"/>
          <w:spacing w:val="-2"/>
          <w:sz w:val="20"/>
          <w:szCs w:val="20"/>
          <w:lang w:val="en-US"/>
        </w:rPr>
        <w:t xml:space="preserve"> personnel by the UNDP country office shall be in accordance with the UNDP regulations, rules, policies and procedures.  Support services described in paragraph 3 above shall be detailed in an annex to the </w:t>
      </w:r>
      <w:proofErr w:type="spellStart"/>
      <w:r w:rsidRPr="005516CD">
        <w:rPr>
          <w:rFonts w:asciiTheme="minorHAnsi" w:hAnsiTheme="minorHAnsi" w:cstheme="minorHAnsi"/>
          <w:spacing w:val="-2"/>
          <w:sz w:val="20"/>
          <w:szCs w:val="20"/>
          <w:lang w:val="en-US"/>
        </w:rPr>
        <w:t>programme</w:t>
      </w:r>
      <w:proofErr w:type="spellEnd"/>
      <w:r w:rsidRPr="005516CD">
        <w:rPr>
          <w:rFonts w:asciiTheme="minorHAnsi" w:hAnsiTheme="minorHAnsi" w:cstheme="minorHAnsi"/>
          <w:spacing w:val="-2"/>
          <w:sz w:val="20"/>
          <w:szCs w:val="20"/>
          <w:lang w:val="en-US"/>
        </w:rPr>
        <w:t xml:space="preserve"> support document or project document, in the form provided in the Attachment hereto.  If the requirements for support services by the country office change during the life of a </w:t>
      </w:r>
      <w:proofErr w:type="spellStart"/>
      <w:r w:rsidRPr="005516CD">
        <w:rPr>
          <w:rFonts w:asciiTheme="minorHAnsi" w:hAnsiTheme="minorHAnsi" w:cstheme="minorHAnsi"/>
          <w:spacing w:val="-2"/>
          <w:sz w:val="20"/>
          <w:szCs w:val="20"/>
          <w:lang w:val="en-US"/>
        </w:rPr>
        <w:t>programme</w:t>
      </w:r>
      <w:proofErr w:type="spellEnd"/>
      <w:r w:rsidRPr="005516CD">
        <w:rPr>
          <w:rFonts w:asciiTheme="minorHAnsi" w:hAnsiTheme="minorHAnsi" w:cstheme="minorHAnsi"/>
          <w:spacing w:val="-2"/>
          <w:sz w:val="20"/>
          <w:szCs w:val="20"/>
          <w:lang w:val="en-US"/>
        </w:rPr>
        <w:t xml:space="preserve"> or project, the annex to the </w:t>
      </w:r>
      <w:proofErr w:type="spellStart"/>
      <w:r w:rsidRPr="005516CD">
        <w:rPr>
          <w:rFonts w:asciiTheme="minorHAnsi" w:hAnsiTheme="minorHAnsi" w:cstheme="minorHAnsi"/>
          <w:spacing w:val="-2"/>
          <w:sz w:val="20"/>
          <w:szCs w:val="20"/>
          <w:lang w:val="en-US"/>
        </w:rPr>
        <w:t>programme</w:t>
      </w:r>
      <w:proofErr w:type="spellEnd"/>
      <w:r w:rsidRPr="005516CD">
        <w:rPr>
          <w:rFonts w:asciiTheme="minorHAnsi" w:hAnsiTheme="minorHAnsi" w:cstheme="minorHAnsi"/>
          <w:spacing w:val="-2"/>
          <w:sz w:val="20"/>
          <w:szCs w:val="20"/>
          <w:lang w:val="en-US"/>
        </w:rPr>
        <w:t xml:space="preserve"> support document or project document is revised with the mutual agreement of the UNDP resident representative and the designated institution.  </w:t>
      </w:r>
    </w:p>
    <w:p w14:paraId="74B18FC3"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5AE51E1B"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5.</w:t>
      </w:r>
      <w:r w:rsidRPr="005516CD">
        <w:rPr>
          <w:rFonts w:asciiTheme="minorHAnsi" w:hAnsiTheme="minorHAnsi" w:cstheme="minorHAnsi"/>
          <w:spacing w:val="-2"/>
          <w:sz w:val="20"/>
          <w:szCs w:val="20"/>
          <w:lang w:val="en-US"/>
        </w:rPr>
        <w:tab/>
        <w:t xml:space="preserve">The relevant provisions </w:t>
      </w:r>
      <w:r w:rsidRPr="005516CD">
        <w:rPr>
          <w:rFonts w:asciiTheme="minorHAnsi" w:hAnsiTheme="minorHAnsi" w:cstheme="minorHAnsi"/>
          <w:i/>
          <w:spacing w:val="-2"/>
          <w:sz w:val="20"/>
          <w:szCs w:val="20"/>
          <w:lang w:val="en-US"/>
        </w:rPr>
        <w:t>of the UNDP standard basic assistance agreement with</w:t>
      </w:r>
      <w:r w:rsidRPr="005516CD">
        <w:rPr>
          <w:rFonts w:asciiTheme="minorHAnsi" w:hAnsiTheme="minorHAnsi" w:cstheme="minorHAnsi"/>
          <w:spacing w:val="-2"/>
          <w:sz w:val="20"/>
          <w:szCs w:val="20"/>
          <w:lang w:val="en-US"/>
        </w:rPr>
        <w:t xml:space="preserve"> </w:t>
      </w:r>
      <w:r w:rsidRPr="005516CD">
        <w:rPr>
          <w:rFonts w:asciiTheme="minorHAnsi" w:hAnsiTheme="minorHAnsi" w:cstheme="minorHAnsi"/>
          <w:i/>
          <w:spacing w:val="-2"/>
          <w:sz w:val="20"/>
          <w:szCs w:val="20"/>
          <w:lang w:val="en-US"/>
        </w:rPr>
        <w:t>the Government signed on June 28, 1973</w:t>
      </w:r>
      <w:r w:rsidRPr="005516CD">
        <w:rPr>
          <w:rFonts w:asciiTheme="minorHAnsi" w:hAnsiTheme="minorHAnsi" w:cstheme="minorHAnsi"/>
          <w:spacing w:val="-2"/>
          <w:sz w:val="20"/>
          <w:szCs w:val="20"/>
          <w:lang w:val="en-US"/>
        </w:rPr>
        <w:t xml:space="preserve"> (the “SBAA”), including the provisions on liability and privileges and immunities, shall apply to the provision of such support services. The Government shall retain overall responsibility for the nationally managed </w:t>
      </w:r>
      <w:proofErr w:type="spellStart"/>
      <w:r w:rsidRPr="005516CD">
        <w:rPr>
          <w:rFonts w:asciiTheme="minorHAnsi" w:hAnsiTheme="minorHAnsi" w:cstheme="minorHAnsi"/>
          <w:spacing w:val="-2"/>
          <w:sz w:val="20"/>
          <w:szCs w:val="20"/>
          <w:lang w:val="en-US"/>
        </w:rPr>
        <w:t>programme</w:t>
      </w:r>
      <w:proofErr w:type="spellEnd"/>
      <w:r w:rsidRPr="005516CD">
        <w:rPr>
          <w:rFonts w:asciiTheme="minorHAnsi" w:hAnsiTheme="minorHAnsi" w:cstheme="minorHAnsi"/>
          <w:spacing w:val="-2"/>
          <w:sz w:val="20"/>
          <w:szCs w:val="20"/>
          <w:lang w:val="en-US"/>
        </w:rPr>
        <w:t xml:space="preserve"> or project through its designated institution.  The responsibility of the UNDP country office for the provision of the support services described herein shall be limited to the provision of such support services detailed in the annex to the </w:t>
      </w:r>
      <w:proofErr w:type="spellStart"/>
      <w:r w:rsidRPr="005516CD">
        <w:rPr>
          <w:rFonts w:asciiTheme="minorHAnsi" w:hAnsiTheme="minorHAnsi" w:cstheme="minorHAnsi"/>
          <w:spacing w:val="-2"/>
          <w:sz w:val="20"/>
          <w:szCs w:val="20"/>
          <w:lang w:val="en-US"/>
        </w:rPr>
        <w:t>programme</w:t>
      </w:r>
      <w:proofErr w:type="spellEnd"/>
      <w:r w:rsidRPr="005516CD">
        <w:rPr>
          <w:rFonts w:asciiTheme="minorHAnsi" w:hAnsiTheme="minorHAnsi" w:cstheme="minorHAnsi"/>
          <w:spacing w:val="-2"/>
          <w:sz w:val="20"/>
          <w:szCs w:val="20"/>
          <w:lang w:val="en-US"/>
        </w:rPr>
        <w:t xml:space="preserve"> support document or project document.</w:t>
      </w:r>
    </w:p>
    <w:p w14:paraId="22C0CBCD"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595730B7"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6.</w:t>
      </w:r>
      <w:r w:rsidRPr="005516CD">
        <w:rPr>
          <w:rFonts w:asciiTheme="minorHAnsi" w:hAnsiTheme="minorHAnsi" w:cstheme="minorHAnsi"/>
          <w:spacing w:val="-2"/>
          <w:sz w:val="20"/>
          <w:szCs w:val="20"/>
          <w:lang w:val="en-US"/>
        </w:rPr>
        <w:tab/>
        <w:t>Any claim or dispute arising under or in connection with the provision of support services by the UNDP country office in accordance with this letter shall be handled pursuant to the relevant provisions of the SBAA.</w:t>
      </w:r>
    </w:p>
    <w:p w14:paraId="00F4D3FF"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4B75863F"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7.</w:t>
      </w:r>
      <w:r w:rsidRPr="005516CD">
        <w:rPr>
          <w:rFonts w:asciiTheme="minorHAnsi" w:hAnsiTheme="minorHAnsi" w:cstheme="minorHAnsi"/>
          <w:spacing w:val="-2"/>
          <w:sz w:val="20"/>
          <w:szCs w:val="20"/>
          <w:lang w:val="en-US"/>
        </w:rPr>
        <w:tab/>
        <w:t xml:space="preserve">The manner and method of cost-recovery by the UNDP country office in providing the support services described in paragraph 3 above shall be specified in the annex to the </w:t>
      </w:r>
      <w:proofErr w:type="spellStart"/>
      <w:r w:rsidRPr="005516CD">
        <w:rPr>
          <w:rFonts w:asciiTheme="minorHAnsi" w:hAnsiTheme="minorHAnsi" w:cstheme="minorHAnsi"/>
          <w:spacing w:val="-2"/>
          <w:sz w:val="20"/>
          <w:szCs w:val="20"/>
          <w:lang w:val="en-US"/>
        </w:rPr>
        <w:t>programme</w:t>
      </w:r>
      <w:proofErr w:type="spellEnd"/>
      <w:r w:rsidRPr="005516CD">
        <w:rPr>
          <w:rFonts w:asciiTheme="minorHAnsi" w:hAnsiTheme="minorHAnsi" w:cstheme="minorHAnsi"/>
          <w:spacing w:val="-2"/>
          <w:sz w:val="20"/>
          <w:szCs w:val="20"/>
          <w:lang w:val="en-US"/>
        </w:rPr>
        <w:t xml:space="preserve"> support document or project document.</w:t>
      </w:r>
    </w:p>
    <w:p w14:paraId="76AC09F5"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4106F6F6"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8.</w:t>
      </w:r>
      <w:r w:rsidRPr="005516CD">
        <w:rPr>
          <w:rFonts w:asciiTheme="minorHAnsi" w:hAnsiTheme="minorHAnsi" w:cstheme="minorHAnsi"/>
          <w:spacing w:val="-2"/>
          <w:sz w:val="20"/>
          <w:szCs w:val="20"/>
          <w:lang w:val="en-US"/>
        </w:rPr>
        <w:tab/>
        <w:t>The UNDP country office shall submit progress reports on the support services provided and shall report on the costs reimbursed in providing such services, as may be required.</w:t>
      </w:r>
    </w:p>
    <w:p w14:paraId="433D180E"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19D09F04"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9.</w:t>
      </w:r>
      <w:r w:rsidRPr="005516CD">
        <w:rPr>
          <w:rFonts w:asciiTheme="minorHAnsi" w:hAnsiTheme="minorHAnsi" w:cstheme="minorHAnsi"/>
          <w:spacing w:val="-2"/>
          <w:sz w:val="20"/>
          <w:szCs w:val="20"/>
          <w:lang w:val="en-US"/>
        </w:rPr>
        <w:tab/>
        <w:t xml:space="preserve">Any modification of the present arrangements shall be </w:t>
      </w:r>
      <w:proofErr w:type="gramStart"/>
      <w:r w:rsidRPr="005516CD">
        <w:rPr>
          <w:rFonts w:asciiTheme="minorHAnsi" w:hAnsiTheme="minorHAnsi" w:cstheme="minorHAnsi"/>
          <w:spacing w:val="-2"/>
          <w:sz w:val="20"/>
          <w:szCs w:val="20"/>
          <w:lang w:val="en-US"/>
        </w:rPr>
        <w:t>effected</w:t>
      </w:r>
      <w:proofErr w:type="gramEnd"/>
      <w:r w:rsidRPr="005516CD">
        <w:rPr>
          <w:rFonts w:asciiTheme="minorHAnsi" w:hAnsiTheme="minorHAnsi" w:cstheme="minorHAnsi"/>
          <w:spacing w:val="-2"/>
          <w:sz w:val="20"/>
          <w:szCs w:val="20"/>
          <w:lang w:val="en-US"/>
        </w:rPr>
        <w:t xml:space="preserve"> by mutual written agreement of the parties hereto.</w:t>
      </w:r>
    </w:p>
    <w:p w14:paraId="73710C54"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52F2F557"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10.</w:t>
      </w:r>
      <w:r w:rsidRPr="005516CD">
        <w:rPr>
          <w:rFonts w:asciiTheme="minorHAnsi" w:hAnsiTheme="minorHAnsi" w:cstheme="minorHAnsi"/>
          <w:spacing w:val="-2"/>
          <w:sz w:val="20"/>
          <w:szCs w:val="20"/>
          <w:lang w:val="en-US"/>
        </w:rPr>
        <w:tab/>
        <w:t xml:space="preserve">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w:t>
      </w:r>
      <w:proofErr w:type="spellStart"/>
      <w:r w:rsidRPr="005516CD">
        <w:rPr>
          <w:rFonts w:asciiTheme="minorHAnsi" w:hAnsiTheme="minorHAnsi" w:cstheme="minorHAnsi"/>
          <w:spacing w:val="-2"/>
          <w:sz w:val="20"/>
          <w:szCs w:val="20"/>
          <w:lang w:val="en-US"/>
        </w:rPr>
        <w:t>programmes</w:t>
      </w:r>
      <w:proofErr w:type="spellEnd"/>
      <w:r w:rsidRPr="005516CD">
        <w:rPr>
          <w:rFonts w:asciiTheme="minorHAnsi" w:hAnsiTheme="minorHAnsi" w:cstheme="minorHAnsi"/>
          <w:spacing w:val="-2"/>
          <w:sz w:val="20"/>
          <w:szCs w:val="20"/>
          <w:lang w:val="en-US"/>
        </w:rPr>
        <w:t xml:space="preserve"> and projects.</w:t>
      </w:r>
    </w:p>
    <w:p w14:paraId="4DBAEA23"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16B53143"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Yours sincerely,</w:t>
      </w:r>
    </w:p>
    <w:p w14:paraId="402F8413"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79EA913C"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36D29DD0"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48FD0782"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________________________</w:t>
      </w:r>
    </w:p>
    <w:p w14:paraId="2E15E2FD"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Signed on behalf of UNDP</w:t>
      </w:r>
    </w:p>
    <w:p w14:paraId="18B1D8CE"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i/>
          <w:spacing w:val="-2"/>
          <w:sz w:val="20"/>
          <w:szCs w:val="20"/>
          <w:lang w:val="en-US"/>
        </w:rPr>
      </w:pPr>
      <w:r w:rsidRPr="005516CD">
        <w:rPr>
          <w:rFonts w:asciiTheme="minorHAnsi" w:hAnsiTheme="minorHAnsi" w:cstheme="minorHAnsi"/>
          <w:i/>
          <w:spacing w:val="-2"/>
          <w:sz w:val="20"/>
          <w:szCs w:val="20"/>
          <w:lang w:val="en-US"/>
        </w:rPr>
        <w:t>Fernando Hiraldo</w:t>
      </w:r>
    </w:p>
    <w:p w14:paraId="79D728F4"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i/>
          <w:spacing w:val="-2"/>
          <w:sz w:val="20"/>
          <w:szCs w:val="20"/>
          <w:lang w:val="en-US"/>
        </w:rPr>
        <w:t>Resident Representative</w:t>
      </w:r>
    </w:p>
    <w:p w14:paraId="4E4B1BD7"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3277E30B"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_____________________</w:t>
      </w:r>
    </w:p>
    <w:p w14:paraId="3C4DF1F7"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For the Government</w:t>
      </w:r>
    </w:p>
    <w:p w14:paraId="154869D3"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rPr>
      </w:pPr>
      <w:r w:rsidRPr="005516CD">
        <w:rPr>
          <w:rFonts w:asciiTheme="minorHAnsi" w:hAnsiTheme="minorHAnsi" w:cstheme="minorHAnsi"/>
          <w:spacing w:val="-2"/>
          <w:sz w:val="20"/>
          <w:szCs w:val="20"/>
        </w:rPr>
        <w:t>Mr. Jean Claudy Pierre, Minister of Planning and External Cooperation</w:t>
      </w:r>
    </w:p>
    <w:p w14:paraId="16107602"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rPr>
      </w:pPr>
      <w:r w:rsidRPr="005516CD">
        <w:rPr>
          <w:rFonts w:asciiTheme="minorHAnsi" w:hAnsiTheme="minorHAnsi" w:cstheme="minorHAnsi"/>
          <w:spacing w:val="-2"/>
          <w:sz w:val="20"/>
          <w:szCs w:val="20"/>
        </w:rPr>
        <w:t>[</w:t>
      </w:r>
      <w:r w:rsidRPr="005516CD">
        <w:rPr>
          <w:rFonts w:asciiTheme="minorHAnsi" w:hAnsiTheme="minorHAnsi" w:cstheme="minorHAnsi"/>
          <w:i/>
          <w:spacing w:val="-2"/>
          <w:sz w:val="20"/>
          <w:szCs w:val="20"/>
        </w:rPr>
        <w:t>Date</w:t>
      </w:r>
      <w:r w:rsidRPr="005516CD">
        <w:rPr>
          <w:rFonts w:asciiTheme="minorHAnsi" w:hAnsiTheme="minorHAnsi" w:cstheme="minorHAnsi"/>
          <w:spacing w:val="-2"/>
          <w:sz w:val="20"/>
          <w:szCs w:val="20"/>
        </w:rPr>
        <w:t>]</w:t>
      </w:r>
    </w:p>
    <w:bookmarkEnd w:id="141"/>
    <w:p w14:paraId="108BE09A"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rPr>
      </w:pPr>
    </w:p>
    <w:p w14:paraId="61343E6C"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rPr>
        <w:sectPr w:rsidR="006D39E3" w:rsidRPr="005516CD" w:rsidSect="00F91241">
          <w:pgSz w:w="12240" w:h="15840"/>
          <w:pgMar w:top="1440" w:right="1440" w:bottom="1440" w:left="1440" w:header="720" w:footer="720" w:gutter="0"/>
          <w:cols w:space="720"/>
          <w:docGrid w:linePitch="326"/>
        </w:sectPr>
      </w:pPr>
    </w:p>
    <w:p w14:paraId="2C4BA434"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u w:val="single"/>
          <w:lang w:val="en-US"/>
        </w:rPr>
        <w:fldChar w:fldCharType="begin"/>
      </w:r>
      <w:r w:rsidRPr="005516CD">
        <w:rPr>
          <w:rFonts w:asciiTheme="minorHAnsi" w:hAnsiTheme="minorHAnsi" w:cstheme="minorHAnsi"/>
          <w:spacing w:val="-2"/>
          <w:sz w:val="20"/>
          <w:szCs w:val="20"/>
          <w:u w:val="single"/>
          <w:lang w:val="en-US"/>
        </w:rPr>
        <w:instrText xml:space="preserve">PRIVATE </w:instrText>
      </w:r>
      <w:r w:rsidRPr="005516CD">
        <w:rPr>
          <w:rFonts w:asciiTheme="minorHAnsi" w:hAnsiTheme="minorHAnsi" w:cstheme="minorHAnsi"/>
          <w:spacing w:val="-2"/>
          <w:sz w:val="20"/>
          <w:szCs w:val="20"/>
          <w:u w:val="single"/>
          <w:lang w:val="en-US"/>
        </w:rPr>
        <w:fldChar w:fldCharType="end"/>
      </w:r>
      <w:r w:rsidRPr="005516CD">
        <w:rPr>
          <w:rFonts w:asciiTheme="minorHAnsi" w:hAnsiTheme="minorHAnsi" w:cstheme="minorHAnsi"/>
          <w:spacing w:val="-2"/>
          <w:sz w:val="20"/>
          <w:szCs w:val="20"/>
          <w:u w:val="single"/>
          <w:lang w:val="en-US"/>
        </w:rPr>
        <w:t xml:space="preserve">Attachment </w:t>
      </w:r>
      <w:r w:rsidRPr="005516CD">
        <w:rPr>
          <w:rFonts w:asciiTheme="minorHAnsi" w:hAnsiTheme="minorHAnsi" w:cstheme="minorHAnsi"/>
          <w:spacing w:val="-2"/>
          <w:sz w:val="20"/>
          <w:szCs w:val="20"/>
          <w:u w:val="single"/>
          <w:lang w:val="en-US"/>
        </w:rPr>
        <w:fldChar w:fldCharType="begin"/>
      </w:r>
      <w:r w:rsidRPr="005516CD">
        <w:rPr>
          <w:rFonts w:asciiTheme="minorHAnsi" w:hAnsiTheme="minorHAnsi" w:cstheme="minorHAnsi"/>
          <w:spacing w:val="-2"/>
          <w:sz w:val="20"/>
          <w:szCs w:val="20"/>
          <w:u w:val="single"/>
          <w:lang w:val="en-US"/>
        </w:rPr>
        <w:instrText>tc "Attachment "</w:instrText>
      </w:r>
      <w:r w:rsidRPr="005516CD">
        <w:rPr>
          <w:rFonts w:asciiTheme="minorHAnsi" w:hAnsiTheme="minorHAnsi" w:cstheme="minorHAnsi"/>
          <w:spacing w:val="-2"/>
          <w:sz w:val="20"/>
          <w:szCs w:val="20"/>
          <w:u w:val="single"/>
          <w:lang w:val="en-US"/>
        </w:rPr>
        <w:fldChar w:fldCharType="end"/>
      </w:r>
    </w:p>
    <w:p w14:paraId="6CE7391A"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7D868EF5"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b/>
          <w:bCs/>
          <w:spacing w:val="-2"/>
          <w:sz w:val="20"/>
          <w:szCs w:val="20"/>
          <w:lang w:val="en-US"/>
        </w:rPr>
      </w:pPr>
      <w:r w:rsidRPr="005516CD">
        <w:rPr>
          <w:rFonts w:asciiTheme="minorHAnsi" w:hAnsiTheme="minorHAnsi" w:cstheme="minorHAnsi"/>
          <w:b/>
          <w:bCs/>
          <w:spacing w:val="-2"/>
          <w:sz w:val="20"/>
          <w:szCs w:val="20"/>
          <w:lang w:val="en-US"/>
        </w:rPr>
        <w:t>DESCRIPTION OF UNDP COUNTRY OFFICE SUPPORT SERVICES</w:t>
      </w:r>
    </w:p>
    <w:p w14:paraId="2E27383A"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31A4E037"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1.</w:t>
      </w:r>
      <w:r w:rsidRPr="005516CD">
        <w:rPr>
          <w:rFonts w:asciiTheme="minorHAnsi" w:hAnsiTheme="minorHAnsi" w:cstheme="minorHAnsi"/>
          <w:spacing w:val="-2"/>
          <w:sz w:val="20"/>
          <w:szCs w:val="20"/>
          <w:lang w:val="en-US"/>
        </w:rPr>
        <w:tab/>
        <w:t xml:space="preserve">Reference is made to consultations between </w:t>
      </w:r>
      <w:r w:rsidRPr="005516CD">
        <w:rPr>
          <w:rFonts w:asciiTheme="minorHAnsi" w:hAnsiTheme="minorHAnsi" w:cstheme="minorHAnsi"/>
          <w:i/>
          <w:spacing w:val="-2"/>
          <w:sz w:val="20"/>
          <w:szCs w:val="20"/>
          <w:lang w:val="en-US"/>
        </w:rPr>
        <w:t xml:space="preserve">Ministry </w:t>
      </w:r>
      <w:r w:rsidRPr="005516CD">
        <w:rPr>
          <w:rFonts w:asciiTheme="minorHAnsi" w:hAnsiTheme="minorHAnsi" w:cstheme="minorHAnsi"/>
          <w:i/>
          <w:spacing w:val="-2"/>
          <w:sz w:val="20"/>
          <w:szCs w:val="20"/>
        </w:rPr>
        <w:t>of Environment</w:t>
      </w:r>
      <w:r w:rsidRPr="005516CD">
        <w:rPr>
          <w:rFonts w:asciiTheme="minorHAnsi" w:hAnsiTheme="minorHAnsi" w:cstheme="minorHAnsi"/>
          <w:spacing w:val="-2"/>
          <w:sz w:val="20"/>
          <w:szCs w:val="20"/>
          <w:lang w:val="en-US"/>
        </w:rPr>
        <w:t xml:space="preserve">, the institution designated by the Government of </w:t>
      </w:r>
      <w:r w:rsidRPr="005516CD">
        <w:rPr>
          <w:rFonts w:asciiTheme="minorHAnsi" w:hAnsiTheme="minorHAnsi" w:cstheme="minorHAnsi"/>
          <w:i/>
          <w:spacing w:val="-2"/>
          <w:sz w:val="20"/>
          <w:szCs w:val="20"/>
          <w:lang w:val="en-US"/>
        </w:rPr>
        <w:t>Haiti</w:t>
      </w:r>
      <w:r w:rsidRPr="005516CD">
        <w:rPr>
          <w:rFonts w:asciiTheme="minorHAnsi" w:hAnsiTheme="minorHAnsi" w:cstheme="minorHAnsi"/>
          <w:spacing w:val="-2"/>
          <w:sz w:val="20"/>
          <w:szCs w:val="20"/>
          <w:lang w:val="en-US"/>
        </w:rPr>
        <w:t xml:space="preserve"> and officials of UNDP with respect to the provision of support services by the UNDP country office for the nationally managed project “Sustainable management of wooded production landscapes for biodiversity conservation”.</w:t>
      </w:r>
    </w:p>
    <w:p w14:paraId="1D3A5AF9"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62C0D6C0"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1AFB6ADB"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2.</w:t>
      </w:r>
      <w:r w:rsidRPr="005516CD">
        <w:rPr>
          <w:rFonts w:asciiTheme="minorHAnsi" w:hAnsiTheme="minorHAnsi" w:cstheme="minorHAnsi"/>
          <w:spacing w:val="-2"/>
          <w:sz w:val="20"/>
          <w:szCs w:val="20"/>
          <w:lang w:val="en-US"/>
        </w:rPr>
        <w:tab/>
        <w:t xml:space="preserve">In accordance with the provisions of the letter of agreement signed on ------------------- and the </w:t>
      </w:r>
      <w:r w:rsidRPr="005516CD">
        <w:rPr>
          <w:rFonts w:asciiTheme="minorHAnsi" w:hAnsiTheme="minorHAnsi" w:cstheme="minorHAnsi"/>
          <w:i/>
          <w:spacing w:val="-2"/>
          <w:sz w:val="20"/>
          <w:szCs w:val="20"/>
          <w:lang w:val="en-US"/>
        </w:rPr>
        <w:t>project</w:t>
      </w:r>
      <w:r w:rsidRPr="005516CD">
        <w:rPr>
          <w:rFonts w:asciiTheme="minorHAnsi" w:hAnsiTheme="minorHAnsi" w:cstheme="minorHAnsi"/>
          <w:spacing w:val="-2"/>
          <w:sz w:val="20"/>
          <w:szCs w:val="20"/>
          <w:lang w:val="en-US"/>
        </w:rPr>
        <w:t xml:space="preserve"> </w:t>
      </w:r>
      <w:r w:rsidRPr="005516CD">
        <w:rPr>
          <w:rFonts w:asciiTheme="minorHAnsi" w:hAnsiTheme="minorHAnsi" w:cstheme="minorHAnsi"/>
          <w:i/>
          <w:spacing w:val="-2"/>
          <w:sz w:val="20"/>
          <w:szCs w:val="20"/>
          <w:lang w:val="en-US"/>
        </w:rPr>
        <w:t xml:space="preserve">document </w:t>
      </w:r>
      <w:r w:rsidRPr="005516CD">
        <w:rPr>
          <w:rFonts w:asciiTheme="minorHAnsi" w:hAnsiTheme="minorHAnsi" w:cstheme="minorHAnsi"/>
          <w:spacing w:val="-2"/>
          <w:sz w:val="20"/>
          <w:szCs w:val="20"/>
          <w:lang w:val="en-US"/>
        </w:rPr>
        <w:t xml:space="preserve">“Sustainable management of wooded production landscapes for biodiversity conservation”, the UNDP country office shall provide support services for the </w:t>
      </w:r>
      <w:r w:rsidRPr="005516CD">
        <w:rPr>
          <w:rFonts w:asciiTheme="minorHAnsi" w:hAnsiTheme="minorHAnsi" w:cstheme="minorHAnsi"/>
          <w:i/>
          <w:spacing w:val="-2"/>
          <w:sz w:val="20"/>
          <w:szCs w:val="20"/>
          <w:lang w:val="en-US"/>
        </w:rPr>
        <w:t>Project</w:t>
      </w:r>
      <w:r w:rsidRPr="005516CD">
        <w:rPr>
          <w:rFonts w:asciiTheme="minorHAnsi" w:hAnsiTheme="minorHAnsi" w:cstheme="minorHAnsi"/>
          <w:spacing w:val="-2"/>
          <w:sz w:val="20"/>
          <w:szCs w:val="20"/>
          <w:lang w:val="en-US"/>
        </w:rPr>
        <w:t xml:space="preserve"> as described below.</w:t>
      </w:r>
    </w:p>
    <w:p w14:paraId="3A3F04A3"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1EA1BA15"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3D6C7B71"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3.</w:t>
      </w:r>
      <w:r w:rsidRPr="005516CD">
        <w:rPr>
          <w:rFonts w:asciiTheme="minorHAnsi" w:hAnsiTheme="minorHAnsi" w:cstheme="minorHAnsi"/>
          <w:spacing w:val="-2"/>
          <w:sz w:val="20"/>
          <w:szCs w:val="20"/>
          <w:lang w:val="en-US"/>
        </w:rPr>
        <w:tab/>
      </w:r>
      <w:r w:rsidRPr="008244FA">
        <w:rPr>
          <w:rFonts w:asciiTheme="minorHAnsi" w:hAnsiTheme="minorHAnsi" w:cstheme="minorHAnsi"/>
          <w:spacing w:val="-2"/>
          <w:sz w:val="20"/>
          <w:szCs w:val="20"/>
          <w:highlight w:val="cyan"/>
          <w:lang w:val="en-US"/>
        </w:rPr>
        <w:t>Support services to be provided:</w:t>
      </w:r>
    </w:p>
    <w:p w14:paraId="45DB1925"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tbl>
      <w:tblPr>
        <w:tblW w:w="10941" w:type="dxa"/>
        <w:tblInd w:w="-318" w:type="dxa"/>
        <w:tblLayout w:type="fixed"/>
        <w:tblLook w:val="0000" w:firstRow="0" w:lastRow="0" w:firstColumn="0" w:lastColumn="0" w:noHBand="0" w:noVBand="0"/>
      </w:tblPr>
      <w:tblGrid>
        <w:gridCol w:w="2578"/>
        <w:gridCol w:w="2126"/>
        <w:gridCol w:w="1676"/>
        <w:gridCol w:w="4561"/>
      </w:tblGrid>
      <w:tr w:rsidR="00727788" w:rsidRPr="0019319B" w14:paraId="48A980CD" w14:textId="77777777" w:rsidTr="00AB0498">
        <w:tc>
          <w:tcPr>
            <w:tcW w:w="2578" w:type="dxa"/>
            <w:tcBorders>
              <w:top w:val="single" w:sz="6" w:space="0" w:color="auto"/>
              <w:left w:val="single" w:sz="6" w:space="0" w:color="auto"/>
              <w:bottom w:val="single" w:sz="6" w:space="0" w:color="auto"/>
            </w:tcBorders>
            <w:vAlign w:val="center"/>
          </w:tcPr>
          <w:p w14:paraId="6B03F2E9" w14:textId="77777777" w:rsidR="00727788" w:rsidRPr="0019319B" w:rsidRDefault="00727788" w:rsidP="00AB0498">
            <w:pPr>
              <w:rPr>
                <w:rFonts w:asciiTheme="minorHAnsi" w:hAnsiTheme="minorHAnsi" w:cstheme="minorHAnsi"/>
                <w:sz w:val="22"/>
                <w:szCs w:val="22"/>
                <w:lang w:val="fr-FR"/>
              </w:rPr>
            </w:pPr>
            <w:r w:rsidRPr="0019319B">
              <w:rPr>
                <w:rFonts w:asciiTheme="minorHAnsi" w:hAnsiTheme="minorHAnsi" w:cstheme="minorHAnsi"/>
                <w:sz w:val="22"/>
                <w:szCs w:val="22"/>
              </w:rPr>
              <w:fldChar w:fldCharType="begin"/>
            </w:r>
            <w:r w:rsidRPr="0019319B">
              <w:rPr>
                <w:rFonts w:asciiTheme="minorHAnsi" w:hAnsiTheme="minorHAnsi" w:cstheme="minorHAnsi"/>
                <w:sz w:val="22"/>
                <w:szCs w:val="22"/>
                <w:lang w:val="fr-FR"/>
              </w:rPr>
              <w:instrText xml:space="preserve">PRIVATE </w:instrText>
            </w:r>
            <w:r w:rsidRPr="0019319B">
              <w:rPr>
                <w:rFonts w:asciiTheme="minorHAnsi" w:hAnsiTheme="minorHAnsi" w:cstheme="minorHAnsi"/>
                <w:sz w:val="22"/>
                <w:szCs w:val="22"/>
              </w:rPr>
              <w:fldChar w:fldCharType="end"/>
            </w:r>
            <w:r w:rsidRPr="0019319B">
              <w:rPr>
                <w:rFonts w:asciiTheme="minorHAnsi" w:hAnsiTheme="minorHAnsi" w:cstheme="minorHAnsi"/>
                <w:sz w:val="22"/>
                <w:szCs w:val="22"/>
                <w:lang w:val="fr-FR"/>
              </w:rPr>
              <w:t>Support services</w:t>
            </w:r>
          </w:p>
          <w:p w14:paraId="118AB6BB" w14:textId="77777777" w:rsidR="00727788" w:rsidRPr="0019319B" w:rsidRDefault="00727788" w:rsidP="00AB0498">
            <w:pPr>
              <w:rPr>
                <w:rFonts w:asciiTheme="minorHAnsi" w:hAnsiTheme="minorHAnsi" w:cstheme="minorHAnsi"/>
                <w:sz w:val="22"/>
                <w:szCs w:val="22"/>
                <w:lang w:val="fr-FR"/>
              </w:rPr>
            </w:pPr>
          </w:p>
        </w:tc>
        <w:tc>
          <w:tcPr>
            <w:tcW w:w="2126" w:type="dxa"/>
            <w:tcBorders>
              <w:top w:val="single" w:sz="6" w:space="0" w:color="auto"/>
              <w:left w:val="single" w:sz="6" w:space="0" w:color="auto"/>
              <w:bottom w:val="single" w:sz="6" w:space="0" w:color="auto"/>
            </w:tcBorders>
            <w:vAlign w:val="center"/>
          </w:tcPr>
          <w:p w14:paraId="1190CE92"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Schedule for the provision of the support services</w:t>
            </w:r>
          </w:p>
        </w:tc>
        <w:tc>
          <w:tcPr>
            <w:tcW w:w="1676" w:type="dxa"/>
            <w:tcBorders>
              <w:top w:val="single" w:sz="6" w:space="0" w:color="auto"/>
              <w:left w:val="single" w:sz="6" w:space="0" w:color="auto"/>
              <w:bottom w:val="single" w:sz="6" w:space="0" w:color="auto"/>
            </w:tcBorders>
            <w:vAlign w:val="center"/>
          </w:tcPr>
          <w:p w14:paraId="7B517813"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 xml:space="preserve">Cost to UNDP of providing such support services </w:t>
            </w:r>
          </w:p>
        </w:tc>
        <w:tc>
          <w:tcPr>
            <w:tcW w:w="4561" w:type="dxa"/>
            <w:tcBorders>
              <w:top w:val="single" w:sz="6" w:space="0" w:color="auto"/>
              <w:left w:val="single" w:sz="6" w:space="0" w:color="auto"/>
              <w:bottom w:val="single" w:sz="6" w:space="0" w:color="auto"/>
              <w:right w:val="single" w:sz="6" w:space="0" w:color="auto"/>
            </w:tcBorders>
            <w:vAlign w:val="center"/>
          </w:tcPr>
          <w:p w14:paraId="7F786437"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 xml:space="preserve">Amount and method of reimbursement of UNDP </w:t>
            </w:r>
          </w:p>
        </w:tc>
      </w:tr>
      <w:tr w:rsidR="00727788" w:rsidRPr="0019319B" w14:paraId="2F2B9DFC" w14:textId="77777777" w:rsidTr="00AB0498">
        <w:tc>
          <w:tcPr>
            <w:tcW w:w="2578" w:type="dxa"/>
            <w:tcBorders>
              <w:left w:val="single" w:sz="6" w:space="0" w:color="auto"/>
            </w:tcBorders>
            <w:vAlign w:val="center"/>
          </w:tcPr>
          <w:p w14:paraId="29BF04D4"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Payments, disbursements and other financial transactions</w:t>
            </w:r>
          </w:p>
        </w:tc>
        <w:tc>
          <w:tcPr>
            <w:tcW w:w="2126" w:type="dxa"/>
            <w:tcBorders>
              <w:left w:val="single" w:sz="6" w:space="0" w:color="auto"/>
            </w:tcBorders>
            <w:vAlign w:val="center"/>
          </w:tcPr>
          <w:p w14:paraId="2028F004"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For the project duration</w:t>
            </w:r>
          </w:p>
        </w:tc>
        <w:tc>
          <w:tcPr>
            <w:tcW w:w="1676" w:type="dxa"/>
            <w:tcBorders>
              <w:left w:val="single" w:sz="6" w:space="0" w:color="auto"/>
            </w:tcBorders>
            <w:vAlign w:val="center"/>
          </w:tcPr>
          <w:p w14:paraId="5D8C895E" w14:textId="517D52C2" w:rsidR="00727788" w:rsidRPr="0019319B" w:rsidRDefault="00727788" w:rsidP="00AB0498">
            <w:pPr>
              <w:rPr>
                <w:rFonts w:asciiTheme="minorHAnsi" w:hAnsiTheme="minorHAnsi" w:cstheme="minorHAnsi"/>
                <w:sz w:val="22"/>
                <w:szCs w:val="22"/>
              </w:rPr>
            </w:pPr>
            <w:r>
              <w:rPr>
                <w:rFonts w:asciiTheme="minorHAnsi" w:hAnsiTheme="minorHAnsi" w:cstheme="minorHAnsi"/>
                <w:sz w:val="22"/>
                <w:szCs w:val="22"/>
              </w:rPr>
              <w:t>7</w:t>
            </w:r>
            <w:r w:rsidRPr="0019319B">
              <w:rPr>
                <w:rFonts w:asciiTheme="minorHAnsi" w:hAnsiTheme="minorHAnsi" w:cstheme="minorHAnsi"/>
                <w:sz w:val="22"/>
                <w:szCs w:val="22"/>
              </w:rPr>
              <w:t>,</w:t>
            </w:r>
            <w:r>
              <w:rPr>
                <w:rFonts w:asciiTheme="minorHAnsi" w:hAnsiTheme="minorHAnsi" w:cstheme="minorHAnsi"/>
                <w:sz w:val="22"/>
                <w:szCs w:val="22"/>
              </w:rPr>
              <w:t>999.20</w:t>
            </w:r>
          </w:p>
        </w:tc>
        <w:tc>
          <w:tcPr>
            <w:tcW w:w="4561" w:type="dxa"/>
            <w:tcBorders>
              <w:left w:val="single" w:sz="6" w:space="0" w:color="auto"/>
              <w:right w:val="single" w:sz="6" w:space="0" w:color="auto"/>
            </w:tcBorders>
            <w:vAlign w:val="center"/>
          </w:tcPr>
          <w:p w14:paraId="737EB2A9"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 xml:space="preserve">Payment processes for consultants and other project suppliers and service providers </w:t>
            </w:r>
          </w:p>
          <w:p w14:paraId="5E990397"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176 transactions @ $45.45</w:t>
            </w:r>
          </w:p>
        </w:tc>
      </w:tr>
      <w:tr w:rsidR="00727788" w:rsidRPr="0019319B" w14:paraId="7443DACF" w14:textId="77777777" w:rsidTr="00AB0498">
        <w:tc>
          <w:tcPr>
            <w:tcW w:w="2578" w:type="dxa"/>
            <w:tcBorders>
              <w:top w:val="single" w:sz="6" w:space="0" w:color="auto"/>
              <w:left w:val="single" w:sz="6" w:space="0" w:color="auto"/>
            </w:tcBorders>
            <w:vAlign w:val="center"/>
          </w:tcPr>
          <w:p w14:paraId="37589621"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Staff selection and recruitment process; local personnel HR and benefits administration &amp; management; recurrent personnel management services</w:t>
            </w:r>
          </w:p>
        </w:tc>
        <w:tc>
          <w:tcPr>
            <w:tcW w:w="2126" w:type="dxa"/>
            <w:tcBorders>
              <w:top w:val="single" w:sz="6" w:space="0" w:color="auto"/>
              <w:left w:val="single" w:sz="6" w:space="0" w:color="auto"/>
            </w:tcBorders>
            <w:vAlign w:val="center"/>
          </w:tcPr>
          <w:p w14:paraId="5C8431B3"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For the project duration</w:t>
            </w:r>
          </w:p>
        </w:tc>
        <w:tc>
          <w:tcPr>
            <w:tcW w:w="1676" w:type="dxa"/>
            <w:tcBorders>
              <w:top w:val="single" w:sz="6" w:space="0" w:color="auto"/>
              <w:left w:val="single" w:sz="6" w:space="0" w:color="auto"/>
            </w:tcBorders>
            <w:vAlign w:val="center"/>
          </w:tcPr>
          <w:p w14:paraId="56738554"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23,807.70</w:t>
            </w:r>
          </w:p>
        </w:tc>
        <w:tc>
          <w:tcPr>
            <w:tcW w:w="4561" w:type="dxa"/>
            <w:tcBorders>
              <w:top w:val="single" w:sz="6" w:space="0" w:color="auto"/>
              <w:left w:val="single" w:sz="6" w:space="0" w:color="auto"/>
              <w:right w:val="single" w:sz="6" w:space="0" w:color="auto"/>
            </w:tcBorders>
            <w:vAlign w:val="center"/>
          </w:tcPr>
          <w:p w14:paraId="28CED789"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 xml:space="preserve">Recruitment of project management unit </w:t>
            </w:r>
          </w:p>
          <w:p w14:paraId="222F6B74"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3 @ 1,399.76</w:t>
            </w:r>
          </w:p>
          <w:p w14:paraId="1039FBF6"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 xml:space="preserve">contract issuance, </w:t>
            </w:r>
            <w:proofErr w:type="spellStart"/>
            <w:r w:rsidRPr="0019319B">
              <w:rPr>
                <w:rFonts w:asciiTheme="minorHAnsi" w:hAnsiTheme="minorHAnsi" w:cstheme="minorHAnsi"/>
                <w:sz w:val="22"/>
                <w:szCs w:val="22"/>
              </w:rPr>
              <w:t>enrollment</w:t>
            </w:r>
            <w:proofErr w:type="spellEnd"/>
            <w:r w:rsidRPr="0019319B">
              <w:rPr>
                <w:rFonts w:asciiTheme="minorHAnsi" w:hAnsiTheme="minorHAnsi" w:cstheme="minorHAnsi"/>
                <w:sz w:val="22"/>
                <w:szCs w:val="22"/>
              </w:rPr>
              <w:t>, payroll setup</w:t>
            </w:r>
          </w:p>
          <w:p w14:paraId="1B83D666"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3 @ 318.64</w:t>
            </w:r>
          </w:p>
          <w:p w14:paraId="2BC4CC37"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Staff Payroll &amp; Banking Administration &amp; Management (per staff, per calendar year)</w:t>
            </w:r>
          </w:p>
          <w:p w14:paraId="37DB268F"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3 @ 1,197.20 x 5 years</w:t>
            </w:r>
          </w:p>
          <w:p w14:paraId="6D6307D9"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Issuance and renewal of ID cards</w:t>
            </w:r>
          </w:p>
          <w:p w14:paraId="0B31101D"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3 @ 46.30 x 5 years</w:t>
            </w:r>
          </w:p>
        </w:tc>
      </w:tr>
      <w:tr w:rsidR="00727788" w:rsidRPr="0019319B" w14:paraId="30B7DDB2" w14:textId="77777777" w:rsidTr="00AB0498">
        <w:tc>
          <w:tcPr>
            <w:tcW w:w="2578" w:type="dxa"/>
            <w:tcBorders>
              <w:top w:val="single" w:sz="6" w:space="0" w:color="auto"/>
              <w:left w:val="single" w:sz="6" w:space="0" w:color="auto"/>
              <w:bottom w:val="single" w:sz="6" w:space="0" w:color="auto"/>
            </w:tcBorders>
            <w:vAlign w:val="center"/>
          </w:tcPr>
          <w:p w14:paraId="6A2E32D4"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Procurement of consultants</w:t>
            </w:r>
          </w:p>
        </w:tc>
        <w:tc>
          <w:tcPr>
            <w:tcW w:w="2126" w:type="dxa"/>
            <w:tcBorders>
              <w:top w:val="single" w:sz="6" w:space="0" w:color="auto"/>
              <w:left w:val="single" w:sz="6" w:space="0" w:color="auto"/>
              <w:bottom w:val="single" w:sz="6" w:space="0" w:color="auto"/>
            </w:tcBorders>
            <w:vAlign w:val="center"/>
          </w:tcPr>
          <w:p w14:paraId="0960E422"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For the project duration</w:t>
            </w:r>
          </w:p>
        </w:tc>
        <w:tc>
          <w:tcPr>
            <w:tcW w:w="1676" w:type="dxa"/>
            <w:tcBorders>
              <w:top w:val="single" w:sz="6" w:space="0" w:color="auto"/>
              <w:left w:val="single" w:sz="6" w:space="0" w:color="auto"/>
              <w:bottom w:val="single" w:sz="6" w:space="0" w:color="auto"/>
            </w:tcBorders>
            <w:vAlign w:val="center"/>
          </w:tcPr>
          <w:p w14:paraId="651C9C27"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4,605.75</w:t>
            </w:r>
          </w:p>
        </w:tc>
        <w:tc>
          <w:tcPr>
            <w:tcW w:w="4561" w:type="dxa"/>
            <w:tcBorders>
              <w:top w:val="single" w:sz="6" w:space="0" w:color="auto"/>
              <w:left w:val="single" w:sz="6" w:space="0" w:color="auto"/>
              <w:bottom w:val="single" w:sz="6" w:space="0" w:color="auto"/>
              <w:right w:val="single" w:sz="6" w:space="0" w:color="auto"/>
            </w:tcBorders>
            <w:vAlign w:val="center"/>
          </w:tcPr>
          <w:p w14:paraId="159F8007" w14:textId="77777777" w:rsidR="00727788" w:rsidRPr="0019319B" w:rsidRDefault="00727788" w:rsidP="00AB0498">
            <w:pPr>
              <w:rPr>
                <w:rFonts w:asciiTheme="minorHAnsi" w:hAnsiTheme="minorHAnsi" w:cstheme="minorHAnsi"/>
                <w:sz w:val="22"/>
                <w:szCs w:val="22"/>
                <w:vertAlign w:val="superscript"/>
              </w:rPr>
            </w:pPr>
            <w:r w:rsidRPr="0019319B">
              <w:rPr>
                <w:rFonts w:asciiTheme="minorHAnsi" w:hAnsiTheme="minorHAnsi" w:cstheme="minorHAnsi"/>
                <w:sz w:val="22"/>
                <w:szCs w:val="22"/>
              </w:rPr>
              <w:t>Individual consultants to conduct studies, midterm and Final Project Evaluation</w:t>
            </w:r>
          </w:p>
          <w:p w14:paraId="22FF49B0"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9 @ 511.75</w:t>
            </w:r>
          </w:p>
          <w:p w14:paraId="36BAA0CE" w14:textId="77777777" w:rsidR="00727788" w:rsidRPr="0019319B" w:rsidRDefault="00727788" w:rsidP="00AB0498">
            <w:pPr>
              <w:rPr>
                <w:rFonts w:asciiTheme="minorHAnsi" w:hAnsiTheme="minorHAnsi" w:cstheme="minorHAnsi"/>
                <w:sz w:val="22"/>
                <w:szCs w:val="22"/>
              </w:rPr>
            </w:pPr>
          </w:p>
        </w:tc>
      </w:tr>
      <w:tr w:rsidR="00727788" w:rsidRPr="0019319B" w14:paraId="6DF29BE8" w14:textId="77777777" w:rsidTr="00AB0498">
        <w:tc>
          <w:tcPr>
            <w:tcW w:w="2578" w:type="dxa"/>
            <w:tcBorders>
              <w:top w:val="single" w:sz="6" w:space="0" w:color="auto"/>
              <w:left w:val="single" w:sz="6" w:space="0" w:color="auto"/>
              <w:bottom w:val="single" w:sz="6" w:space="0" w:color="auto"/>
            </w:tcBorders>
            <w:vAlign w:val="center"/>
          </w:tcPr>
          <w:p w14:paraId="18C0CDDB"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Procurement of services and equipment, disposal of equipment</w:t>
            </w:r>
          </w:p>
        </w:tc>
        <w:tc>
          <w:tcPr>
            <w:tcW w:w="2126" w:type="dxa"/>
            <w:tcBorders>
              <w:top w:val="single" w:sz="6" w:space="0" w:color="auto"/>
              <w:left w:val="single" w:sz="6" w:space="0" w:color="auto"/>
              <w:bottom w:val="single" w:sz="6" w:space="0" w:color="auto"/>
            </w:tcBorders>
            <w:vAlign w:val="center"/>
          </w:tcPr>
          <w:p w14:paraId="37A61C62"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For the project duration</w:t>
            </w:r>
          </w:p>
        </w:tc>
        <w:tc>
          <w:tcPr>
            <w:tcW w:w="1676" w:type="dxa"/>
            <w:tcBorders>
              <w:top w:val="single" w:sz="6" w:space="0" w:color="auto"/>
              <w:left w:val="single" w:sz="6" w:space="0" w:color="auto"/>
              <w:bottom w:val="single" w:sz="6" w:space="0" w:color="auto"/>
            </w:tcBorders>
            <w:vAlign w:val="center"/>
          </w:tcPr>
          <w:p w14:paraId="7A9B9C90"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7,508.60</w:t>
            </w:r>
          </w:p>
        </w:tc>
        <w:tc>
          <w:tcPr>
            <w:tcW w:w="4561" w:type="dxa"/>
            <w:tcBorders>
              <w:top w:val="single" w:sz="6" w:space="0" w:color="auto"/>
              <w:left w:val="single" w:sz="6" w:space="0" w:color="auto"/>
              <w:bottom w:val="single" w:sz="6" w:space="0" w:color="auto"/>
              <w:right w:val="single" w:sz="6" w:space="0" w:color="auto"/>
            </w:tcBorders>
            <w:vAlign w:val="center"/>
          </w:tcPr>
          <w:p w14:paraId="3ED22CA9"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Procurement process involving local CAP, RFP requirements</w:t>
            </w:r>
          </w:p>
          <w:p w14:paraId="20081C0C"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4 @ 1,098.82</w:t>
            </w:r>
          </w:p>
          <w:p w14:paraId="7228CB3A"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Procurement process not involving local CAP (low value procurement)</w:t>
            </w:r>
          </w:p>
          <w:p w14:paraId="22096C3B"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5 @ 278.57</w:t>
            </w:r>
          </w:p>
          <w:p w14:paraId="5E89C629"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Disposal of equipment</w:t>
            </w:r>
          </w:p>
          <w:p w14:paraId="6683EB9C"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3 @ 573.49</w:t>
            </w:r>
          </w:p>
        </w:tc>
      </w:tr>
      <w:tr w:rsidR="00727788" w:rsidRPr="0019319B" w14:paraId="0277F186" w14:textId="77777777" w:rsidTr="00AB0498">
        <w:tc>
          <w:tcPr>
            <w:tcW w:w="2578" w:type="dxa"/>
            <w:tcBorders>
              <w:top w:val="single" w:sz="6" w:space="0" w:color="auto"/>
              <w:left w:val="single" w:sz="6" w:space="0" w:color="auto"/>
              <w:bottom w:val="single" w:sz="6" w:space="0" w:color="auto"/>
            </w:tcBorders>
            <w:vAlign w:val="center"/>
          </w:tcPr>
          <w:p w14:paraId="0F540420"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ICT services to UNDP contract staff</w:t>
            </w:r>
          </w:p>
        </w:tc>
        <w:tc>
          <w:tcPr>
            <w:tcW w:w="2126" w:type="dxa"/>
            <w:tcBorders>
              <w:top w:val="single" w:sz="6" w:space="0" w:color="auto"/>
              <w:left w:val="single" w:sz="6" w:space="0" w:color="auto"/>
              <w:bottom w:val="single" w:sz="6" w:space="0" w:color="auto"/>
            </w:tcBorders>
            <w:vAlign w:val="center"/>
          </w:tcPr>
          <w:p w14:paraId="252F0862"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For the project duration</w:t>
            </w:r>
          </w:p>
        </w:tc>
        <w:tc>
          <w:tcPr>
            <w:tcW w:w="1676" w:type="dxa"/>
            <w:tcBorders>
              <w:top w:val="single" w:sz="6" w:space="0" w:color="auto"/>
              <w:left w:val="single" w:sz="6" w:space="0" w:color="auto"/>
              <w:bottom w:val="single" w:sz="6" w:space="0" w:color="auto"/>
            </w:tcBorders>
            <w:vAlign w:val="center"/>
          </w:tcPr>
          <w:p w14:paraId="18615964" w14:textId="62538733"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4,000.</w:t>
            </w:r>
            <w:r>
              <w:rPr>
                <w:rFonts w:asciiTheme="minorHAnsi" w:hAnsiTheme="minorHAnsi" w:cstheme="minorHAnsi"/>
                <w:sz w:val="22"/>
                <w:szCs w:val="22"/>
              </w:rPr>
              <w:t>8</w:t>
            </w:r>
            <w:r w:rsidRPr="0019319B">
              <w:rPr>
                <w:rFonts w:asciiTheme="minorHAnsi" w:hAnsiTheme="minorHAnsi" w:cstheme="minorHAnsi"/>
                <w:sz w:val="22"/>
                <w:szCs w:val="22"/>
              </w:rPr>
              <w:t>0</w:t>
            </w:r>
          </w:p>
        </w:tc>
        <w:tc>
          <w:tcPr>
            <w:tcW w:w="4561" w:type="dxa"/>
            <w:tcBorders>
              <w:top w:val="single" w:sz="6" w:space="0" w:color="auto"/>
              <w:left w:val="single" w:sz="6" w:space="0" w:color="auto"/>
              <w:bottom w:val="single" w:sz="6" w:space="0" w:color="auto"/>
              <w:right w:val="single" w:sz="6" w:space="0" w:color="auto"/>
            </w:tcBorders>
            <w:vAlign w:val="center"/>
          </w:tcPr>
          <w:p w14:paraId="69AF173C"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Diagnostic and troubleshoot</w:t>
            </w:r>
          </w:p>
          <w:p w14:paraId="7D1B44B1"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Help and support for internet installation</w:t>
            </w:r>
          </w:p>
          <w:p w14:paraId="1A2729B9"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Installation of software, operating system, email configuration, backup and recovery data etc.</w:t>
            </w:r>
          </w:p>
          <w:p w14:paraId="6B785594"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Assistance on purchasing ICT equipment (work on specification and evaluation, verification and check of material)</w:t>
            </w:r>
          </w:p>
        </w:tc>
      </w:tr>
      <w:tr w:rsidR="00727788" w:rsidRPr="0019319B" w14:paraId="1CC5E59E" w14:textId="77777777" w:rsidTr="00AB0498">
        <w:tc>
          <w:tcPr>
            <w:tcW w:w="2578" w:type="dxa"/>
            <w:tcBorders>
              <w:top w:val="single" w:sz="6" w:space="0" w:color="auto"/>
              <w:left w:val="single" w:sz="6" w:space="0" w:color="auto"/>
              <w:bottom w:val="single" w:sz="6" w:space="0" w:color="auto"/>
            </w:tcBorders>
            <w:vAlign w:val="center"/>
          </w:tcPr>
          <w:p w14:paraId="4E7964BD"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Communication services</w:t>
            </w:r>
          </w:p>
        </w:tc>
        <w:tc>
          <w:tcPr>
            <w:tcW w:w="2126" w:type="dxa"/>
            <w:tcBorders>
              <w:top w:val="single" w:sz="6" w:space="0" w:color="auto"/>
              <w:left w:val="single" w:sz="6" w:space="0" w:color="auto"/>
              <w:bottom w:val="single" w:sz="6" w:space="0" w:color="auto"/>
            </w:tcBorders>
            <w:vAlign w:val="center"/>
          </w:tcPr>
          <w:p w14:paraId="221A964F"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For the project duration</w:t>
            </w:r>
          </w:p>
        </w:tc>
        <w:tc>
          <w:tcPr>
            <w:tcW w:w="1676" w:type="dxa"/>
            <w:tcBorders>
              <w:top w:val="single" w:sz="6" w:space="0" w:color="auto"/>
              <w:left w:val="single" w:sz="6" w:space="0" w:color="auto"/>
              <w:bottom w:val="single" w:sz="6" w:space="0" w:color="auto"/>
            </w:tcBorders>
            <w:vAlign w:val="center"/>
          </w:tcPr>
          <w:p w14:paraId="7105118A"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1</w:t>
            </w:r>
            <w:r>
              <w:rPr>
                <w:rFonts w:asciiTheme="minorHAnsi" w:hAnsiTheme="minorHAnsi" w:cstheme="minorHAnsi"/>
                <w:sz w:val="22"/>
                <w:szCs w:val="22"/>
              </w:rPr>
              <w:t>,</w:t>
            </w:r>
            <w:r w:rsidRPr="0019319B">
              <w:rPr>
                <w:rFonts w:asciiTheme="minorHAnsi" w:hAnsiTheme="minorHAnsi" w:cstheme="minorHAnsi"/>
                <w:sz w:val="22"/>
                <w:szCs w:val="22"/>
              </w:rPr>
              <w:t>626.9</w:t>
            </w:r>
            <w:r>
              <w:rPr>
                <w:rFonts w:asciiTheme="minorHAnsi" w:hAnsiTheme="minorHAnsi" w:cstheme="minorHAnsi"/>
                <w:sz w:val="22"/>
                <w:szCs w:val="22"/>
              </w:rPr>
              <w:t>5</w:t>
            </w:r>
          </w:p>
        </w:tc>
        <w:tc>
          <w:tcPr>
            <w:tcW w:w="4561" w:type="dxa"/>
            <w:tcBorders>
              <w:top w:val="single" w:sz="6" w:space="0" w:color="auto"/>
              <w:left w:val="single" w:sz="6" w:space="0" w:color="auto"/>
              <w:bottom w:val="single" w:sz="6" w:space="0" w:color="auto"/>
              <w:right w:val="single" w:sz="6" w:space="0" w:color="auto"/>
            </w:tcBorders>
            <w:vAlign w:val="center"/>
          </w:tcPr>
          <w:p w14:paraId="6A7EC7DA" w14:textId="77777777" w:rsidR="00727788" w:rsidRPr="0019319B" w:rsidRDefault="00727788" w:rsidP="00AB0498">
            <w:pPr>
              <w:rPr>
                <w:rFonts w:asciiTheme="minorHAnsi" w:hAnsiTheme="minorHAnsi" w:cstheme="minorHAnsi"/>
                <w:sz w:val="22"/>
                <w:szCs w:val="22"/>
              </w:rPr>
            </w:pPr>
            <w:r w:rsidRPr="0019319B">
              <w:rPr>
                <w:rFonts w:asciiTheme="minorHAnsi" w:hAnsiTheme="minorHAnsi" w:cstheme="minorHAnsi"/>
                <w:sz w:val="22"/>
                <w:szCs w:val="22"/>
              </w:rPr>
              <w:t>Communication services for the coverage of activities important to the project</w:t>
            </w:r>
          </w:p>
        </w:tc>
      </w:tr>
      <w:tr w:rsidR="00727788" w:rsidRPr="0019319B" w14:paraId="55B3D848" w14:textId="77777777" w:rsidTr="00AB0498">
        <w:tc>
          <w:tcPr>
            <w:tcW w:w="2578" w:type="dxa"/>
            <w:tcBorders>
              <w:top w:val="single" w:sz="6" w:space="0" w:color="auto"/>
              <w:left w:val="single" w:sz="6" w:space="0" w:color="auto"/>
              <w:bottom w:val="single" w:sz="6" w:space="0" w:color="auto"/>
            </w:tcBorders>
            <w:vAlign w:val="center"/>
          </w:tcPr>
          <w:p w14:paraId="6F0695B1" w14:textId="77777777" w:rsidR="00727788" w:rsidRPr="0019319B" w:rsidRDefault="00727788" w:rsidP="00AB0498">
            <w:pPr>
              <w:rPr>
                <w:rFonts w:asciiTheme="minorHAnsi" w:hAnsiTheme="minorHAnsi" w:cstheme="minorHAnsi"/>
                <w:b/>
                <w:sz w:val="22"/>
                <w:szCs w:val="22"/>
              </w:rPr>
            </w:pPr>
            <w:r w:rsidRPr="0019319B">
              <w:rPr>
                <w:rFonts w:asciiTheme="minorHAnsi" w:hAnsiTheme="minorHAnsi" w:cstheme="minorHAnsi"/>
                <w:b/>
                <w:sz w:val="22"/>
                <w:szCs w:val="22"/>
              </w:rPr>
              <w:t>TOTAL</w:t>
            </w:r>
          </w:p>
        </w:tc>
        <w:tc>
          <w:tcPr>
            <w:tcW w:w="2126" w:type="dxa"/>
            <w:tcBorders>
              <w:top w:val="single" w:sz="6" w:space="0" w:color="auto"/>
              <w:left w:val="single" w:sz="6" w:space="0" w:color="auto"/>
              <w:bottom w:val="single" w:sz="6" w:space="0" w:color="auto"/>
            </w:tcBorders>
            <w:vAlign w:val="center"/>
          </w:tcPr>
          <w:p w14:paraId="6AA9A973" w14:textId="77777777" w:rsidR="00727788" w:rsidRPr="0019319B" w:rsidRDefault="00727788" w:rsidP="00AB0498">
            <w:pPr>
              <w:rPr>
                <w:rFonts w:asciiTheme="minorHAnsi" w:hAnsiTheme="minorHAnsi" w:cstheme="minorHAnsi"/>
                <w:b/>
                <w:sz w:val="22"/>
                <w:szCs w:val="22"/>
              </w:rPr>
            </w:pPr>
          </w:p>
        </w:tc>
        <w:tc>
          <w:tcPr>
            <w:tcW w:w="1676" w:type="dxa"/>
            <w:tcBorders>
              <w:top w:val="single" w:sz="6" w:space="0" w:color="auto"/>
              <w:left w:val="single" w:sz="6" w:space="0" w:color="auto"/>
              <w:bottom w:val="single" w:sz="6" w:space="0" w:color="auto"/>
            </w:tcBorders>
            <w:vAlign w:val="center"/>
          </w:tcPr>
          <w:p w14:paraId="09D68E40" w14:textId="77777777" w:rsidR="00727788" w:rsidRPr="0019319B" w:rsidRDefault="00727788" w:rsidP="00AB0498">
            <w:pPr>
              <w:rPr>
                <w:rFonts w:asciiTheme="minorHAnsi" w:hAnsiTheme="minorHAnsi" w:cstheme="minorHAnsi"/>
                <w:b/>
                <w:sz w:val="22"/>
                <w:szCs w:val="22"/>
              </w:rPr>
            </w:pPr>
            <w:r w:rsidRPr="0019319B">
              <w:rPr>
                <w:rFonts w:asciiTheme="minorHAnsi" w:hAnsiTheme="minorHAnsi" w:cstheme="minorHAnsi"/>
                <w:b/>
                <w:sz w:val="22"/>
                <w:szCs w:val="22"/>
              </w:rPr>
              <w:t>49,549.0</w:t>
            </w:r>
            <w:r>
              <w:rPr>
                <w:rFonts w:asciiTheme="minorHAnsi" w:hAnsiTheme="minorHAnsi" w:cstheme="minorHAnsi"/>
                <w:b/>
                <w:sz w:val="22"/>
                <w:szCs w:val="22"/>
              </w:rPr>
              <w:t>0</w:t>
            </w:r>
          </w:p>
        </w:tc>
        <w:tc>
          <w:tcPr>
            <w:tcW w:w="4561" w:type="dxa"/>
            <w:tcBorders>
              <w:top w:val="single" w:sz="6" w:space="0" w:color="auto"/>
              <w:left w:val="single" w:sz="6" w:space="0" w:color="auto"/>
              <w:bottom w:val="single" w:sz="6" w:space="0" w:color="auto"/>
              <w:right w:val="single" w:sz="6" w:space="0" w:color="auto"/>
            </w:tcBorders>
            <w:vAlign w:val="center"/>
          </w:tcPr>
          <w:p w14:paraId="071BEF31" w14:textId="77777777" w:rsidR="00727788" w:rsidRPr="0019319B" w:rsidRDefault="00727788" w:rsidP="00AB0498">
            <w:pPr>
              <w:rPr>
                <w:rFonts w:asciiTheme="minorHAnsi" w:hAnsiTheme="minorHAnsi" w:cstheme="minorHAnsi"/>
                <w:sz w:val="22"/>
                <w:szCs w:val="22"/>
              </w:rPr>
            </w:pPr>
          </w:p>
        </w:tc>
      </w:tr>
    </w:tbl>
    <w:p w14:paraId="01607B7C"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6D6DEBC2"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2CFA55A9"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1AB4EDDE"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 xml:space="preserve">    4.     Description of functions and responsibilities of the parties involved:</w:t>
      </w:r>
    </w:p>
    <w:p w14:paraId="2A161D57"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2D705538"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The Government through the Ministry of Environment has overall responsibility for the project managed at the national level, while the UNDP country office's responsibility is limited to providing the following support services</w:t>
      </w:r>
      <w:r w:rsidRPr="005516CD">
        <w:rPr>
          <w:rFonts w:asciiTheme="minorHAnsi" w:hAnsiTheme="minorHAnsi" w:cstheme="minorHAnsi"/>
          <w:spacing w:val="-2"/>
          <w:sz w:val="20"/>
          <w:szCs w:val="20"/>
          <w:vertAlign w:val="superscript"/>
          <w:lang w:val="en-US"/>
        </w:rPr>
        <w:t>1</w:t>
      </w:r>
      <w:r w:rsidRPr="005516CD">
        <w:rPr>
          <w:rFonts w:asciiTheme="minorHAnsi" w:hAnsiTheme="minorHAnsi" w:cstheme="minorHAnsi"/>
          <w:spacing w:val="-2"/>
          <w:sz w:val="20"/>
          <w:szCs w:val="20"/>
          <w:lang w:val="en-US"/>
        </w:rPr>
        <w:t xml:space="preserve"> for the implementation of project activities:</w:t>
      </w:r>
    </w:p>
    <w:p w14:paraId="49820B2D"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a. Direct payment of certain project expenses;</w:t>
      </w:r>
    </w:p>
    <w:p w14:paraId="1CF3A247"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b. Identification and/or recruitment of personnel to be assigned to the project and management of their contracts;</w:t>
      </w:r>
    </w:p>
    <w:p w14:paraId="49A54AF8"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c. ICT services for UNDP contract staff;</w:t>
      </w:r>
    </w:p>
    <w:p w14:paraId="6539E961"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d. Definition and facilitation of training activities;</w:t>
      </w:r>
    </w:p>
    <w:p w14:paraId="79BB0D8B"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e. The purchase of goods and services;</w:t>
      </w:r>
    </w:p>
    <w:p w14:paraId="18038F80"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r w:rsidRPr="005516CD">
        <w:rPr>
          <w:rFonts w:asciiTheme="minorHAnsi" w:hAnsiTheme="minorHAnsi" w:cstheme="minorHAnsi"/>
          <w:spacing w:val="-2"/>
          <w:sz w:val="20"/>
          <w:szCs w:val="20"/>
          <w:lang w:val="en-US"/>
        </w:rPr>
        <w:t>f. Communication services for the coverage of activities important to the project</w:t>
      </w:r>
    </w:p>
    <w:bookmarkEnd w:id="142"/>
    <w:p w14:paraId="5BA4DAAB" w14:textId="77777777" w:rsidR="006D39E3" w:rsidRPr="005516CD" w:rsidRDefault="006D39E3" w:rsidP="006D39E3">
      <w:pPr>
        <w:tabs>
          <w:tab w:val="left" w:pos="0"/>
          <w:tab w:val="left" w:pos="360"/>
          <w:tab w:val="left" w:pos="720"/>
        </w:tabs>
        <w:suppressAutoHyphens/>
        <w:jc w:val="both"/>
        <w:rPr>
          <w:rFonts w:asciiTheme="minorHAnsi" w:hAnsiTheme="minorHAnsi" w:cstheme="minorHAnsi"/>
          <w:spacing w:val="-2"/>
          <w:sz w:val="20"/>
          <w:szCs w:val="20"/>
          <w:lang w:val="en-US"/>
        </w:rPr>
      </w:pPr>
    </w:p>
    <w:p w14:paraId="5E65C2A9" w14:textId="77777777" w:rsidR="00B00DE3" w:rsidRPr="005516CD" w:rsidRDefault="00B00DE3" w:rsidP="00B00DE3">
      <w:pPr>
        <w:tabs>
          <w:tab w:val="left" w:pos="0"/>
          <w:tab w:val="left" w:pos="360"/>
          <w:tab w:val="left" w:pos="720"/>
        </w:tabs>
        <w:suppressAutoHyphens/>
        <w:jc w:val="both"/>
        <w:rPr>
          <w:rFonts w:ascii="Calibri" w:eastAsia="Times New Roman" w:hAnsi="Calibri" w:cs="Calibri"/>
          <w:spacing w:val="-2"/>
          <w:sz w:val="20"/>
          <w:szCs w:val="20"/>
          <w:lang w:val="en-US" w:eastAsia="en-US"/>
        </w:rPr>
      </w:pPr>
    </w:p>
    <w:p w14:paraId="00E9C6DC" w14:textId="77777777" w:rsidR="007021A4" w:rsidRPr="005516CD" w:rsidRDefault="007021A4"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237E83E5" w14:textId="77777777" w:rsidR="007021A4" w:rsidRPr="005516CD" w:rsidRDefault="007021A4"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4796B4D8" w14:textId="77777777" w:rsidR="007021A4" w:rsidRPr="005516CD" w:rsidRDefault="007021A4"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7BA4A0D6" w14:textId="77777777" w:rsidR="007021A4" w:rsidRPr="005516CD" w:rsidRDefault="007021A4"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75BB3C82" w14:textId="77777777" w:rsidR="007021A4" w:rsidRPr="005516CD" w:rsidRDefault="007021A4"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2B0D305A" w14:textId="77777777" w:rsidR="007021A4" w:rsidRPr="005516CD" w:rsidRDefault="007021A4"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3404C08B" w14:textId="77777777" w:rsidR="007021A4" w:rsidRPr="005516CD" w:rsidRDefault="007021A4"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355B51CA" w14:textId="77777777" w:rsidR="007021A4" w:rsidRPr="005516CD" w:rsidRDefault="007021A4"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0B5D7C31"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1C72140F"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5F783606"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21BD7553"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7C4AAF44"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5832B3CB"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2C2868C2"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2547B78A"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4B58F389"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2E83B6C5"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0E0781E8"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510F48B1"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52649CF8"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78E6BACB"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469902BE"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770B1CBF"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005AB08B"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3233805D"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7CD04EA4"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5E65F684"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08AF196C"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406EF430"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7B9AB8DD"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79B2F7E8"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61DD88C6"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0AD4F9C3"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277E5B8C"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358ADC0F" w14:textId="77777777" w:rsidR="006D39E3" w:rsidRPr="005516CD" w:rsidRDefault="006D39E3" w:rsidP="00B00DE3">
      <w:pPr>
        <w:tabs>
          <w:tab w:val="left" w:pos="0"/>
          <w:tab w:val="left" w:pos="360"/>
          <w:tab w:val="left" w:pos="720"/>
        </w:tabs>
        <w:suppressAutoHyphens/>
        <w:jc w:val="both"/>
        <w:rPr>
          <w:rFonts w:ascii="Calibri" w:eastAsia="Times New Roman" w:hAnsi="Calibri" w:cs="Calibri"/>
          <w:spacing w:val="-2"/>
          <w:sz w:val="20"/>
          <w:szCs w:val="20"/>
          <w:lang w:eastAsia="en-US"/>
        </w:rPr>
      </w:pPr>
    </w:p>
    <w:p w14:paraId="2B28E8E4" w14:textId="77777777" w:rsidR="009C218C" w:rsidRPr="005516CD" w:rsidRDefault="009C218C" w:rsidP="009C218C">
      <w:pPr>
        <w:pStyle w:val="H4"/>
        <w:keepNext w:val="0"/>
        <w:widowControl/>
        <w:tabs>
          <w:tab w:val="left" w:pos="1418"/>
          <w:tab w:val="left" w:pos="1701"/>
        </w:tabs>
        <w:spacing w:before="0" w:after="0"/>
        <w:jc w:val="both"/>
        <w:outlineLvl w:val="9"/>
      </w:pPr>
    </w:p>
    <w:p w14:paraId="5B7B4A91" w14:textId="77777777" w:rsidR="00C25FA5" w:rsidRPr="005516CD" w:rsidRDefault="00C25FA5" w:rsidP="00C25FA5">
      <w:pPr>
        <w:pStyle w:val="Heading2"/>
        <w:numPr>
          <w:ilvl w:val="0"/>
          <w:numId w:val="33"/>
        </w:numPr>
        <w:spacing w:after="0"/>
        <w:ind w:left="0" w:firstLine="0"/>
        <w:rPr>
          <w:rStyle w:val="None"/>
          <w:rFonts w:eastAsia="Calibri"/>
          <w:sz w:val="22"/>
        </w:rPr>
      </w:pPr>
      <w:bookmarkStart w:id="143" w:name="_Toc7003135"/>
      <w:bookmarkStart w:id="144" w:name="_Toc7438651"/>
      <w:bookmarkStart w:id="145" w:name="_Toc7438770"/>
      <w:bookmarkStart w:id="146" w:name="_Toc7535441"/>
      <w:bookmarkStart w:id="147" w:name="_Toc7535989"/>
      <w:bookmarkStart w:id="148" w:name="_Toc7003136"/>
      <w:bookmarkStart w:id="149" w:name="_Toc7438652"/>
      <w:bookmarkStart w:id="150" w:name="_Toc7438771"/>
      <w:bookmarkStart w:id="151" w:name="_Toc7535442"/>
      <w:bookmarkStart w:id="152" w:name="_Toc7535990"/>
      <w:bookmarkStart w:id="153" w:name="_Toc7003137"/>
      <w:bookmarkStart w:id="154" w:name="_Toc7438653"/>
      <w:bookmarkStart w:id="155" w:name="_Toc7438772"/>
      <w:bookmarkStart w:id="156" w:name="_Toc7535443"/>
      <w:bookmarkStart w:id="157" w:name="_Toc7535991"/>
      <w:bookmarkStart w:id="158" w:name="_Toc7003138"/>
      <w:bookmarkStart w:id="159" w:name="_Toc7438654"/>
      <w:bookmarkStart w:id="160" w:name="_Toc7438773"/>
      <w:bookmarkStart w:id="161" w:name="_Toc7535444"/>
      <w:bookmarkStart w:id="162" w:name="_Toc7535992"/>
      <w:bookmarkStart w:id="163" w:name="_Toc7003139"/>
      <w:bookmarkStart w:id="164" w:name="_Toc7438655"/>
      <w:bookmarkStart w:id="165" w:name="_Toc7438774"/>
      <w:bookmarkStart w:id="166" w:name="_Toc7535445"/>
      <w:bookmarkStart w:id="167" w:name="_Toc7535993"/>
      <w:bookmarkStart w:id="168" w:name="_Toc7003140"/>
      <w:bookmarkStart w:id="169" w:name="_Toc7438656"/>
      <w:bookmarkStart w:id="170" w:name="_Toc7438775"/>
      <w:bookmarkStart w:id="171" w:name="_Toc7535446"/>
      <w:bookmarkStart w:id="172" w:name="_Toc7535994"/>
      <w:bookmarkStart w:id="173" w:name="_Toc7003141"/>
      <w:bookmarkStart w:id="174" w:name="_Toc7438657"/>
      <w:bookmarkStart w:id="175" w:name="_Toc7438776"/>
      <w:bookmarkStart w:id="176" w:name="_Toc7535447"/>
      <w:bookmarkStart w:id="177" w:name="_Toc7535995"/>
      <w:bookmarkStart w:id="178" w:name="_Toc7003142"/>
      <w:bookmarkStart w:id="179" w:name="_Toc7438658"/>
      <w:bookmarkStart w:id="180" w:name="_Toc7438777"/>
      <w:bookmarkStart w:id="181" w:name="_Toc7535448"/>
      <w:bookmarkStart w:id="182" w:name="_Toc7535996"/>
      <w:bookmarkStart w:id="183" w:name="_Toc7003143"/>
      <w:bookmarkStart w:id="184" w:name="_Toc7438659"/>
      <w:bookmarkStart w:id="185" w:name="_Toc7438778"/>
      <w:bookmarkStart w:id="186" w:name="_Toc7535449"/>
      <w:bookmarkStart w:id="187" w:name="_Toc7535997"/>
      <w:bookmarkStart w:id="188" w:name="_Toc7003144"/>
      <w:bookmarkStart w:id="189" w:name="_Toc7438660"/>
      <w:bookmarkStart w:id="190" w:name="_Toc7438779"/>
      <w:bookmarkStart w:id="191" w:name="_Toc7535450"/>
      <w:bookmarkStart w:id="192" w:name="_Toc7535998"/>
      <w:bookmarkStart w:id="193" w:name="_Toc7003145"/>
      <w:bookmarkStart w:id="194" w:name="_Toc7438661"/>
      <w:bookmarkStart w:id="195" w:name="_Toc7438780"/>
      <w:bookmarkStart w:id="196" w:name="_Toc7535451"/>
      <w:bookmarkStart w:id="197" w:name="_Toc7535999"/>
      <w:bookmarkStart w:id="198" w:name="_Toc7003146"/>
      <w:bookmarkStart w:id="199" w:name="_Toc7438662"/>
      <w:bookmarkStart w:id="200" w:name="_Toc7438781"/>
      <w:bookmarkStart w:id="201" w:name="_Toc7535452"/>
      <w:bookmarkStart w:id="202" w:name="_Toc7536000"/>
      <w:bookmarkStart w:id="203" w:name="_Toc7003147"/>
      <w:bookmarkStart w:id="204" w:name="_Toc7438663"/>
      <w:bookmarkStart w:id="205" w:name="_Toc7438782"/>
      <w:bookmarkStart w:id="206" w:name="_Toc7535453"/>
      <w:bookmarkStart w:id="207" w:name="_Toc7536001"/>
      <w:bookmarkStart w:id="208" w:name="_Toc7003148"/>
      <w:bookmarkStart w:id="209" w:name="_Toc7438664"/>
      <w:bookmarkStart w:id="210" w:name="_Toc7438783"/>
      <w:bookmarkStart w:id="211" w:name="_Toc7535454"/>
      <w:bookmarkStart w:id="212" w:name="_Toc7536002"/>
      <w:bookmarkStart w:id="213" w:name="_Toc7003149"/>
      <w:bookmarkStart w:id="214" w:name="_Toc7438665"/>
      <w:bookmarkStart w:id="215" w:name="_Toc7438784"/>
      <w:bookmarkStart w:id="216" w:name="_Toc7535455"/>
      <w:bookmarkStart w:id="217" w:name="_Toc7536003"/>
      <w:bookmarkStart w:id="218" w:name="_Toc7003150"/>
      <w:bookmarkStart w:id="219" w:name="_Toc7438666"/>
      <w:bookmarkStart w:id="220" w:name="_Toc7438785"/>
      <w:bookmarkStart w:id="221" w:name="_Toc7535456"/>
      <w:bookmarkStart w:id="222" w:name="_Toc7536004"/>
      <w:bookmarkStart w:id="223" w:name="_Toc7003151"/>
      <w:bookmarkStart w:id="224" w:name="_Toc7438667"/>
      <w:bookmarkStart w:id="225" w:name="_Toc7438786"/>
      <w:bookmarkStart w:id="226" w:name="_Toc7535457"/>
      <w:bookmarkStart w:id="227" w:name="_Toc7536005"/>
      <w:bookmarkStart w:id="228" w:name="_Toc7003152"/>
      <w:bookmarkStart w:id="229" w:name="_Toc7438668"/>
      <w:bookmarkStart w:id="230" w:name="_Toc7438787"/>
      <w:bookmarkStart w:id="231" w:name="_Toc7535458"/>
      <w:bookmarkStart w:id="232" w:name="_Toc7536006"/>
      <w:bookmarkStart w:id="233" w:name="_Toc7003153"/>
      <w:bookmarkStart w:id="234" w:name="_Toc7438669"/>
      <w:bookmarkStart w:id="235" w:name="_Toc7438788"/>
      <w:bookmarkStart w:id="236" w:name="_Toc7535459"/>
      <w:bookmarkStart w:id="237" w:name="_Toc7536007"/>
      <w:bookmarkStart w:id="238" w:name="_Toc7003154"/>
      <w:bookmarkStart w:id="239" w:name="_Toc7438670"/>
      <w:bookmarkStart w:id="240" w:name="_Toc7438789"/>
      <w:bookmarkStart w:id="241" w:name="_Toc7535460"/>
      <w:bookmarkStart w:id="242" w:name="_Toc7536008"/>
      <w:bookmarkStart w:id="243" w:name="_Toc7003155"/>
      <w:bookmarkStart w:id="244" w:name="_Toc7438671"/>
      <w:bookmarkStart w:id="245" w:name="_Toc7438790"/>
      <w:bookmarkStart w:id="246" w:name="_Toc7535461"/>
      <w:bookmarkStart w:id="247" w:name="_Toc7536009"/>
      <w:bookmarkStart w:id="248" w:name="_Toc7003156"/>
      <w:bookmarkStart w:id="249" w:name="_Toc7438672"/>
      <w:bookmarkStart w:id="250" w:name="_Toc7438791"/>
      <w:bookmarkStart w:id="251" w:name="_Toc7535462"/>
      <w:bookmarkStart w:id="252" w:name="_Toc7536010"/>
      <w:bookmarkStart w:id="253" w:name="_Toc7003157"/>
      <w:bookmarkStart w:id="254" w:name="_Toc7438673"/>
      <w:bookmarkStart w:id="255" w:name="_Toc7438792"/>
      <w:bookmarkStart w:id="256" w:name="_Toc7535463"/>
      <w:bookmarkStart w:id="257" w:name="_Toc7536011"/>
      <w:bookmarkStart w:id="258" w:name="_Toc7003158"/>
      <w:bookmarkStart w:id="259" w:name="_Toc7438674"/>
      <w:bookmarkStart w:id="260" w:name="_Toc7438793"/>
      <w:bookmarkStart w:id="261" w:name="_Toc7535464"/>
      <w:bookmarkStart w:id="262" w:name="_Toc7536012"/>
      <w:bookmarkStart w:id="263" w:name="_Toc7003159"/>
      <w:bookmarkStart w:id="264" w:name="_Toc7438675"/>
      <w:bookmarkStart w:id="265" w:name="_Toc7438794"/>
      <w:bookmarkStart w:id="266" w:name="_Toc7535465"/>
      <w:bookmarkStart w:id="267" w:name="_Toc7536013"/>
      <w:bookmarkStart w:id="268" w:name="_Toc7003160"/>
      <w:bookmarkStart w:id="269" w:name="_Toc7438676"/>
      <w:bookmarkStart w:id="270" w:name="_Toc7438795"/>
      <w:bookmarkStart w:id="271" w:name="_Toc7535466"/>
      <w:bookmarkStart w:id="272" w:name="_Toc7536014"/>
      <w:bookmarkStart w:id="273" w:name="_Toc7003161"/>
      <w:bookmarkStart w:id="274" w:name="_Toc7438677"/>
      <w:bookmarkStart w:id="275" w:name="_Toc7438796"/>
      <w:bookmarkStart w:id="276" w:name="_Toc7535467"/>
      <w:bookmarkStart w:id="277" w:name="_Toc7536015"/>
      <w:bookmarkStart w:id="278" w:name="_Toc7003162"/>
      <w:bookmarkStart w:id="279" w:name="_Toc7438678"/>
      <w:bookmarkStart w:id="280" w:name="_Toc7438797"/>
      <w:bookmarkStart w:id="281" w:name="_Toc7535468"/>
      <w:bookmarkStart w:id="282" w:name="_Toc7536016"/>
      <w:bookmarkStart w:id="283" w:name="_Toc7003163"/>
      <w:bookmarkStart w:id="284" w:name="_Toc7438679"/>
      <w:bookmarkStart w:id="285" w:name="_Toc7438798"/>
      <w:bookmarkStart w:id="286" w:name="_Toc7535469"/>
      <w:bookmarkStart w:id="287" w:name="_Toc7536017"/>
      <w:bookmarkStart w:id="288" w:name="_Toc7003164"/>
      <w:bookmarkStart w:id="289" w:name="_Toc7438680"/>
      <w:bookmarkStart w:id="290" w:name="_Toc7438799"/>
      <w:bookmarkStart w:id="291" w:name="_Toc7535470"/>
      <w:bookmarkStart w:id="292" w:name="_Toc7536018"/>
      <w:bookmarkStart w:id="293" w:name="_Toc7003165"/>
      <w:bookmarkStart w:id="294" w:name="_Toc7438681"/>
      <w:bookmarkStart w:id="295" w:name="_Toc7438800"/>
      <w:bookmarkStart w:id="296" w:name="_Toc7535471"/>
      <w:bookmarkStart w:id="297" w:name="_Toc7536019"/>
      <w:bookmarkStart w:id="298" w:name="_Toc7003166"/>
      <w:bookmarkStart w:id="299" w:name="_Toc7438682"/>
      <w:bookmarkStart w:id="300" w:name="_Toc7438801"/>
      <w:bookmarkStart w:id="301" w:name="_Toc7535472"/>
      <w:bookmarkStart w:id="302" w:name="_Toc7536020"/>
      <w:bookmarkStart w:id="303" w:name="_Toc7003167"/>
      <w:bookmarkStart w:id="304" w:name="_Toc7438683"/>
      <w:bookmarkStart w:id="305" w:name="_Toc7438802"/>
      <w:bookmarkStart w:id="306" w:name="_Toc7535473"/>
      <w:bookmarkStart w:id="307" w:name="_Toc7536021"/>
      <w:bookmarkStart w:id="308" w:name="_Toc7003168"/>
      <w:bookmarkStart w:id="309" w:name="_Toc7438684"/>
      <w:bookmarkStart w:id="310" w:name="_Toc7438803"/>
      <w:bookmarkStart w:id="311" w:name="_Toc7535474"/>
      <w:bookmarkStart w:id="312" w:name="_Toc7536022"/>
      <w:bookmarkStart w:id="313" w:name="_Toc7003169"/>
      <w:bookmarkStart w:id="314" w:name="_Toc7438685"/>
      <w:bookmarkStart w:id="315" w:name="_Toc7438804"/>
      <w:bookmarkStart w:id="316" w:name="_Toc7535475"/>
      <w:bookmarkStart w:id="317" w:name="_Toc7536023"/>
      <w:bookmarkStart w:id="318" w:name="_Toc7003170"/>
      <w:bookmarkStart w:id="319" w:name="_Toc7438686"/>
      <w:bookmarkStart w:id="320" w:name="_Toc7438805"/>
      <w:bookmarkStart w:id="321" w:name="_Toc7535476"/>
      <w:bookmarkStart w:id="322" w:name="_Toc7536024"/>
      <w:bookmarkStart w:id="323" w:name="_Toc7003171"/>
      <w:bookmarkStart w:id="324" w:name="_Toc7438687"/>
      <w:bookmarkStart w:id="325" w:name="_Toc7438806"/>
      <w:bookmarkStart w:id="326" w:name="_Toc7535477"/>
      <w:bookmarkStart w:id="327" w:name="_Toc7536025"/>
      <w:bookmarkStart w:id="328" w:name="_Toc7003172"/>
      <w:bookmarkStart w:id="329" w:name="_Toc7438688"/>
      <w:bookmarkStart w:id="330" w:name="_Toc7438807"/>
      <w:bookmarkStart w:id="331" w:name="_Toc7535478"/>
      <w:bookmarkStart w:id="332" w:name="_Toc7536026"/>
      <w:bookmarkStart w:id="333" w:name="_Toc7003173"/>
      <w:bookmarkStart w:id="334" w:name="_Toc7438689"/>
      <w:bookmarkStart w:id="335" w:name="_Toc7438808"/>
      <w:bookmarkStart w:id="336" w:name="_Toc7535479"/>
      <w:bookmarkStart w:id="337" w:name="_Toc7536027"/>
      <w:bookmarkStart w:id="338" w:name="_Toc7003174"/>
      <w:bookmarkStart w:id="339" w:name="_Toc7438690"/>
      <w:bookmarkStart w:id="340" w:name="_Toc7438809"/>
      <w:bookmarkStart w:id="341" w:name="_Toc7535480"/>
      <w:bookmarkStart w:id="342" w:name="_Toc7536028"/>
      <w:bookmarkStart w:id="343" w:name="_Toc7003175"/>
      <w:bookmarkStart w:id="344" w:name="_Toc7438691"/>
      <w:bookmarkStart w:id="345" w:name="_Toc7438810"/>
      <w:bookmarkStart w:id="346" w:name="_Toc7535481"/>
      <w:bookmarkStart w:id="347" w:name="_Toc7536029"/>
      <w:bookmarkStart w:id="348" w:name="_Toc7003176"/>
      <w:bookmarkStart w:id="349" w:name="_Toc7438692"/>
      <w:bookmarkStart w:id="350" w:name="_Toc7438811"/>
      <w:bookmarkStart w:id="351" w:name="_Toc7535482"/>
      <w:bookmarkStart w:id="352" w:name="_Toc7536030"/>
      <w:bookmarkStart w:id="353" w:name="_Toc7003177"/>
      <w:bookmarkStart w:id="354" w:name="_Toc7438693"/>
      <w:bookmarkStart w:id="355" w:name="_Toc7438812"/>
      <w:bookmarkStart w:id="356" w:name="_Toc7535483"/>
      <w:bookmarkStart w:id="357" w:name="_Toc7536031"/>
      <w:bookmarkStart w:id="358" w:name="_Toc7003178"/>
      <w:bookmarkStart w:id="359" w:name="_Toc7438694"/>
      <w:bookmarkStart w:id="360" w:name="_Toc7438813"/>
      <w:bookmarkStart w:id="361" w:name="_Toc7535484"/>
      <w:bookmarkStart w:id="362" w:name="_Toc7536032"/>
      <w:bookmarkStart w:id="363" w:name="_Toc7003179"/>
      <w:bookmarkStart w:id="364" w:name="_Toc7438695"/>
      <w:bookmarkStart w:id="365" w:name="_Toc7438814"/>
      <w:bookmarkStart w:id="366" w:name="_Toc7535485"/>
      <w:bookmarkStart w:id="367" w:name="_Toc7536033"/>
      <w:bookmarkStart w:id="368" w:name="_Toc7003180"/>
      <w:bookmarkStart w:id="369" w:name="_Toc7438696"/>
      <w:bookmarkStart w:id="370" w:name="_Toc7438815"/>
      <w:bookmarkStart w:id="371" w:name="_Toc7535486"/>
      <w:bookmarkStart w:id="372" w:name="_Toc7536034"/>
      <w:bookmarkStart w:id="373" w:name="_Toc7003181"/>
      <w:bookmarkStart w:id="374" w:name="_Toc7438697"/>
      <w:bookmarkStart w:id="375" w:name="_Toc7438816"/>
      <w:bookmarkStart w:id="376" w:name="_Toc7535487"/>
      <w:bookmarkStart w:id="377" w:name="_Toc7536035"/>
      <w:bookmarkStart w:id="378" w:name="_Toc7003182"/>
      <w:bookmarkStart w:id="379" w:name="_Toc7438698"/>
      <w:bookmarkStart w:id="380" w:name="_Toc7438817"/>
      <w:bookmarkStart w:id="381" w:name="_Toc7535488"/>
      <w:bookmarkStart w:id="382" w:name="_Toc7536036"/>
      <w:bookmarkStart w:id="383" w:name="_Toc7003183"/>
      <w:bookmarkStart w:id="384" w:name="_Toc7438699"/>
      <w:bookmarkStart w:id="385" w:name="_Toc7438818"/>
      <w:bookmarkStart w:id="386" w:name="_Toc7535489"/>
      <w:bookmarkStart w:id="387" w:name="_Toc7536037"/>
      <w:bookmarkStart w:id="388" w:name="_Toc7003184"/>
      <w:bookmarkStart w:id="389" w:name="_Toc7438700"/>
      <w:bookmarkStart w:id="390" w:name="_Toc7438819"/>
      <w:bookmarkStart w:id="391" w:name="_Toc7535490"/>
      <w:bookmarkStart w:id="392" w:name="_Toc7536038"/>
      <w:bookmarkStart w:id="393" w:name="_Toc7003185"/>
      <w:bookmarkStart w:id="394" w:name="_Toc7438701"/>
      <w:bookmarkStart w:id="395" w:name="_Toc7438820"/>
      <w:bookmarkStart w:id="396" w:name="_Toc7535491"/>
      <w:bookmarkStart w:id="397" w:name="_Toc7536039"/>
      <w:bookmarkStart w:id="398" w:name="_Toc7003186"/>
      <w:bookmarkStart w:id="399" w:name="_Toc7438702"/>
      <w:bookmarkStart w:id="400" w:name="_Toc7438821"/>
      <w:bookmarkStart w:id="401" w:name="_Toc7535492"/>
      <w:bookmarkStart w:id="402" w:name="_Toc7536040"/>
      <w:bookmarkStart w:id="403" w:name="_Toc7003187"/>
      <w:bookmarkStart w:id="404" w:name="_Toc7438703"/>
      <w:bookmarkStart w:id="405" w:name="_Toc7438822"/>
      <w:bookmarkStart w:id="406" w:name="_Toc7535493"/>
      <w:bookmarkStart w:id="407" w:name="_Toc7536041"/>
      <w:bookmarkStart w:id="408" w:name="_Toc7003188"/>
      <w:bookmarkStart w:id="409" w:name="_Toc7438704"/>
      <w:bookmarkStart w:id="410" w:name="_Toc7438823"/>
      <w:bookmarkStart w:id="411" w:name="_Toc7535494"/>
      <w:bookmarkStart w:id="412" w:name="_Toc7536042"/>
      <w:bookmarkStart w:id="413" w:name="_Toc7003189"/>
      <w:bookmarkStart w:id="414" w:name="_Toc7438705"/>
      <w:bookmarkStart w:id="415" w:name="_Toc7438824"/>
      <w:bookmarkStart w:id="416" w:name="_Toc7535495"/>
      <w:bookmarkStart w:id="417" w:name="_Toc7536043"/>
      <w:bookmarkStart w:id="418" w:name="_Toc7003190"/>
      <w:bookmarkStart w:id="419" w:name="_Toc7438706"/>
      <w:bookmarkStart w:id="420" w:name="_Toc7438825"/>
      <w:bookmarkStart w:id="421" w:name="_Toc7535496"/>
      <w:bookmarkStart w:id="422" w:name="_Toc7536044"/>
      <w:bookmarkStart w:id="423" w:name="_Toc7003191"/>
      <w:bookmarkStart w:id="424" w:name="_Toc7438707"/>
      <w:bookmarkStart w:id="425" w:name="_Toc7438826"/>
      <w:bookmarkStart w:id="426" w:name="_Toc7535497"/>
      <w:bookmarkStart w:id="427" w:name="_Toc7536045"/>
      <w:bookmarkStart w:id="428" w:name="_Toc7003192"/>
      <w:bookmarkStart w:id="429" w:name="_Toc7438708"/>
      <w:bookmarkStart w:id="430" w:name="_Toc7438827"/>
      <w:bookmarkStart w:id="431" w:name="_Toc7535498"/>
      <w:bookmarkStart w:id="432" w:name="_Toc7536046"/>
      <w:bookmarkStart w:id="433" w:name="_Toc7003193"/>
      <w:bookmarkStart w:id="434" w:name="_Toc7438709"/>
      <w:bookmarkStart w:id="435" w:name="_Toc7438828"/>
      <w:bookmarkStart w:id="436" w:name="_Toc7535499"/>
      <w:bookmarkStart w:id="437" w:name="_Toc7536047"/>
      <w:bookmarkStart w:id="438" w:name="_Toc7003194"/>
      <w:bookmarkStart w:id="439" w:name="_Toc7438710"/>
      <w:bookmarkStart w:id="440" w:name="_Toc7438829"/>
      <w:bookmarkStart w:id="441" w:name="_Toc7535500"/>
      <w:bookmarkStart w:id="442" w:name="_Toc7536048"/>
      <w:bookmarkStart w:id="443" w:name="_Toc7003195"/>
      <w:bookmarkStart w:id="444" w:name="_Toc7438711"/>
      <w:bookmarkStart w:id="445" w:name="_Toc7438830"/>
      <w:bookmarkStart w:id="446" w:name="_Toc7535501"/>
      <w:bookmarkStart w:id="447" w:name="_Toc7536049"/>
      <w:bookmarkStart w:id="448" w:name="_Ref485801762"/>
      <w:bookmarkStart w:id="449" w:name="_Toc8933117"/>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r w:rsidRPr="005516CD">
        <w:rPr>
          <w:rStyle w:val="None"/>
          <w:rFonts w:asciiTheme="majorHAnsi" w:eastAsia="Calibri" w:hAnsiTheme="majorHAnsi" w:cstheme="majorHAnsi"/>
          <w:sz w:val="22"/>
        </w:rPr>
        <w:t>STAKEHOLDER ENGAGEMENT PLAN FOR THE IMPLEMENTATION PHASE</w:t>
      </w:r>
      <w:bookmarkEnd w:id="448"/>
      <w:bookmarkEnd w:id="449"/>
    </w:p>
    <w:p w14:paraId="23E8916B" w14:textId="77777777" w:rsidR="003646F2" w:rsidRPr="005516CD" w:rsidRDefault="003646F2" w:rsidP="003646F2">
      <w:pPr>
        <w:pStyle w:val="Default"/>
        <w:rPr>
          <w:rFonts w:ascii="Calibri" w:hAnsi="Calibri" w:cs="Calibri"/>
          <w:b/>
          <w:sz w:val="28"/>
          <w:szCs w:val="32"/>
        </w:rPr>
      </w:pPr>
    </w:p>
    <w:p w14:paraId="2C1F6933" w14:textId="77777777" w:rsidR="003646F2" w:rsidRPr="005516CD" w:rsidRDefault="003646F2" w:rsidP="003646F2">
      <w:pPr>
        <w:pStyle w:val="Default"/>
        <w:rPr>
          <w:rFonts w:ascii="Calibri" w:hAnsi="Calibri" w:cs="Calibri"/>
          <w:b/>
          <w:sz w:val="23"/>
          <w:szCs w:val="23"/>
        </w:rPr>
      </w:pPr>
      <w:r w:rsidRPr="005516CD">
        <w:rPr>
          <w:rFonts w:ascii="Calibri" w:hAnsi="Calibri" w:cs="Calibri"/>
          <w:b/>
          <w:sz w:val="23"/>
          <w:szCs w:val="23"/>
        </w:rPr>
        <w:t xml:space="preserve">I. Introduction </w:t>
      </w:r>
    </w:p>
    <w:p w14:paraId="4C138D43"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One of the instruments of the United Nations Development </w:t>
      </w:r>
      <w:proofErr w:type="spellStart"/>
      <w:r w:rsidRPr="005516CD">
        <w:rPr>
          <w:rFonts w:ascii="Calibri" w:hAnsi="Calibri" w:cs="Calibri"/>
          <w:sz w:val="22"/>
          <w:szCs w:val="22"/>
        </w:rPr>
        <w:t>Programme's</w:t>
      </w:r>
      <w:proofErr w:type="spellEnd"/>
      <w:r w:rsidRPr="005516CD">
        <w:rPr>
          <w:rFonts w:ascii="Calibri" w:hAnsi="Calibri" w:cs="Calibri"/>
          <w:sz w:val="22"/>
          <w:szCs w:val="22"/>
        </w:rPr>
        <w:t xml:space="preserve"> (UNDP) social and environmental clarification process, as well as a key element of the Global Environment Facility (GEF) project design, is a consultation process and the development of a stakeholder engagement plan. These tools aim to enable full, effective and inclusive engagement of stakeholders, including national and local government authorities and local communities, throughout the project cycle. </w:t>
      </w:r>
    </w:p>
    <w:p w14:paraId="251F24F9"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The objective of a strong stakeholder engagement plan is to provide information that can inform project design by describing mechanisms that will facilitate disclosure and essential communication procedures throughout the implementation of the project. The document includes a plan for iterative consultations and indicates how the project sites and activities were selected through a participatory process with national and local stakeholders. The consultation process was relevant both for the design of the project's physical interventions (activities to rehabilitate productive wooded ecosystems such as cocoa and coffee) and for other project interventions (capacity building on biodiversity management, diversification of agricultural activities, knowledge management, etc.) for which stakeholder participation is particularly important. </w:t>
      </w:r>
    </w:p>
    <w:p w14:paraId="36DA31EF"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As part of the project preparation and in accordance with the UNDP social and environmental assessment procedure, an environmental and social risk analysis was undertaken. This risk analysis determined that the project has an average moderate risk. An Environmental and Social Management Framework (ESMF) has also been prepared. Therefore, the stakeholder consultation process was also conducted to validate the risks identified in the environmental and social assessment process, as well as to help develop relevant and appropriate mitigation and management plans based on the local context, and to design the project application mechanism. </w:t>
      </w:r>
    </w:p>
    <w:p w14:paraId="6BBA709E"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The conclusions of the stakeholder consultation and analysis below form the basis of the engagement plan, which describes how stakeholder participation in the project will take place during its implementation. The stakeholder engagement plan also takes into account gender issues, considering the equitable representation of women and men. It describes the project context in terms of gender and proposes specific mechanisms to ensure the full and effective participation of women and the consideration of their interests. </w:t>
      </w:r>
    </w:p>
    <w:p w14:paraId="6A7F5296"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Project Management Unit (PMU), in collaboration with the United Nations Development Programme (UNDP) and the Food and Agriculture Organization of the United Nations (FAO), and in particular the Head of Guarantees and Gender Equality, will ensure the inclusive participation of the stakeholders involved, </w:t>
      </w:r>
    </w:p>
    <w:p w14:paraId="319021A1"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with particular attention to the participation of women and other groups with unique accessibility needs (older people, children, disabled). </w:t>
      </w:r>
    </w:p>
    <w:p w14:paraId="0166EEDD" w14:textId="77777777" w:rsidR="003646F2" w:rsidRPr="005516CD" w:rsidRDefault="003646F2" w:rsidP="003646F2">
      <w:pPr>
        <w:pStyle w:val="Default"/>
        <w:spacing w:after="120"/>
        <w:rPr>
          <w:sz w:val="22"/>
          <w:szCs w:val="22"/>
        </w:rPr>
      </w:pPr>
      <w:r w:rsidRPr="005516CD">
        <w:rPr>
          <w:rFonts w:ascii="Calibri" w:hAnsi="Calibri" w:cs="Calibri"/>
          <w:sz w:val="22"/>
          <w:szCs w:val="22"/>
        </w:rPr>
        <w:t>The broad and inclusive participation strategy described herein covers the entire project cycle and includes (</w:t>
      </w:r>
      <w:proofErr w:type="spellStart"/>
      <w:r w:rsidRPr="005516CD">
        <w:rPr>
          <w:rFonts w:ascii="Calibri" w:hAnsi="Calibri" w:cs="Calibri"/>
          <w:sz w:val="22"/>
          <w:szCs w:val="22"/>
        </w:rPr>
        <w:t>i</w:t>
      </w:r>
      <w:proofErr w:type="spellEnd"/>
      <w:r w:rsidRPr="005516CD">
        <w:rPr>
          <w:rFonts w:ascii="Calibri" w:hAnsi="Calibri" w:cs="Calibri"/>
          <w:sz w:val="22"/>
          <w:szCs w:val="22"/>
        </w:rPr>
        <w:t xml:space="preserve">) identification of actors; (ii) dissemination of information; (iii) consultation; and (iv) procedural complaints and grievances. </w:t>
      </w:r>
    </w:p>
    <w:p w14:paraId="64E651CD"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The scope of a stakeholder engagement strategy depends on the type of project, its interventions and impacts, and the direct or indirect involvement of stakeholders. The project "Sustainable management of productive wooded landscapes for biodiversity conservation" is a particularly participatory project. Outcome 1 focuses on decision support tools to optimize the configuration of landscape features according to spatial aspects of connectivity, biological importance, production potential, vulnerability and flows of ecosystem services; output 2 is dedicated to Enhanced Service Delivery Systems for technical assistance; and output 3 is based on knowledge management strategies and their dissemination/scaling. </w:t>
      </w:r>
    </w:p>
    <w:p w14:paraId="72DD042E" w14:textId="77777777" w:rsidR="003646F2" w:rsidRPr="005516CD" w:rsidRDefault="003646F2" w:rsidP="003646F2">
      <w:pPr>
        <w:pStyle w:val="Default"/>
        <w:keepNext/>
        <w:rPr>
          <w:rFonts w:ascii="Calibri" w:hAnsi="Calibri" w:cs="Calibri"/>
          <w:b/>
          <w:sz w:val="23"/>
          <w:szCs w:val="23"/>
        </w:rPr>
      </w:pPr>
      <w:r w:rsidRPr="005516CD">
        <w:rPr>
          <w:rFonts w:ascii="Calibri" w:hAnsi="Calibri" w:cs="Calibri"/>
          <w:b/>
          <w:sz w:val="23"/>
          <w:szCs w:val="23"/>
        </w:rPr>
        <w:t xml:space="preserve">II. Objectives and requirements for stakeholder engagement </w:t>
      </w:r>
    </w:p>
    <w:p w14:paraId="23F654CB"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The Stakeholder Engagement Plan (PEPP) is based on a dynamic and evolving process from identification to project implementation. In particular, it will take into account the general categories of actors that can be refined into subcategories (e.g. by geographical area, technical specificity, etc.). </w:t>
      </w:r>
    </w:p>
    <w:p w14:paraId="3C1FC1CB"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This document has been prepared to meet the requirements and commitment of stakeholders. It is organized as follows: </w:t>
      </w:r>
    </w:p>
    <w:p w14:paraId="295A5E9E"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First, a summary of the stakeholder consultation activities that took place during the project design process is presented in </w:t>
      </w:r>
      <w:r w:rsidRPr="005516CD">
        <w:rPr>
          <w:rFonts w:ascii="Calibri" w:hAnsi="Calibri" w:cs="Calibri"/>
          <w:sz w:val="23"/>
          <w:szCs w:val="23"/>
        </w:rPr>
        <w:t>Section 3</w:t>
      </w:r>
      <w:r w:rsidRPr="005516CD">
        <w:rPr>
          <w:rFonts w:ascii="Calibri" w:hAnsi="Calibri" w:cs="Calibri"/>
          <w:sz w:val="22"/>
          <w:szCs w:val="22"/>
        </w:rPr>
        <w:t xml:space="preserve">. A stakeholder analysis is provided in </w:t>
      </w:r>
      <w:r w:rsidRPr="005516CD">
        <w:rPr>
          <w:rFonts w:ascii="Calibri" w:hAnsi="Calibri" w:cs="Calibri"/>
          <w:sz w:val="23"/>
          <w:szCs w:val="23"/>
        </w:rPr>
        <w:t>Section 4</w:t>
      </w:r>
      <w:r w:rsidRPr="005516CD">
        <w:rPr>
          <w:rFonts w:ascii="Calibri" w:hAnsi="Calibri" w:cs="Calibri"/>
          <w:sz w:val="22"/>
          <w:szCs w:val="22"/>
        </w:rPr>
        <w:t xml:space="preserve">, with a description of all relevant stakeholders and their roles. </w:t>
      </w:r>
      <w:r w:rsidRPr="005516CD">
        <w:rPr>
          <w:rFonts w:ascii="Calibri" w:hAnsi="Calibri" w:cs="Calibri"/>
          <w:sz w:val="23"/>
          <w:szCs w:val="23"/>
        </w:rPr>
        <w:t xml:space="preserve">Section 5 </w:t>
      </w:r>
      <w:r w:rsidRPr="005516CD">
        <w:rPr>
          <w:rFonts w:ascii="Calibri" w:hAnsi="Calibri" w:cs="Calibri"/>
          <w:sz w:val="22"/>
          <w:szCs w:val="22"/>
        </w:rPr>
        <w:t xml:space="preserve">presents social inclusion considerations and </w:t>
      </w:r>
      <w:r w:rsidRPr="005516CD">
        <w:rPr>
          <w:rFonts w:ascii="Calibri" w:hAnsi="Calibri" w:cs="Calibri"/>
          <w:sz w:val="23"/>
          <w:szCs w:val="23"/>
        </w:rPr>
        <w:t xml:space="preserve">section 6 </w:t>
      </w:r>
      <w:r w:rsidRPr="005516CD">
        <w:rPr>
          <w:rFonts w:ascii="Calibri" w:hAnsi="Calibri" w:cs="Calibri"/>
          <w:sz w:val="22"/>
          <w:szCs w:val="22"/>
        </w:rPr>
        <w:t>presents</w:t>
      </w:r>
      <w:r w:rsidRPr="005516CD">
        <w:rPr>
          <w:rFonts w:ascii="Calibri" w:hAnsi="Calibri" w:cs="Calibri"/>
          <w:sz w:val="23"/>
          <w:szCs w:val="23"/>
        </w:rPr>
        <w:t xml:space="preserve"> </w:t>
      </w:r>
      <w:r w:rsidRPr="005516CD">
        <w:rPr>
          <w:rFonts w:ascii="Calibri" w:hAnsi="Calibri" w:cs="Calibri"/>
          <w:sz w:val="22"/>
          <w:szCs w:val="22"/>
        </w:rPr>
        <w:t xml:space="preserve">the stakeholder participation plan. </w:t>
      </w:r>
      <w:r w:rsidRPr="005516CD">
        <w:rPr>
          <w:rFonts w:ascii="Calibri" w:hAnsi="Calibri" w:cs="Calibri"/>
          <w:sz w:val="23"/>
          <w:szCs w:val="23"/>
        </w:rPr>
        <w:t xml:space="preserve">Section 7 </w:t>
      </w:r>
      <w:r w:rsidRPr="005516CD">
        <w:rPr>
          <w:rFonts w:ascii="Calibri" w:hAnsi="Calibri" w:cs="Calibri"/>
          <w:sz w:val="22"/>
          <w:szCs w:val="22"/>
        </w:rPr>
        <w:t>provides a brief overview of the project's dispute resolution mechanism, which can also be found in (</w:t>
      </w:r>
      <w:r w:rsidRPr="005516CD">
        <w:rPr>
          <w:rFonts w:ascii="Calibri" w:hAnsi="Calibri" w:cs="Calibri"/>
          <w:sz w:val="23"/>
          <w:szCs w:val="23"/>
        </w:rPr>
        <w:t>Appendix X</w:t>
      </w:r>
      <w:r w:rsidRPr="005516CD">
        <w:rPr>
          <w:rFonts w:ascii="Calibri" w:hAnsi="Calibri" w:cs="Calibri"/>
          <w:sz w:val="22"/>
          <w:szCs w:val="22"/>
        </w:rPr>
        <w:t xml:space="preserve">). Finally, </w:t>
      </w:r>
      <w:r w:rsidRPr="005516CD">
        <w:rPr>
          <w:rFonts w:ascii="Calibri" w:hAnsi="Calibri" w:cs="Calibri"/>
          <w:sz w:val="23"/>
          <w:szCs w:val="23"/>
        </w:rPr>
        <w:t xml:space="preserve">Section 8 </w:t>
      </w:r>
      <w:r w:rsidRPr="005516CD">
        <w:rPr>
          <w:rFonts w:ascii="Calibri" w:hAnsi="Calibri" w:cs="Calibri"/>
          <w:sz w:val="22"/>
          <w:szCs w:val="22"/>
        </w:rPr>
        <w:t xml:space="preserve">provides documentation in support of the SEP by referring to UNDP social and environmental standards and </w:t>
      </w:r>
      <w:r w:rsidRPr="005516CD">
        <w:rPr>
          <w:rFonts w:ascii="Calibri" w:hAnsi="Calibri" w:cs="Calibri"/>
          <w:sz w:val="23"/>
          <w:szCs w:val="23"/>
        </w:rPr>
        <w:t xml:space="preserve">Section 9 </w:t>
      </w:r>
      <w:r w:rsidRPr="005516CD">
        <w:rPr>
          <w:rFonts w:ascii="Calibri" w:hAnsi="Calibri" w:cs="Calibri"/>
          <w:sz w:val="22"/>
          <w:szCs w:val="22"/>
        </w:rPr>
        <w:t xml:space="preserve">to the stakeholder analysis provided in </w:t>
      </w:r>
      <w:r w:rsidRPr="005516CD">
        <w:rPr>
          <w:rFonts w:ascii="Calibri" w:hAnsi="Calibri" w:cs="Calibri"/>
          <w:sz w:val="23"/>
          <w:szCs w:val="23"/>
        </w:rPr>
        <w:t xml:space="preserve">Section 4 </w:t>
      </w:r>
      <w:r w:rsidRPr="005516CD">
        <w:rPr>
          <w:rFonts w:ascii="Calibri" w:hAnsi="Calibri" w:cs="Calibri"/>
          <w:sz w:val="22"/>
          <w:szCs w:val="22"/>
        </w:rPr>
        <w:t xml:space="preserve">by presenting the stakeholder mapping. </w:t>
      </w:r>
    </w:p>
    <w:p w14:paraId="0AEC8D06" w14:textId="77777777" w:rsidR="003646F2" w:rsidRPr="005516CD" w:rsidRDefault="003646F2" w:rsidP="003646F2">
      <w:pPr>
        <w:pStyle w:val="Default"/>
        <w:rPr>
          <w:rFonts w:ascii="Calibri" w:hAnsi="Calibri" w:cs="Calibri"/>
          <w:b/>
          <w:sz w:val="23"/>
          <w:szCs w:val="23"/>
        </w:rPr>
      </w:pPr>
      <w:r w:rsidRPr="005516CD">
        <w:rPr>
          <w:rFonts w:ascii="Calibri" w:hAnsi="Calibri" w:cs="Calibri"/>
          <w:b/>
          <w:sz w:val="23"/>
          <w:szCs w:val="23"/>
        </w:rPr>
        <w:t xml:space="preserve">III. Previous stakeholder engagement activities </w:t>
      </w:r>
    </w:p>
    <w:p w14:paraId="2FEAC672"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A wide range of stakeholders at national, departmental, communal and local levels were consulted to develop this proposal, including key government actors involved in environmental management, biodiversity protection, and the project design is aligned with Haiti's overall plan for biodiversity management and protection. In addition, various stakeholders were consulted, including locally involved communities, institutional actors from the environment, planning, education (including academia), economic sectors and project-related services such as environment and agriculture, cocoa and coffee farming cooperatives, forestry and representatives of community-based organizations and civil society organizations. </w:t>
      </w:r>
    </w:p>
    <w:p w14:paraId="5CCBBDC8"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These consultations aimed to: </w:t>
      </w:r>
    </w:p>
    <w:p w14:paraId="0F3C8E9B"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sz w:val="22"/>
          <w:szCs w:val="22"/>
        </w:rPr>
      </w:pPr>
      <w:r w:rsidRPr="005516CD">
        <w:rPr>
          <w:rFonts w:ascii="Calibri" w:hAnsi="Calibri" w:cs="Calibri"/>
          <w:sz w:val="22"/>
          <w:szCs w:val="22"/>
        </w:rPr>
        <w:t xml:space="preserve">Understand and identify stakeholders' perceptions of biodiversity and the role of ecosystem health in protecting and conserving biodiversity; </w:t>
      </w:r>
    </w:p>
    <w:p w14:paraId="213787D5"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sz w:val="22"/>
          <w:szCs w:val="22"/>
        </w:rPr>
      </w:pPr>
      <w:r w:rsidRPr="005516CD">
        <w:rPr>
          <w:rFonts w:ascii="Calibri" w:hAnsi="Calibri" w:cs="Calibri"/>
          <w:sz w:val="22"/>
          <w:szCs w:val="22"/>
        </w:rPr>
        <w:t xml:space="preserve">To integrate stakeholders' views and suggestions on project activities for project design, validate various types of interventions, including adaptation protocols based on the forested productive systems ultimately selected for the project; </w:t>
      </w:r>
    </w:p>
    <w:p w14:paraId="6A62C0B5"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sz w:val="22"/>
          <w:szCs w:val="22"/>
        </w:rPr>
      </w:pPr>
      <w:r w:rsidRPr="005516CD">
        <w:rPr>
          <w:rFonts w:ascii="Calibri" w:hAnsi="Calibri" w:cs="Calibri"/>
          <w:sz w:val="22"/>
          <w:szCs w:val="22"/>
        </w:rPr>
        <w:t xml:space="preserve">Identify and assess the possible social and environmental risks/impacts on their communities during the implementation of project activities; </w:t>
      </w:r>
    </w:p>
    <w:p w14:paraId="6987C0C9"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sz w:val="22"/>
          <w:szCs w:val="22"/>
        </w:rPr>
      </w:pPr>
      <w:r w:rsidRPr="005516CD">
        <w:rPr>
          <w:rFonts w:ascii="Calibri" w:hAnsi="Calibri" w:cs="Calibri"/>
          <w:sz w:val="22"/>
          <w:szCs w:val="22"/>
        </w:rPr>
        <w:t xml:space="preserve">Identify / Confirm the roles of stakeholders in the implementation of the project; </w:t>
      </w:r>
    </w:p>
    <w:p w14:paraId="17FBC17A"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rFonts w:ascii="Calibri" w:hAnsi="Calibri" w:cs="Calibri"/>
          <w:sz w:val="22"/>
          <w:szCs w:val="22"/>
        </w:rPr>
      </w:pPr>
      <w:r w:rsidRPr="005516CD">
        <w:rPr>
          <w:rFonts w:ascii="Calibri" w:hAnsi="Calibri" w:cs="Calibri"/>
          <w:sz w:val="22"/>
          <w:szCs w:val="22"/>
        </w:rPr>
        <w:t xml:space="preserve">Identify other obstacles and opportunities. </w:t>
      </w:r>
    </w:p>
    <w:p w14:paraId="303A32B9" w14:textId="77777777" w:rsidR="003646F2" w:rsidRPr="005516CD" w:rsidRDefault="003646F2" w:rsidP="003646F2">
      <w:pPr>
        <w:pStyle w:val="Default"/>
        <w:rPr>
          <w:sz w:val="22"/>
          <w:szCs w:val="22"/>
        </w:rPr>
      </w:pPr>
    </w:p>
    <w:p w14:paraId="43B8AF09"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The consultations were conducted in five main stages, as described below. Overall, the consultation activities were successful, with a high level of active participation and engagement, demonstrating the participation and interest of stakeholders in the implementation of the project. </w:t>
      </w:r>
    </w:p>
    <w:p w14:paraId="1F1FBF38"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The first stage of the consultations consisted in a complete mapping of the actors involved in the project, identifying their functions and powers along different axes (government, socio-cultural and economic, regulatory and management, information and knowledge management) related to the associated wooded productive landscapes systems. This exercise provided an overview of the actors for each component of the proposed project, their interrelationships and key functions (see Section 9). </w:t>
      </w:r>
    </w:p>
    <w:p w14:paraId="1FF77DBE"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The second phase was devoted to community outreach activities to describe the participant consultation process, including its phases, methodology and target audience. This information dissemination phase enabled local government actors and community stakeholders to build the capacity to manage, maintain and replicate the approach proposed by the project. </w:t>
      </w:r>
    </w:p>
    <w:p w14:paraId="749FB6EA"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The third step was to develop an organizational and methodological plan for the consultation instruments and the application of these tools. The consultations were conducted using various instruments and modalities, including participatory mapping, field visits, formal meetings / discussion groups, electronic and telephone communication and a national consultation workshop held on May 16, 2018 at Hotel Montana in </w:t>
      </w:r>
      <w:proofErr w:type="spellStart"/>
      <w:r w:rsidRPr="005516CD">
        <w:rPr>
          <w:rFonts w:ascii="Calibri" w:hAnsi="Calibri" w:cs="Calibri"/>
          <w:sz w:val="22"/>
          <w:szCs w:val="22"/>
        </w:rPr>
        <w:t>Pétion</w:t>
      </w:r>
      <w:proofErr w:type="spellEnd"/>
      <w:r w:rsidRPr="005516CD">
        <w:rPr>
          <w:rFonts w:ascii="Calibri" w:hAnsi="Calibri" w:cs="Calibri"/>
          <w:sz w:val="22"/>
          <w:szCs w:val="22"/>
        </w:rPr>
        <w:t xml:space="preserve">-Ville, to validate the approach and ensure territorial ownership. Surveys were also conducted in three departments (Artibonite, North and North-East) to obtain information on the views and interests of stakeholders regarding the project (see summary of this preliminary information in section 10). </w:t>
      </w:r>
    </w:p>
    <w:p w14:paraId="2E39277E"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The fourth step included the analysis and development of the results, identifying key stakeholders and community members who were committed and motivated to participate in the project. </w:t>
      </w:r>
    </w:p>
    <w:p w14:paraId="61ACE99C"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The last step focused on integrating the suggestions and results of the public consultation into the project design and risk assessment. The tools and information from the six stages of public consultations were used to develop an integrated stakeholder engagement plan for project implementation, as described in Section 6. </w:t>
      </w:r>
    </w:p>
    <w:p w14:paraId="418AE189"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following instruments were used throughout the stakeholder consultation process: </w:t>
      </w:r>
    </w:p>
    <w:p w14:paraId="07FB12C6"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sz w:val="22"/>
          <w:szCs w:val="22"/>
        </w:rPr>
      </w:pPr>
      <w:r w:rsidRPr="005516CD">
        <w:rPr>
          <w:rFonts w:ascii="Calibri" w:hAnsi="Calibri" w:cs="Calibri"/>
          <w:i/>
          <w:iCs/>
          <w:sz w:val="23"/>
          <w:szCs w:val="23"/>
        </w:rPr>
        <w:t>Observation</w:t>
      </w:r>
      <w:r w:rsidRPr="005516CD">
        <w:rPr>
          <w:rFonts w:ascii="Calibri" w:hAnsi="Calibri" w:cs="Calibri"/>
          <w:sz w:val="22"/>
          <w:szCs w:val="22"/>
        </w:rPr>
        <w:t xml:space="preserve">: Observations related to situations, </w:t>
      </w:r>
      <w:proofErr w:type="spellStart"/>
      <w:r w:rsidRPr="005516CD">
        <w:rPr>
          <w:rFonts w:ascii="Calibri" w:hAnsi="Calibri" w:cs="Calibri"/>
          <w:sz w:val="22"/>
          <w:szCs w:val="22"/>
        </w:rPr>
        <w:t>behaviours</w:t>
      </w:r>
      <w:proofErr w:type="spellEnd"/>
      <w:r w:rsidRPr="005516CD">
        <w:rPr>
          <w:rFonts w:ascii="Calibri" w:hAnsi="Calibri" w:cs="Calibri"/>
          <w:sz w:val="22"/>
          <w:szCs w:val="22"/>
        </w:rPr>
        <w:t xml:space="preserve"> and social actions that occur in the context of the Haitian communities concerned were recorded. </w:t>
      </w:r>
    </w:p>
    <w:p w14:paraId="460BECC7"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sz w:val="22"/>
          <w:szCs w:val="22"/>
        </w:rPr>
      </w:pPr>
      <w:r w:rsidRPr="005516CD">
        <w:rPr>
          <w:rFonts w:ascii="Calibri" w:hAnsi="Calibri" w:cs="Calibri"/>
          <w:i/>
          <w:iCs/>
          <w:sz w:val="23"/>
          <w:szCs w:val="23"/>
        </w:rPr>
        <w:t>Triangulation</w:t>
      </w:r>
      <w:r w:rsidRPr="005516CD">
        <w:rPr>
          <w:rFonts w:ascii="Calibri" w:hAnsi="Calibri" w:cs="Calibri"/>
          <w:sz w:val="22"/>
          <w:szCs w:val="22"/>
        </w:rPr>
        <w:t xml:space="preserve">: Triangulation of sources, techniques and informants was used to increase validity and reliability. </w:t>
      </w:r>
    </w:p>
    <w:p w14:paraId="528766A2"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sz w:val="22"/>
          <w:szCs w:val="22"/>
        </w:rPr>
      </w:pPr>
      <w:r w:rsidRPr="005516CD">
        <w:rPr>
          <w:rFonts w:ascii="Calibri" w:hAnsi="Calibri" w:cs="Calibri"/>
          <w:i/>
          <w:iCs/>
          <w:sz w:val="23"/>
          <w:szCs w:val="23"/>
        </w:rPr>
        <w:t>Documentation analysis</w:t>
      </w:r>
      <w:r w:rsidRPr="005516CD">
        <w:rPr>
          <w:rFonts w:ascii="Calibri" w:hAnsi="Calibri" w:cs="Calibri"/>
          <w:sz w:val="22"/>
          <w:szCs w:val="22"/>
        </w:rPr>
        <w:t xml:space="preserve">: The compilation, selection and analysis of documents as reference sources were used, with an emphasis on reports and documents produced by academic institutions, the results of previous projects in Haiti. </w:t>
      </w:r>
    </w:p>
    <w:p w14:paraId="2F79349C"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sz w:val="22"/>
          <w:szCs w:val="22"/>
        </w:rPr>
      </w:pPr>
      <w:r w:rsidRPr="005516CD">
        <w:rPr>
          <w:rFonts w:ascii="Calibri" w:hAnsi="Calibri" w:cs="Calibri"/>
          <w:i/>
          <w:iCs/>
          <w:sz w:val="23"/>
          <w:szCs w:val="23"/>
        </w:rPr>
        <w:t>Interviews</w:t>
      </w:r>
      <w:r w:rsidRPr="005516CD">
        <w:rPr>
          <w:rFonts w:ascii="Calibri" w:hAnsi="Calibri" w:cs="Calibri"/>
          <w:sz w:val="22"/>
          <w:szCs w:val="22"/>
        </w:rPr>
        <w:t xml:space="preserve">: Additional interviews, using structured and unstructured questions, were used to obtain additional information. </w:t>
      </w:r>
    </w:p>
    <w:p w14:paraId="57E423C1"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sz w:val="22"/>
          <w:szCs w:val="22"/>
        </w:rPr>
      </w:pPr>
      <w:r w:rsidRPr="005516CD">
        <w:rPr>
          <w:rFonts w:ascii="Calibri" w:hAnsi="Calibri" w:cs="Calibri"/>
          <w:i/>
          <w:iCs/>
          <w:sz w:val="23"/>
          <w:szCs w:val="23"/>
        </w:rPr>
        <w:t>Focus Groups</w:t>
      </w:r>
      <w:r w:rsidRPr="005516CD">
        <w:rPr>
          <w:rFonts w:ascii="Calibri" w:hAnsi="Calibri" w:cs="Calibri"/>
          <w:sz w:val="22"/>
          <w:szCs w:val="22"/>
        </w:rPr>
        <w:t xml:space="preserve">: Several </w:t>
      </w:r>
      <w:r w:rsidRPr="005516CD">
        <w:rPr>
          <w:rFonts w:ascii="Calibri" w:hAnsi="Calibri" w:cs="Calibri"/>
          <w:i/>
          <w:iCs/>
          <w:sz w:val="23"/>
          <w:szCs w:val="23"/>
        </w:rPr>
        <w:t xml:space="preserve">focus groups </w:t>
      </w:r>
      <w:r w:rsidRPr="005516CD">
        <w:rPr>
          <w:rFonts w:ascii="Calibri" w:hAnsi="Calibri" w:cs="Calibri"/>
          <w:sz w:val="22"/>
          <w:szCs w:val="22"/>
        </w:rPr>
        <w:t>were held at the community level with moderators from the UNDP/FAO national consultant team, as well as local officials (</w:t>
      </w:r>
      <w:proofErr w:type="spellStart"/>
      <w:r w:rsidRPr="005516CD">
        <w:rPr>
          <w:rFonts w:ascii="Calibri" w:hAnsi="Calibri" w:cs="Calibri"/>
          <w:sz w:val="22"/>
          <w:szCs w:val="22"/>
        </w:rPr>
        <w:t>M</w:t>
      </w:r>
      <w:r w:rsidR="00DE75AB" w:rsidRPr="005516CD">
        <w:rPr>
          <w:rFonts w:ascii="Calibri" w:hAnsi="Calibri" w:cs="Calibri"/>
          <w:sz w:val="22"/>
          <w:szCs w:val="22"/>
        </w:rPr>
        <w:t>oE</w:t>
      </w:r>
      <w:proofErr w:type="spellEnd"/>
      <w:r w:rsidRPr="005516CD">
        <w:rPr>
          <w:rFonts w:ascii="Calibri" w:hAnsi="Calibri" w:cs="Calibri"/>
          <w:sz w:val="22"/>
          <w:szCs w:val="22"/>
        </w:rPr>
        <w:t xml:space="preserve">, MARNDR) acting as moderators to conduct semi-structured discussions explaining the context of the project and to solicit information and comments. </w:t>
      </w:r>
    </w:p>
    <w:p w14:paraId="663C9035" w14:textId="77777777" w:rsidR="003646F2" w:rsidRPr="005516CD" w:rsidRDefault="003646F2" w:rsidP="003646F2">
      <w:pPr>
        <w:pStyle w:val="Default"/>
        <w:numPr>
          <w:ilvl w:val="0"/>
          <w:numId w:val="142"/>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ind w:left="709" w:hanging="283"/>
        <w:jc w:val="left"/>
        <w:rPr>
          <w:sz w:val="22"/>
          <w:szCs w:val="22"/>
        </w:rPr>
      </w:pPr>
      <w:r w:rsidRPr="005516CD">
        <w:rPr>
          <w:rFonts w:ascii="Calibri" w:hAnsi="Calibri" w:cs="Calibri"/>
          <w:i/>
          <w:iCs/>
          <w:sz w:val="23"/>
          <w:szCs w:val="23"/>
        </w:rPr>
        <w:t>Workshops</w:t>
      </w:r>
      <w:r w:rsidRPr="005516CD">
        <w:rPr>
          <w:rFonts w:ascii="Calibri" w:hAnsi="Calibri" w:cs="Calibri"/>
          <w:sz w:val="22"/>
          <w:szCs w:val="22"/>
        </w:rPr>
        <w:t xml:space="preserve">: Workshops were organized with broad participation of government actors, civil society, cocoa and coffee cooperatives, external agencies and organizations involved in the agricultural and environmental sector in Haiti, including experienced Haitian practitioners with extensive experience in the design and implementation of agricultural and environmental projects, education, reflection and inter-institutional debates. These workshops were instrumental in defining the methodological aspects of the project design. </w:t>
      </w:r>
    </w:p>
    <w:p w14:paraId="3C752D14" w14:textId="77777777" w:rsidR="003646F2" w:rsidRPr="005516CD" w:rsidRDefault="003646F2" w:rsidP="003646F2">
      <w:pPr>
        <w:pStyle w:val="Default"/>
        <w:rPr>
          <w:sz w:val="22"/>
          <w:szCs w:val="22"/>
        </w:rPr>
      </w:pPr>
    </w:p>
    <w:p w14:paraId="764F1A59" w14:textId="77777777" w:rsidR="003646F2" w:rsidRPr="005516CD" w:rsidRDefault="003646F2" w:rsidP="003646F2">
      <w:pPr>
        <w:pStyle w:val="Default"/>
        <w:rPr>
          <w:rFonts w:ascii="Calibri" w:hAnsi="Calibri" w:cs="Calibri"/>
          <w:b/>
          <w:sz w:val="23"/>
          <w:szCs w:val="23"/>
        </w:rPr>
      </w:pPr>
      <w:r w:rsidRPr="005516CD">
        <w:rPr>
          <w:rFonts w:ascii="Calibri" w:hAnsi="Calibri" w:cs="Calibri"/>
          <w:b/>
          <w:sz w:val="23"/>
          <w:szCs w:val="23"/>
        </w:rPr>
        <w:t xml:space="preserve">IV. Stakeholder analysis </w:t>
      </w:r>
    </w:p>
    <w:p w14:paraId="53B2D07A"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In order to implement the project with the full, effective and inclusive participation of stakeholders, it was necessary to define the actors and population groups involved in the project and to identify the roles they can play throughout the project cycle. The process and methods used to carry out this analysis are described in the section above on previous stakeholder engagement activities. </w:t>
      </w:r>
    </w:p>
    <w:p w14:paraId="0DF4B3D0" w14:textId="77777777" w:rsidR="003646F2" w:rsidRPr="005516CD" w:rsidRDefault="003646F2" w:rsidP="00FB5829">
      <w:pPr>
        <w:pStyle w:val="Default"/>
        <w:keepNext/>
        <w:rPr>
          <w:rFonts w:ascii="Calibri" w:hAnsi="Calibri" w:cs="Calibri"/>
          <w:b/>
          <w:i/>
          <w:sz w:val="23"/>
          <w:szCs w:val="23"/>
        </w:rPr>
      </w:pPr>
      <w:r w:rsidRPr="005516CD">
        <w:rPr>
          <w:rFonts w:ascii="Calibri" w:hAnsi="Calibri" w:cs="Calibri"/>
          <w:b/>
          <w:i/>
          <w:sz w:val="23"/>
          <w:szCs w:val="23"/>
        </w:rPr>
        <w:t xml:space="preserve">Relevant stakeholder groups </w:t>
      </w:r>
    </w:p>
    <w:p w14:paraId="7FA2DDB8"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One of the main outcomes of the consultations was a detailed stakeholder mapping, which </w:t>
      </w:r>
      <w:proofErr w:type="spellStart"/>
      <w:r w:rsidRPr="005516CD">
        <w:rPr>
          <w:rFonts w:ascii="Calibri" w:hAnsi="Calibri" w:cs="Calibri"/>
          <w:sz w:val="22"/>
          <w:szCs w:val="22"/>
        </w:rPr>
        <w:t>analysed</w:t>
      </w:r>
      <w:proofErr w:type="spellEnd"/>
      <w:r w:rsidRPr="005516CD">
        <w:rPr>
          <w:rFonts w:ascii="Calibri" w:hAnsi="Calibri" w:cs="Calibri"/>
          <w:sz w:val="22"/>
          <w:szCs w:val="22"/>
        </w:rPr>
        <w:t xml:space="preserve"> the scope and decision-making capacities, as well as the socio-economic aspects of these different groups. This mapping, which is found in Section 9, was used to identify the key groups involved in the project and their relevance to each of the three components of the project. </w:t>
      </w:r>
    </w:p>
    <w:p w14:paraId="2620CDA9"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Based on this stakeholder mapping, the following entities were identified as relevant to the Governance component of the project, namely those dealing with communication and involvement in planning, governance and environmental management entities, biodiversity conservation and related ecosystem services: </w:t>
      </w:r>
      <w:proofErr w:type="spellStart"/>
      <w:r w:rsidRPr="005516CD">
        <w:rPr>
          <w:rFonts w:ascii="Calibri" w:hAnsi="Calibri" w:cs="Calibri"/>
          <w:sz w:val="22"/>
          <w:szCs w:val="22"/>
        </w:rPr>
        <w:t>M</w:t>
      </w:r>
      <w:r w:rsidR="00DE75AB" w:rsidRPr="005516CD">
        <w:rPr>
          <w:rFonts w:ascii="Calibri" w:hAnsi="Calibri" w:cs="Calibri"/>
          <w:sz w:val="22"/>
          <w:szCs w:val="22"/>
        </w:rPr>
        <w:t>o</w:t>
      </w:r>
      <w:r w:rsidRPr="005516CD">
        <w:rPr>
          <w:rFonts w:ascii="Calibri" w:hAnsi="Calibri" w:cs="Calibri"/>
          <w:sz w:val="22"/>
          <w:szCs w:val="22"/>
        </w:rPr>
        <w:t>E</w:t>
      </w:r>
      <w:proofErr w:type="spellEnd"/>
      <w:r w:rsidRPr="005516CD">
        <w:rPr>
          <w:rFonts w:ascii="Calibri" w:hAnsi="Calibri" w:cs="Calibri"/>
          <w:sz w:val="22"/>
          <w:szCs w:val="22"/>
        </w:rPr>
        <w:t xml:space="preserve">, MARNDR, MICT, DBD, DDE-N, DDE-A, DDE-NE, DDA-NE, DDA-N, DDA-A, DDA-NE, FECCANO, RECOCARNO, NOVELLA, USAID, CHEMONICS, PITTAG, PTTA, PDL, UNESCO, GIZ, CASEC, ASEC, CCJ (see Section 9 for all relevant acronyms). </w:t>
      </w:r>
    </w:p>
    <w:p w14:paraId="537EA2F0" w14:textId="77777777" w:rsidR="003646F2" w:rsidRPr="005516CD" w:rsidRDefault="003646F2" w:rsidP="003646F2">
      <w:pPr>
        <w:pStyle w:val="Default"/>
        <w:spacing w:after="120"/>
        <w:rPr>
          <w:sz w:val="22"/>
          <w:szCs w:val="22"/>
        </w:rPr>
      </w:pPr>
      <w:r w:rsidRPr="005516CD">
        <w:rPr>
          <w:rFonts w:ascii="Calibri" w:hAnsi="Calibri" w:cs="Calibri"/>
          <w:sz w:val="22"/>
          <w:szCs w:val="22"/>
        </w:rPr>
        <w:t xml:space="preserve">With regard to the operational component of the project, namely product 1 dealing with decision support tools to </w:t>
      </w:r>
      <w:proofErr w:type="spellStart"/>
      <w:r w:rsidRPr="005516CD">
        <w:rPr>
          <w:rFonts w:ascii="Calibri" w:hAnsi="Calibri" w:cs="Calibri"/>
          <w:sz w:val="22"/>
          <w:szCs w:val="22"/>
        </w:rPr>
        <w:t>optimise</w:t>
      </w:r>
      <w:proofErr w:type="spellEnd"/>
      <w:r w:rsidRPr="005516CD">
        <w:rPr>
          <w:rFonts w:ascii="Calibri" w:hAnsi="Calibri" w:cs="Calibri"/>
          <w:sz w:val="22"/>
          <w:szCs w:val="22"/>
        </w:rPr>
        <w:t xml:space="preserve"> the configuration of landscape features according to spatial aspects of connectivity, biological importance, production potential, vulnerability and flows of ecosystem services, the following entities were identified as most relevant on the basis of their scores (above 3.0) on the "operational" measure of the stakeholder map: </w:t>
      </w:r>
      <w:proofErr w:type="spellStart"/>
      <w:r w:rsidRPr="005516CD">
        <w:rPr>
          <w:rFonts w:ascii="Calibri" w:hAnsi="Calibri" w:cs="Calibri"/>
          <w:sz w:val="22"/>
          <w:szCs w:val="22"/>
        </w:rPr>
        <w:t>M</w:t>
      </w:r>
      <w:r w:rsidR="00DE75AB" w:rsidRPr="005516CD">
        <w:rPr>
          <w:rFonts w:ascii="Calibri" w:hAnsi="Calibri" w:cs="Calibri"/>
          <w:sz w:val="22"/>
          <w:szCs w:val="22"/>
        </w:rPr>
        <w:t>o</w:t>
      </w:r>
      <w:r w:rsidRPr="005516CD">
        <w:rPr>
          <w:rFonts w:ascii="Calibri" w:hAnsi="Calibri" w:cs="Calibri"/>
          <w:sz w:val="22"/>
          <w:szCs w:val="22"/>
        </w:rPr>
        <w:t>E</w:t>
      </w:r>
      <w:proofErr w:type="spellEnd"/>
      <w:r w:rsidRPr="005516CD">
        <w:rPr>
          <w:rFonts w:ascii="Calibri" w:hAnsi="Calibri" w:cs="Calibri"/>
          <w:sz w:val="22"/>
          <w:szCs w:val="22"/>
        </w:rPr>
        <w:t xml:space="preserve">, MARNDR, MICT, DBD, DDE-N, DDE-A, DDE-NE, DDA-NE, DDA-N, DDA-A, DDA-NE, FECCANO, RECOCARNO, NOVELLA, USAID, CHEMONICS, PITTAG, PTTA, PDL, UNESCO, GIZ, CASEC, ASEC, CCJ. </w:t>
      </w:r>
    </w:p>
    <w:p w14:paraId="3C3DA329" w14:textId="092AA7AA"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capacity building component of the project is a component that requires strategic and operational skills to implement. Thus, the "general" measure was used (scores above 3.0) to identify the corresponding entities, </w:t>
      </w:r>
      <w:proofErr w:type="spellStart"/>
      <w:r w:rsidRPr="005516CD">
        <w:rPr>
          <w:rFonts w:ascii="Calibri" w:hAnsi="Calibri" w:cs="Calibri"/>
          <w:sz w:val="22"/>
          <w:szCs w:val="22"/>
        </w:rPr>
        <w:t>i.e</w:t>
      </w:r>
      <w:proofErr w:type="spellEnd"/>
      <w:r w:rsidRPr="005516CD">
        <w:rPr>
          <w:rFonts w:ascii="Calibri" w:hAnsi="Calibri" w:cs="Calibri"/>
          <w:sz w:val="22"/>
          <w:szCs w:val="22"/>
        </w:rPr>
        <w:t xml:space="preserve">: </w:t>
      </w:r>
      <w:proofErr w:type="spellStart"/>
      <w:r w:rsidR="009241AB">
        <w:rPr>
          <w:rFonts w:ascii="Calibri" w:hAnsi="Calibri" w:cs="Calibri"/>
          <w:sz w:val="22"/>
          <w:szCs w:val="22"/>
        </w:rPr>
        <w:t>MoE</w:t>
      </w:r>
      <w:proofErr w:type="spellEnd"/>
      <w:r w:rsidRPr="005516CD">
        <w:rPr>
          <w:rFonts w:ascii="Calibri" w:hAnsi="Calibri" w:cs="Calibri"/>
          <w:sz w:val="22"/>
          <w:szCs w:val="22"/>
        </w:rPr>
        <w:t xml:space="preserve">, MARNDR, MICT, DBD, DDE-N, DDE-A, DDE-NE, DDA-NE, DDA-N, DDA-A, DDA-NE, FECCANO, RECOCARNO, NOVELLA, USAID, CHEMONICS, PITTAG, PTTA, PDL, UNESCO, GIZ, CASEC, ASEC, CCJ. </w:t>
      </w:r>
    </w:p>
    <w:p w14:paraId="23A92ACC"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final result of this mapping exercise is summarized in Table 1, which lists the main stakeholders (a list of acronyms used is provided in Section 9). </w:t>
      </w:r>
    </w:p>
    <w:p w14:paraId="2BDB91DA" w14:textId="77777777" w:rsidR="003646F2" w:rsidRPr="005516CD" w:rsidRDefault="003646F2" w:rsidP="003646F2">
      <w:pPr>
        <w:pStyle w:val="Default"/>
        <w:spacing w:after="120"/>
        <w:rPr>
          <w:rFonts w:ascii="Calibri" w:hAnsi="Calibri" w:cs="Calibri"/>
          <w:sz w:val="22"/>
          <w:szCs w:val="22"/>
        </w:rPr>
        <w:sectPr w:rsidR="003646F2" w:rsidRPr="005516CD" w:rsidSect="00F91241">
          <w:pgSz w:w="12240" w:h="15840"/>
          <w:pgMar w:top="1440" w:right="1440" w:bottom="1440" w:left="1440" w:header="708" w:footer="708" w:gutter="0"/>
          <w:cols w:space="708"/>
          <w:docGrid w:linePitch="360"/>
        </w:sectPr>
      </w:pPr>
    </w:p>
    <w:p w14:paraId="21772573" w14:textId="77777777" w:rsidR="003646F2" w:rsidRPr="005516CD" w:rsidRDefault="003646F2" w:rsidP="003646F2">
      <w:pPr>
        <w:pStyle w:val="Default"/>
        <w:spacing w:after="120"/>
        <w:rPr>
          <w:b/>
          <w:sz w:val="22"/>
          <w:szCs w:val="22"/>
        </w:rPr>
      </w:pPr>
      <w:r w:rsidRPr="005516CD">
        <w:rPr>
          <w:rFonts w:ascii="Calibri" w:hAnsi="Calibri" w:cs="Calibri"/>
          <w:b/>
          <w:sz w:val="22"/>
          <w:szCs w:val="22"/>
        </w:rPr>
        <w:t>Table 1. List of institutional stakeholder groups identified during the public consultations, classified according to their function and level of action. The most relevant project activities for each stakeholder are identified and coded as follows: 1 = Decision support to optimize the configuration of landscape features according to spatial aspects of connectivity, biological importance, production potential, vulnerability and flows of ecosystem services; 2 = Improved service delivery systems for technical assistance; 3 = knowledge management and dissemination strategies.</w:t>
      </w:r>
    </w:p>
    <w:tbl>
      <w:tblPr>
        <w:tblW w:w="14142" w:type="dxa"/>
        <w:tblInd w:w="-113" w:type="dxa"/>
        <w:tblBorders>
          <w:top w:val="nil"/>
          <w:left w:val="nil"/>
          <w:bottom w:val="nil"/>
          <w:right w:val="nil"/>
        </w:tblBorders>
        <w:tblLayout w:type="fixed"/>
        <w:tblLook w:val="0000" w:firstRow="0" w:lastRow="0" w:firstColumn="0" w:lastColumn="0" w:noHBand="0" w:noVBand="0"/>
      </w:tblPr>
      <w:tblGrid>
        <w:gridCol w:w="1383"/>
        <w:gridCol w:w="708"/>
        <w:gridCol w:w="10631"/>
        <w:gridCol w:w="1420"/>
      </w:tblGrid>
      <w:tr w:rsidR="003646F2" w:rsidRPr="005516CD" w14:paraId="17BC64F3" w14:textId="77777777" w:rsidTr="00FB5829">
        <w:trPr>
          <w:trHeight w:val="379"/>
          <w:tblHeader/>
        </w:trPr>
        <w:tc>
          <w:tcPr>
            <w:tcW w:w="138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2E46AAA" w14:textId="77777777" w:rsidR="003646F2" w:rsidRPr="005516CD" w:rsidRDefault="003646F2" w:rsidP="000C683F">
            <w:pPr>
              <w:pStyle w:val="Default"/>
              <w:rPr>
                <w:sz w:val="22"/>
                <w:szCs w:val="22"/>
              </w:rPr>
            </w:pPr>
            <w:r w:rsidRPr="005516CD">
              <w:rPr>
                <w:rFonts w:ascii="Calibri" w:hAnsi="Calibri" w:cs="Calibri"/>
                <w:sz w:val="22"/>
                <w:szCs w:val="22"/>
              </w:rPr>
              <w:t>Stakeholder institution</w:t>
            </w:r>
          </w:p>
        </w:tc>
        <w:tc>
          <w:tcPr>
            <w:tcW w:w="70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FDCFD4F" w14:textId="77777777" w:rsidR="003646F2" w:rsidRPr="005516CD" w:rsidRDefault="003646F2" w:rsidP="000C683F">
            <w:pPr>
              <w:pStyle w:val="Default"/>
              <w:rPr>
                <w:rFonts w:ascii="Calibri" w:hAnsi="Calibri" w:cs="Calibri"/>
                <w:sz w:val="22"/>
                <w:szCs w:val="22"/>
              </w:rPr>
            </w:pPr>
            <w:r w:rsidRPr="005516CD">
              <w:rPr>
                <w:rFonts w:ascii="Calibri" w:hAnsi="Calibri" w:cs="Calibri"/>
                <w:sz w:val="22"/>
                <w:szCs w:val="22"/>
              </w:rPr>
              <w:t xml:space="preserve">FDI </w:t>
            </w:r>
          </w:p>
        </w:tc>
        <w:tc>
          <w:tcPr>
            <w:tcW w:w="1063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EE9BCA" w14:textId="77777777" w:rsidR="003646F2" w:rsidRPr="005516CD" w:rsidRDefault="003646F2" w:rsidP="000C683F">
            <w:pPr>
              <w:pStyle w:val="Default"/>
              <w:rPr>
                <w:sz w:val="22"/>
                <w:szCs w:val="22"/>
              </w:rPr>
            </w:pPr>
            <w:r w:rsidRPr="005516CD">
              <w:rPr>
                <w:rFonts w:ascii="Calibri" w:hAnsi="Calibri" w:cs="Calibri"/>
                <w:sz w:val="22"/>
                <w:szCs w:val="22"/>
              </w:rPr>
              <w:t xml:space="preserve">Function at the national level </w:t>
            </w:r>
          </w:p>
        </w:tc>
        <w:tc>
          <w:tcPr>
            <w:tcW w:w="142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BDB50ED" w14:textId="77777777" w:rsidR="003646F2" w:rsidRPr="005516CD" w:rsidRDefault="003646F2" w:rsidP="000C683F">
            <w:pPr>
              <w:pStyle w:val="Default"/>
              <w:rPr>
                <w:sz w:val="22"/>
                <w:szCs w:val="22"/>
              </w:rPr>
            </w:pPr>
            <w:r w:rsidRPr="005516CD">
              <w:rPr>
                <w:rFonts w:ascii="Calibri" w:hAnsi="Calibri" w:cs="Calibri"/>
                <w:sz w:val="22"/>
                <w:szCs w:val="22"/>
              </w:rPr>
              <w:t xml:space="preserve">Relevance of the Project Component </w:t>
            </w:r>
          </w:p>
        </w:tc>
      </w:tr>
      <w:tr w:rsidR="003646F2" w:rsidRPr="005516CD" w14:paraId="11C26447" w14:textId="77777777" w:rsidTr="000C683F">
        <w:trPr>
          <w:trHeight w:val="379"/>
        </w:trPr>
        <w:tc>
          <w:tcPr>
            <w:tcW w:w="1383" w:type="dxa"/>
            <w:tcBorders>
              <w:top w:val="single" w:sz="4" w:space="0" w:color="auto"/>
              <w:left w:val="single" w:sz="4" w:space="0" w:color="auto"/>
              <w:bottom w:val="single" w:sz="4" w:space="0" w:color="auto"/>
              <w:right w:val="single" w:sz="4" w:space="0" w:color="auto"/>
            </w:tcBorders>
          </w:tcPr>
          <w:p w14:paraId="31797161" w14:textId="77777777" w:rsidR="003646F2" w:rsidRPr="005516CD" w:rsidRDefault="003646F2" w:rsidP="000C683F">
            <w:pPr>
              <w:pStyle w:val="Default"/>
              <w:rPr>
                <w:rFonts w:ascii="Calibri" w:hAnsi="Calibri" w:cs="Calibri"/>
                <w:sz w:val="22"/>
                <w:szCs w:val="22"/>
              </w:rPr>
            </w:pPr>
            <w:proofErr w:type="spellStart"/>
            <w:r w:rsidRPr="005516CD">
              <w:rPr>
                <w:rFonts w:ascii="Calibri" w:hAnsi="Calibri" w:cs="Calibri"/>
                <w:sz w:val="22"/>
                <w:szCs w:val="22"/>
              </w:rPr>
              <w:t>M</w:t>
            </w:r>
            <w:r w:rsidR="00103C48" w:rsidRPr="005516CD">
              <w:rPr>
                <w:rFonts w:ascii="Calibri" w:hAnsi="Calibri" w:cs="Calibri"/>
                <w:sz w:val="22"/>
                <w:szCs w:val="22"/>
              </w:rPr>
              <w:t>o</w:t>
            </w:r>
            <w:r w:rsidRPr="005516CD">
              <w:rPr>
                <w:rFonts w:ascii="Calibri" w:hAnsi="Calibri" w:cs="Calibri"/>
                <w:sz w:val="22"/>
                <w:szCs w:val="22"/>
              </w:rPr>
              <w:t>E</w:t>
            </w:r>
            <w:proofErr w:type="spellEnd"/>
          </w:p>
        </w:tc>
        <w:tc>
          <w:tcPr>
            <w:tcW w:w="708" w:type="dxa"/>
            <w:tcBorders>
              <w:top w:val="single" w:sz="4" w:space="0" w:color="auto"/>
              <w:left w:val="single" w:sz="4" w:space="0" w:color="auto"/>
              <w:bottom w:val="single" w:sz="4" w:space="0" w:color="auto"/>
              <w:right w:val="single" w:sz="4" w:space="0" w:color="auto"/>
            </w:tcBorders>
          </w:tcPr>
          <w:p w14:paraId="1AFF6B6F" w14:textId="77777777" w:rsidR="003646F2" w:rsidRPr="005516CD" w:rsidRDefault="003646F2" w:rsidP="000C683F">
            <w:pPr>
              <w:pStyle w:val="Default"/>
              <w:rPr>
                <w:rFonts w:ascii="Calibri" w:hAnsi="Calibri" w:cs="Calibri"/>
                <w:sz w:val="22"/>
                <w:szCs w:val="22"/>
              </w:rPr>
            </w:pPr>
          </w:p>
        </w:tc>
        <w:tc>
          <w:tcPr>
            <w:tcW w:w="10631" w:type="dxa"/>
            <w:tcBorders>
              <w:top w:val="single" w:sz="4" w:space="0" w:color="auto"/>
              <w:left w:val="single" w:sz="4" w:space="0" w:color="auto"/>
              <w:bottom w:val="single" w:sz="4" w:space="0" w:color="auto"/>
              <w:right w:val="single" w:sz="4" w:space="0" w:color="auto"/>
            </w:tcBorders>
          </w:tcPr>
          <w:p w14:paraId="53C948F4" w14:textId="77777777" w:rsidR="003646F2" w:rsidRPr="005516CD" w:rsidRDefault="003646F2" w:rsidP="000C683F">
            <w:pPr>
              <w:pStyle w:val="Default"/>
              <w:spacing w:after="120"/>
              <w:rPr>
                <w:sz w:val="22"/>
                <w:szCs w:val="22"/>
              </w:rPr>
            </w:pPr>
            <w:r w:rsidRPr="005516CD">
              <w:rPr>
                <w:rFonts w:ascii="Calibri" w:hAnsi="Calibri" w:cs="Calibri"/>
                <w:sz w:val="22"/>
                <w:szCs w:val="22"/>
              </w:rPr>
              <w:t>The Ministry of Environment (</w:t>
            </w:r>
            <w:proofErr w:type="spellStart"/>
            <w:r w:rsidRPr="005516CD">
              <w:rPr>
                <w:rFonts w:ascii="Calibri" w:hAnsi="Calibri" w:cs="Calibri"/>
                <w:sz w:val="22"/>
                <w:szCs w:val="22"/>
              </w:rPr>
              <w:t>M</w:t>
            </w:r>
            <w:r w:rsidR="00DE75AB" w:rsidRPr="005516CD">
              <w:rPr>
                <w:rFonts w:ascii="Calibri" w:hAnsi="Calibri" w:cs="Calibri"/>
                <w:sz w:val="22"/>
                <w:szCs w:val="22"/>
              </w:rPr>
              <w:t>o</w:t>
            </w:r>
            <w:r w:rsidRPr="005516CD">
              <w:rPr>
                <w:rFonts w:ascii="Calibri" w:hAnsi="Calibri" w:cs="Calibri"/>
                <w:sz w:val="22"/>
                <w:szCs w:val="22"/>
              </w:rPr>
              <w:t>E</w:t>
            </w:r>
            <w:proofErr w:type="spellEnd"/>
            <w:r w:rsidRPr="005516CD">
              <w:rPr>
                <w:rFonts w:ascii="Calibri" w:hAnsi="Calibri" w:cs="Calibri"/>
                <w:sz w:val="22"/>
                <w:szCs w:val="22"/>
              </w:rPr>
              <w:t xml:space="preserve">) is the national environmental authority in the country. It was created to manage and protect the environment for future generations. He is involved in many activities related to climate change, including adaptation to the CC, biodiversity conservation, reforestation activities and National Park management, among others. It will be the main partner in the coordination and implementation of this project at both national and departmental levels. </w:t>
            </w:r>
          </w:p>
          <w:p w14:paraId="6C00AB5A" w14:textId="77777777" w:rsidR="003646F2" w:rsidRPr="005516CD" w:rsidRDefault="003646F2" w:rsidP="000C683F">
            <w:pPr>
              <w:pStyle w:val="Default"/>
              <w:spacing w:after="120"/>
              <w:rPr>
                <w:sz w:val="22"/>
                <w:szCs w:val="22"/>
              </w:rPr>
            </w:pPr>
            <w:r w:rsidRPr="005516CD">
              <w:rPr>
                <w:rFonts w:ascii="Calibri" w:hAnsi="Calibri" w:cs="Calibri"/>
                <w:sz w:val="22"/>
                <w:szCs w:val="22"/>
              </w:rPr>
              <w:t xml:space="preserve">The Ministry of Environment has been decentralized and has a presence at the departmental level, which allows it to have different levels of operational capacity. </w:t>
            </w:r>
          </w:p>
          <w:p w14:paraId="70BA9F6B" w14:textId="77777777" w:rsidR="003646F2" w:rsidRPr="005516CD" w:rsidRDefault="003646F2" w:rsidP="000C683F">
            <w:pPr>
              <w:pStyle w:val="Default"/>
              <w:spacing w:after="120"/>
              <w:rPr>
                <w:sz w:val="22"/>
                <w:szCs w:val="22"/>
              </w:rPr>
            </w:pPr>
            <w:r w:rsidRPr="005516CD">
              <w:rPr>
                <w:rFonts w:ascii="Calibri" w:hAnsi="Calibri" w:cs="Calibri"/>
                <w:sz w:val="22"/>
                <w:szCs w:val="22"/>
              </w:rPr>
              <w:t xml:space="preserve">The </w:t>
            </w:r>
            <w:proofErr w:type="spellStart"/>
            <w:r w:rsidRPr="005516CD">
              <w:rPr>
                <w:rFonts w:ascii="Calibri" w:hAnsi="Calibri" w:cs="Calibri"/>
                <w:sz w:val="22"/>
                <w:szCs w:val="22"/>
              </w:rPr>
              <w:t>Mo</w:t>
            </w:r>
            <w:r w:rsidR="00DE75AB" w:rsidRPr="005516CD">
              <w:rPr>
                <w:rFonts w:ascii="Calibri" w:hAnsi="Calibri" w:cs="Calibri"/>
                <w:sz w:val="22"/>
                <w:szCs w:val="22"/>
              </w:rPr>
              <w:t>E</w:t>
            </w:r>
            <w:proofErr w:type="spellEnd"/>
            <w:r w:rsidRPr="005516CD">
              <w:rPr>
                <w:rFonts w:ascii="Calibri" w:hAnsi="Calibri" w:cs="Calibri"/>
                <w:sz w:val="22"/>
                <w:szCs w:val="22"/>
              </w:rPr>
              <w:t xml:space="preserve">, as the national environmental authority, provides the lead for the implementation of the Project. The </w:t>
            </w:r>
            <w:proofErr w:type="spellStart"/>
            <w:r w:rsidRPr="005516CD">
              <w:rPr>
                <w:rFonts w:ascii="Calibri" w:hAnsi="Calibri" w:cs="Calibri"/>
                <w:sz w:val="22"/>
                <w:szCs w:val="22"/>
              </w:rPr>
              <w:t>M</w:t>
            </w:r>
            <w:r w:rsidR="00DE75AB" w:rsidRPr="005516CD">
              <w:rPr>
                <w:rFonts w:ascii="Calibri" w:hAnsi="Calibri" w:cs="Calibri"/>
                <w:sz w:val="22"/>
                <w:szCs w:val="22"/>
              </w:rPr>
              <w:t>o</w:t>
            </w:r>
            <w:r w:rsidRPr="005516CD">
              <w:rPr>
                <w:rFonts w:ascii="Calibri" w:hAnsi="Calibri" w:cs="Calibri"/>
                <w:sz w:val="22"/>
                <w:szCs w:val="22"/>
              </w:rPr>
              <w:t>E</w:t>
            </w:r>
            <w:proofErr w:type="spellEnd"/>
            <w:r w:rsidRPr="005516CD">
              <w:rPr>
                <w:rFonts w:ascii="Calibri" w:hAnsi="Calibri" w:cs="Calibri"/>
                <w:sz w:val="22"/>
                <w:szCs w:val="22"/>
              </w:rPr>
              <w:t xml:space="preserve"> will be closely supported by the Ministry of Agriculture and Natural Resources and Rural Development (MARNDR) Head of the agricultural sector responsible for promoting the development of crops such as coffee and cocoa. </w:t>
            </w:r>
          </w:p>
          <w:p w14:paraId="4282B24C" w14:textId="02FF0FC0" w:rsidR="003646F2" w:rsidRPr="005516CD" w:rsidRDefault="003646F2" w:rsidP="000C683F">
            <w:pPr>
              <w:pStyle w:val="Default"/>
              <w:spacing w:after="120"/>
              <w:rPr>
                <w:sz w:val="22"/>
                <w:szCs w:val="22"/>
              </w:rPr>
            </w:pPr>
            <w:r w:rsidRPr="005516CD">
              <w:rPr>
                <w:rFonts w:ascii="Calibri" w:hAnsi="Calibri" w:cs="Calibri"/>
                <w:sz w:val="22"/>
                <w:szCs w:val="22"/>
              </w:rPr>
              <w:t xml:space="preserve">Through its Central Directorate of Biodiversity, Reforestation and Agroforestry, will be closely associated with the implementation of the activities of this project, including the establishment of "nursery schools" for the production of seedlings of fruit and forest species, thus contributing to the resilience of agroforestry production systems, thus ensuring that the need to link the strengthening of agricultural production, the conservation and increase of </w:t>
            </w:r>
            <w:r w:rsidR="00690AD0">
              <w:rPr>
                <w:rFonts w:ascii="Calibri" w:hAnsi="Calibri" w:cs="Calibri"/>
                <w:sz w:val="22"/>
                <w:szCs w:val="22"/>
              </w:rPr>
              <w:t>Biodiversity</w:t>
            </w:r>
            <w:r w:rsidRPr="005516CD">
              <w:rPr>
                <w:rFonts w:ascii="Calibri" w:hAnsi="Calibri" w:cs="Calibri"/>
                <w:sz w:val="22"/>
                <w:szCs w:val="22"/>
              </w:rPr>
              <w:t xml:space="preserve"> and the protection of the environment are taken into account. </w:t>
            </w:r>
          </w:p>
        </w:tc>
        <w:tc>
          <w:tcPr>
            <w:tcW w:w="1420" w:type="dxa"/>
            <w:tcBorders>
              <w:top w:val="single" w:sz="4" w:space="0" w:color="auto"/>
              <w:left w:val="single" w:sz="4" w:space="0" w:color="auto"/>
              <w:bottom w:val="single" w:sz="4" w:space="0" w:color="auto"/>
              <w:right w:val="single" w:sz="4" w:space="0" w:color="auto"/>
            </w:tcBorders>
          </w:tcPr>
          <w:p w14:paraId="2AFEF324" w14:textId="77777777" w:rsidR="003646F2" w:rsidRPr="005516CD" w:rsidRDefault="003646F2" w:rsidP="000C683F">
            <w:pPr>
              <w:pStyle w:val="Default"/>
              <w:rPr>
                <w:rFonts w:ascii="Calibri" w:hAnsi="Calibri" w:cs="Calibri"/>
                <w:sz w:val="22"/>
                <w:szCs w:val="22"/>
              </w:rPr>
            </w:pPr>
            <w:r w:rsidRPr="005516CD">
              <w:rPr>
                <w:rFonts w:ascii="Calibri" w:hAnsi="Calibri" w:cs="Calibri"/>
                <w:sz w:val="22"/>
                <w:szCs w:val="22"/>
              </w:rPr>
              <w:t xml:space="preserve">1, 2, 3 </w:t>
            </w:r>
          </w:p>
        </w:tc>
      </w:tr>
      <w:tr w:rsidR="003646F2" w:rsidRPr="005516CD" w14:paraId="4B8C7427" w14:textId="77777777" w:rsidTr="000C683F">
        <w:trPr>
          <w:trHeight w:val="379"/>
        </w:trPr>
        <w:tc>
          <w:tcPr>
            <w:tcW w:w="1383" w:type="dxa"/>
            <w:tcBorders>
              <w:top w:val="single" w:sz="4" w:space="0" w:color="auto"/>
              <w:left w:val="single" w:sz="4" w:space="0" w:color="auto"/>
              <w:bottom w:val="single" w:sz="4" w:space="0" w:color="auto"/>
              <w:right w:val="single" w:sz="4" w:space="0" w:color="auto"/>
            </w:tcBorders>
          </w:tcPr>
          <w:p w14:paraId="698DB41C" w14:textId="77777777" w:rsidR="003646F2" w:rsidRPr="005516CD" w:rsidRDefault="003646F2" w:rsidP="000C683F">
            <w:pPr>
              <w:pStyle w:val="Default"/>
              <w:rPr>
                <w:rFonts w:ascii="Calibri" w:hAnsi="Calibri" w:cs="Calibri"/>
                <w:sz w:val="22"/>
                <w:szCs w:val="22"/>
              </w:rPr>
            </w:pPr>
            <w:r w:rsidRPr="005516CD">
              <w:rPr>
                <w:rFonts w:ascii="Calibri" w:hAnsi="Calibri" w:cs="Calibri"/>
                <w:sz w:val="22"/>
                <w:szCs w:val="22"/>
              </w:rPr>
              <w:t>MARNDR</w:t>
            </w:r>
          </w:p>
        </w:tc>
        <w:tc>
          <w:tcPr>
            <w:tcW w:w="708" w:type="dxa"/>
            <w:tcBorders>
              <w:top w:val="single" w:sz="4" w:space="0" w:color="auto"/>
              <w:left w:val="single" w:sz="4" w:space="0" w:color="auto"/>
              <w:bottom w:val="single" w:sz="4" w:space="0" w:color="auto"/>
              <w:right w:val="single" w:sz="4" w:space="0" w:color="auto"/>
            </w:tcBorders>
          </w:tcPr>
          <w:p w14:paraId="7C437879" w14:textId="77777777" w:rsidR="003646F2" w:rsidRPr="005516CD" w:rsidRDefault="003646F2" w:rsidP="000C683F">
            <w:pPr>
              <w:pStyle w:val="Default"/>
              <w:rPr>
                <w:rFonts w:ascii="Calibri" w:hAnsi="Calibri" w:cs="Calibri"/>
                <w:sz w:val="22"/>
                <w:szCs w:val="22"/>
              </w:rPr>
            </w:pPr>
          </w:p>
        </w:tc>
        <w:tc>
          <w:tcPr>
            <w:tcW w:w="10631" w:type="dxa"/>
            <w:tcBorders>
              <w:top w:val="single" w:sz="4" w:space="0" w:color="auto"/>
              <w:left w:val="single" w:sz="4" w:space="0" w:color="auto"/>
              <w:bottom w:val="single" w:sz="4" w:space="0" w:color="auto"/>
              <w:right w:val="single" w:sz="4" w:space="0" w:color="auto"/>
            </w:tcBorders>
          </w:tcPr>
          <w:p w14:paraId="4371C626" w14:textId="77777777" w:rsidR="003646F2" w:rsidRPr="005516CD" w:rsidRDefault="003646F2" w:rsidP="000C683F">
            <w:pPr>
              <w:pStyle w:val="Default"/>
              <w:rPr>
                <w:rFonts w:ascii="Calibri" w:hAnsi="Calibri" w:cs="Calibri"/>
                <w:sz w:val="22"/>
                <w:szCs w:val="22"/>
              </w:rPr>
            </w:pPr>
            <w:r w:rsidRPr="005516CD">
              <w:rPr>
                <w:rFonts w:ascii="Calibri" w:hAnsi="Calibri" w:cs="Calibri"/>
                <w:sz w:val="22"/>
                <w:szCs w:val="22"/>
              </w:rPr>
              <w:t xml:space="preserve">MARNDR, through the Management of the National Coffee Institute (INCAH), the Departmental Departments (DDA) and the Communal Agricultural Offices (BAC) will be closely involved in the implementation of the project activities, relating to the development and improvement of the value chain of the coffee and cocoa sectors. </w:t>
            </w:r>
          </w:p>
          <w:p w14:paraId="7ECB73F2" w14:textId="77777777" w:rsidR="003646F2" w:rsidRPr="005516CD" w:rsidRDefault="003646F2" w:rsidP="000C683F">
            <w:pPr>
              <w:pStyle w:val="Default"/>
              <w:jc w:val="left"/>
              <w:rPr>
                <w:rFonts w:ascii="Calibri" w:hAnsi="Calibri" w:cs="Calibri"/>
                <w:sz w:val="22"/>
                <w:szCs w:val="22"/>
              </w:rPr>
            </w:pPr>
            <w:r w:rsidRPr="005516CD">
              <w:rPr>
                <w:rFonts w:ascii="Calibri" w:hAnsi="Calibri" w:cs="Calibri"/>
                <w:sz w:val="22"/>
                <w:szCs w:val="22"/>
              </w:rPr>
              <w:t xml:space="preserve">The Ministry of Agriculture, as a member, will assist in decision-making to optimize the configuration of landscape features according to spatial aspects of connectivity, biological importance, production potential, vulnerability and flows of ecosystem services; it will also participate in improved service delivery systems for technical assistance and in the development of knowledge management strategies and their dissemination. </w:t>
            </w:r>
          </w:p>
          <w:p w14:paraId="5E2C0A71" w14:textId="77777777" w:rsidR="003646F2" w:rsidRPr="005516CD" w:rsidRDefault="003646F2" w:rsidP="000C683F">
            <w:pPr>
              <w:pStyle w:val="Default"/>
              <w:rPr>
                <w:rFonts w:ascii="Calibri" w:hAnsi="Calibri" w:cs="Calibri"/>
                <w:sz w:val="22"/>
                <w:szCs w:val="22"/>
              </w:rPr>
            </w:pPr>
            <w:r w:rsidRPr="005516CD">
              <w:rPr>
                <w:rFonts w:ascii="Calibri" w:hAnsi="Calibri" w:cs="Calibri"/>
                <w:sz w:val="22"/>
                <w:szCs w:val="22"/>
              </w:rPr>
              <w:t xml:space="preserve">MARNDR is the second leading institution as the authority responsible for promoting agriculture that promotes rural development, conservation and use of natural resources. </w:t>
            </w:r>
          </w:p>
        </w:tc>
        <w:tc>
          <w:tcPr>
            <w:tcW w:w="1420" w:type="dxa"/>
            <w:tcBorders>
              <w:top w:val="single" w:sz="4" w:space="0" w:color="auto"/>
              <w:left w:val="single" w:sz="4" w:space="0" w:color="auto"/>
              <w:bottom w:val="single" w:sz="4" w:space="0" w:color="auto"/>
              <w:right w:val="single" w:sz="4" w:space="0" w:color="auto"/>
            </w:tcBorders>
          </w:tcPr>
          <w:p w14:paraId="5A9970E2" w14:textId="77777777" w:rsidR="003646F2" w:rsidRPr="005516CD" w:rsidRDefault="003646F2" w:rsidP="000C683F">
            <w:pPr>
              <w:pStyle w:val="Default"/>
              <w:rPr>
                <w:rFonts w:ascii="Calibri" w:hAnsi="Calibri" w:cs="Calibri"/>
                <w:sz w:val="22"/>
                <w:szCs w:val="22"/>
              </w:rPr>
            </w:pPr>
            <w:r w:rsidRPr="005516CD">
              <w:rPr>
                <w:rFonts w:ascii="Calibri" w:hAnsi="Calibri" w:cs="Calibri"/>
                <w:sz w:val="22"/>
                <w:szCs w:val="22"/>
              </w:rPr>
              <w:t xml:space="preserve">1, 2, 3 </w:t>
            </w:r>
          </w:p>
        </w:tc>
      </w:tr>
      <w:tr w:rsidR="003646F2" w:rsidRPr="005516CD" w14:paraId="3D032DA4" w14:textId="77777777" w:rsidTr="000C683F">
        <w:trPr>
          <w:trHeight w:val="379"/>
        </w:trPr>
        <w:tc>
          <w:tcPr>
            <w:tcW w:w="1383" w:type="dxa"/>
            <w:tcBorders>
              <w:top w:val="single" w:sz="4" w:space="0" w:color="auto"/>
              <w:left w:val="single" w:sz="4" w:space="0" w:color="auto"/>
              <w:bottom w:val="single" w:sz="4" w:space="0" w:color="auto"/>
              <w:right w:val="single" w:sz="4" w:space="0" w:color="auto"/>
            </w:tcBorders>
          </w:tcPr>
          <w:p w14:paraId="6650E524" w14:textId="77777777" w:rsidR="003646F2" w:rsidRPr="005516CD" w:rsidRDefault="003646F2" w:rsidP="000C683F">
            <w:pPr>
              <w:autoSpaceDE w:val="0"/>
              <w:autoSpaceDN w:val="0"/>
              <w:adjustRightInd w:val="0"/>
              <w:rPr>
                <w:rFonts w:ascii="Calibri" w:hAnsi="Calibri" w:cs="Calibri"/>
                <w:color w:val="000000"/>
                <w:sz w:val="22"/>
                <w:szCs w:val="22"/>
              </w:rPr>
            </w:pPr>
            <w:proofErr w:type="spellStart"/>
            <w:r w:rsidRPr="005516CD">
              <w:rPr>
                <w:rFonts w:ascii="Calibri" w:hAnsi="Calibri" w:cs="Calibri"/>
                <w:color w:val="000000"/>
                <w:sz w:val="22"/>
                <w:szCs w:val="22"/>
              </w:rPr>
              <w:t>M</w:t>
            </w:r>
            <w:r w:rsidR="00103C48" w:rsidRPr="005516CD">
              <w:rPr>
                <w:rFonts w:ascii="Calibri" w:hAnsi="Calibri" w:cs="Calibri"/>
                <w:color w:val="000000"/>
                <w:sz w:val="22"/>
                <w:szCs w:val="22"/>
              </w:rPr>
              <w:t>o</w:t>
            </w:r>
            <w:r w:rsidRPr="005516CD">
              <w:rPr>
                <w:rFonts w:ascii="Calibri" w:hAnsi="Calibri" w:cs="Calibri"/>
                <w:color w:val="000000"/>
                <w:sz w:val="22"/>
                <w:szCs w:val="22"/>
              </w:rPr>
              <w:t>E</w:t>
            </w:r>
            <w:proofErr w:type="spellEnd"/>
            <w:r w:rsidRPr="005516CD">
              <w:rPr>
                <w:rFonts w:ascii="Calibri" w:hAnsi="Calibri" w:cs="Calibri"/>
                <w:color w:val="000000"/>
                <w:sz w:val="22"/>
                <w:szCs w:val="22"/>
              </w:rPr>
              <w:t xml:space="preserve"> </w:t>
            </w:r>
          </w:p>
        </w:tc>
        <w:tc>
          <w:tcPr>
            <w:tcW w:w="708" w:type="dxa"/>
            <w:tcBorders>
              <w:top w:val="single" w:sz="4" w:space="0" w:color="auto"/>
              <w:left w:val="single" w:sz="4" w:space="0" w:color="auto"/>
              <w:bottom w:val="single" w:sz="4" w:space="0" w:color="auto"/>
              <w:right w:val="single" w:sz="4" w:space="0" w:color="auto"/>
            </w:tcBorders>
          </w:tcPr>
          <w:p w14:paraId="48738246"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DBD </w:t>
            </w:r>
          </w:p>
        </w:tc>
        <w:tc>
          <w:tcPr>
            <w:tcW w:w="10631" w:type="dxa"/>
            <w:tcBorders>
              <w:top w:val="single" w:sz="4" w:space="0" w:color="auto"/>
              <w:left w:val="single" w:sz="4" w:space="0" w:color="auto"/>
              <w:bottom w:val="single" w:sz="4" w:space="0" w:color="auto"/>
              <w:right w:val="single" w:sz="4" w:space="0" w:color="auto"/>
            </w:tcBorders>
          </w:tcPr>
          <w:p w14:paraId="12599C5C" w14:textId="77777777" w:rsidR="003646F2" w:rsidRPr="005516CD" w:rsidRDefault="003646F2" w:rsidP="000C683F">
            <w:pPr>
              <w:autoSpaceDE w:val="0"/>
              <w:autoSpaceDN w:val="0"/>
              <w:adjustRightInd w:val="0"/>
              <w:rPr>
                <w:rFonts w:ascii="Calibri" w:hAnsi="Calibri" w:cs="Calibri"/>
                <w:color w:val="000000"/>
                <w:sz w:val="22"/>
                <w:szCs w:val="22"/>
              </w:rPr>
            </w:pPr>
            <w:proofErr w:type="spellStart"/>
            <w:r w:rsidRPr="005516CD">
              <w:rPr>
                <w:rFonts w:ascii="Calibri" w:hAnsi="Calibri" w:cs="Calibri"/>
                <w:color w:val="000000"/>
                <w:sz w:val="22"/>
                <w:szCs w:val="22"/>
              </w:rPr>
              <w:t>M</w:t>
            </w:r>
            <w:r w:rsidR="00103C48" w:rsidRPr="005516CD">
              <w:rPr>
                <w:rFonts w:ascii="Calibri" w:hAnsi="Calibri" w:cs="Calibri"/>
                <w:color w:val="000000"/>
                <w:sz w:val="22"/>
                <w:szCs w:val="22"/>
              </w:rPr>
              <w:t>oE</w:t>
            </w:r>
            <w:proofErr w:type="spellEnd"/>
            <w:r w:rsidRPr="005516CD">
              <w:rPr>
                <w:rFonts w:ascii="Calibri" w:hAnsi="Calibri" w:cs="Calibri"/>
                <w:color w:val="000000"/>
                <w:sz w:val="22"/>
                <w:szCs w:val="22"/>
              </w:rPr>
              <w:t xml:space="preserve"> Biodiversity Directorate: The Biodiversity Directorate of the Ministry of Environment (DBD) is responsible for drafting and proposing a national biodiversity policy, preserving it and monitoring its implementation. </w:t>
            </w:r>
          </w:p>
          <w:p w14:paraId="12D0429A" w14:textId="7E3AEAD4"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Since the creation of the Organization, this department has led the development of the national </w:t>
            </w:r>
            <w:r w:rsidR="00690AD0">
              <w:rPr>
                <w:rFonts w:ascii="Calibri" w:hAnsi="Calibri" w:cs="Calibri"/>
                <w:color w:val="000000"/>
                <w:sz w:val="22"/>
                <w:szCs w:val="22"/>
              </w:rPr>
              <w:t>Biodiversity</w:t>
            </w:r>
            <w:r w:rsidRPr="005516CD">
              <w:rPr>
                <w:rFonts w:ascii="Calibri" w:hAnsi="Calibri" w:cs="Calibri"/>
                <w:color w:val="000000"/>
                <w:sz w:val="22"/>
                <w:szCs w:val="22"/>
              </w:rPr>
              <w:t xml:space="preserve"> legislation programme, actively participates in international meetings and workshops on </w:t>
            </w:r>
            <w:r w:rsidR="00690AD0">
              <w:rPr>
                <w:rFonts w:ascii="Calibri" w:hAnsi="Calibri" w:cs="Calibri"/>
                <w:color w:val="000000"/>
                <w:sz w:val="22"/>
                <w:szCs w:val="22"/>
              </w:rPr>
              <w:t>Biodiversity</w:t>
            </w:r>
            <w:r w:rsidRPr="005516CD">
              <w:rPr>
                <w:rFonts w:ascii="Calibri" w:hAnsi="Calibri" w:cs="Calibri"/>
                <w:color w:val="000000"/>
                <w:sz w:val="22"/>
                <w:szCs w:val="22"/>
              </w:rPr>
              <w:t xml:space="preserve">, organizes activities related to the promotion, protection and conservation of </w:t>
            </w:r>
            <w:r w:rsidR="00690AD0">
              <w:rPr>
                <w:rFonts w:ascii="Calibri" w:hAnsi="Calibri" w:cs="Calibri"/>
                <w:color w:val="000000"/>
                <w:sz w:val="22"/>
                <w:szCs w:val="22"/>
              </w:rPr>
              <w:t>Biodiversity</w:t>
            </w:r>
            <w:r w:rsidRPr="005516CD">
              <w:rPr>
                <w:rFonts w:ascii="Calibri" w:hAnsi="Calibri" w:cs="Calibri"/>
                <w:color w:val="000000"/>
                <w:sz w:val="22"/>
                <w:szCs w:val="22"/>
              </w:rPr>
              <w:t xml:space="preserve">, and prepares and disseminates existing reports and regulations. </w:t>
            </w:r>
          </w:p>
          <w:p w14:paraId="5A97C4DE"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It works in close collaboration with the National Agency for Protected Areas (ANAP). </w:t>
            </w:r>
          </w:p>
        </w:tc>
        <w:tc>
          <w:tcPr>
            <w:tcW w:w="1420" w:type="dxa"/>
            <w:tcBorders>
              <w:top w:val="single" w:sz="4" w:space="0" w:color="auto"/>
              <w:left w:val="single" w:sz="4" w:space="0" w:color="auto"/>
              <w:bottom w:val="single" w:sz="4" w:space="0" w:color="auto"/>
              <w:right w:val="single" w:sz="4" w:space="0" w:color="auto"/>
            </w:tcBorders>
          </w:tcPr>
          <w:p w14:paraId="0B6857F6"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1 </w:t>
            </w:r>
          </w:p>
        </w:tc>
      </w:tr>
      <w:tr w:rsidR="003646F2" w:rsidRPr="005516CD" w14:paraId="1A2EC8F6" w14:textId="77777777" w:rsidTr="000C683F">
        <w:trPr>
          <w:trHeight w:val="379"/>
        </w:trPr>
        <w:tc>
          <w:tcPr>
            <w:tcW w:w="1383" w:type="dxa"/>
            <w:tcBorders>
              <w:top w:val="single" w:sz="4" w:space="0" w:color="auto"/>
              <w:left w:val="single" w:sz="4" w:space="0" w:color="auto"/>
              <w:bottom w:val="single" w:sz="4" w:space="0" w:color="auto"/>
              <w:right w:val="single" w:sz="4" w:space="0" w:color="auto"/>
            </w:tcBorders>
          </w:tcPr>
          <w:p w14:paraId="3DFACC0A" w14:textId="77777777" w:rsidR="003646F2" w:rsidRPr="005516CD" w:rsidRDefault="003646F2" w:rsidP="000C683F">
            <w:pPr>
              <w:autoSpaceDE w:val="0"/>
              <w:autoSpaceDN w:val="0"/>
              <w:adjustRightInd w:val="0"/>
              <w:rPr>
                <w:rFonts w:ascii="Calibri" w:hAnsi="Calibri" w:cs="Calibri"/>
                <w:color w:val="000000"/>
                <w:sz w:val="22"/>
                <w:szCs w:val="22"/>
              </w:rPr>
            </w:pPr>
            <w:proofErr w:type="spellStart"/>
            <w:r w:rsidRPr="005516CD">
              <w:rPr>
                <w:rFonts w:ascii="Calibri" w:hAnsi="Calibri" w:cs="Calibri"/>
                <w:color w:val="000000"/>
                <w:sz w:val="22"/>
                <w:szCs w:val="22"/>
              </w:rPr>
              <w:t>M</w:t>
            </w:r>
            <w:r w:rsidR="00103C48" w:rsidRPr="005516CD">
              <w:rPr>
                <w:rFonts w:ascii="Calibri" w:hAnsi="Calibri" w:cs="Calibri"/>
                <w:color w:val="000000"/>
                <w:sz w:val="22"/>
                <w:szCs w:val="22"/>
              </w:rPr>
              <w:t>o</w:t>
            </w:r>
            <w:r w:rsidRPr="005516CD">
              <w:rPr>
                <w:rFonts w:ascii="Calibri" w:hAnsi="Calibri" w:cs="Calibri"/>
                <w:color w:val="000000"/>
                <w:sz w:val="22"/>
                <w:szCs w:val="22"/>
              </w:rPr>
              <w:t>E</w:t>
            </w:r>
            <w:proofErr w:type="spellEnd"/>
            <w:r w:rsidRPr="005516CD">
              <w:rPr>
                <w:rFonts w:ascii="Calibri" w:hAnsi="Calibri" w:cs="Calibri"/>
                <w:color w:val="000000"/>
                <w:sz w:val="22"/>
                <w:szCs w:val="22"/>
              </w:rPr>
              <w:t xml:space="preserve"> </w:t>
            </w:r>
          </w:p>
        </w:tc>
        <w:tc>
          <w:tcPr>
            <w:tcW w:w="708" w:type="dxa"/>
            <w:tcBorders>
              <w:top w:val="single" w:sz="4" w:space="0" w:color="auto"/>
              <w:left w:val="single" w:sz="4" w:space="0" w:color="auto"/>
              <w:bottom w:val="single" w:sz="4" w:space="0" w:color="auto"/>
              <w:right w:val="single" w:sz="4" w:space="0" w:color="auto"/>
            </w:tcBorders>
          </w:tcPr>
          <w:p w14:paraId="59725ED8"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DDE </w:t>
            </w:r>
          </w:p>
        </w:tc>
        <w:tc>
          <w:tcPr>
            <w:tcW w:w="10631" w:type="dxa"/>
            <w:tcBorders>
              <w:top w:val="single" w:sz="4" w:space="0" w:color="auto"/>
              <w:left w:val="single" w:sz="4" w:space="0" w:color="auto"/>
              <w:bottom w:val="single" w:sz="4" w:space="0" w:color="auto"/>
              <w:right w:val="single" w:sz="4" w:space="0" w:color="auto"/>
            </w:tcBorders>
          </w:tcPr>
          <w:p w14:paraId="13AD5BB0"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Departmental Environment Directorate (DDE): The Departmental Environment Directorate of the </w:t>
            </w:r>
            <w:proofErr w:type="spellStart"/>
            <w:r w:rsidRPr="005516CD">
              <w:rPr>
                <w:rFonts w:ascii="Calibri" w:hAnsi="Calibri" w:cs="Calibri"/>
                <w:color w:val="000000"/>
                <w:sz w:val="22"/>
                <w:szCs w:val="22"/>
              </w:rPr>
              <w:t>M</w:t>
            </w:r>
            <w:r w:rsidR="00103C48" w:rsidRPr="005516CD">
              <w:rPr>
                <w:rFonts w:ascii="Calibri" w:hAnsi="Calibri" w:cs="Calibri"/>
                <w:color w:val="000000"/>
                <w:sz w:val="22"/>
                <w:szCs w:val="22"/>
              </w:rPr>
              <w:t>oE</w:t>
            </w:r>
            <w:proofErr w:type="spellEnd"/>
            <w:r w:rsidRPr="005516CD">
              <w:rPr>
                <w:rFonts w:ascii="Calibri" w:hAnsi="Calibri" w:cs="Calibri"/>
                <w:color w:val="000000"/>
                <w:sz w:val="22"/>
                <w:szCs w:val="22"/>
              </w:rPr>
              <w:t xml:space="preserve"> is responsible for enforcing environmental policies and monitoring compliance with them in Haiti's various departments. They are also responsible for implementing national biodiversity policies, preserving biodiversity and monitoring compliance. </w:t>
            </w:r>
          </w:p>
          <w:p w14:paraId="7CA332E5"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Since the creation of this State Institution, they have disseminated and directed the existing national programmes of environmental legislation and environmental regulations. </w:t>
            </w:r>
          </w:p>
          <w:p w14:paraId="1BE471BB"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They represent the </w:t>
            </w:r>
            <w:proofErr w:type="spellStart"/>
            <w:r w:rsidRPr="005516CD">
              <w:rPr>
                <w:rFonts w:ascii="Calibri" w:hAnsi="Calibri" w:cs="Calibri"/>
                <w:color w:val="000000"/>
                <w:sz w:val="22"/>
                <w:szCs w:val="22"/>
              </w:rPr>
              <w:t>M</w:t>
            </w:r>
            <w:r w:rsidR="00103C48" w:rsidRPr="005516CD">
              <w:rPr>
                <w:rFonts w:ascii="Calibri" w:hAnsi="Calibri" w:cs="Calibri"/>
                <w:color w:val="000000"/>
                <w:sz w:val="22"/>
                <w:szCs w:val="22"/>
              </w:rPr>
              <w:t>oE</w:t>
            </w:r>
            <w:proofErr w:type="spellEnd"/>
            <w:r w:rsidRPr="005516CD">
              <w:rPr>
                <w:rFonts w:ascii="Calibri" w:hAnsi="Calibri" w:cs="Calibri"/>
                <w:color w:val="000000"/>
                <w:sz w:val="22"/>
                <w:szCs w:val="22"/>
              </w:rPr>
              <w:t xml:space="preserve"> in the departments and are also responsible for coordinating and monitoring the national plan to combat climate change at the departmental level. </w:t>
            </w:r>
          </w:p>
          <w:p w14:paraId="25EBD433"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These directorates will contribute, with the knowledge and tools to consolidate, the integrative vision of the management of productive wooded landscapes for biodiversity conservation. </w:t>
            </w:r>
          </w:p>
          <w:p w14:paraId="63386405"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This will facilitate the coordination of actions with other management bodies, other national and international projects. As part of their duties, they will also oversee the proper functioning of the National Project Implementation Office. </w:t>
            </w:r>
          </w:p>
        </w:tc>
        <w:tc>
          <w:tcPr>
            <w:tcW w:w="1420" w:type="dxa"/>
            <w:tcBorders>
              <w:top w:val="single" w:sz="4" w:space="0" w:color="auto"/>
              <w:left w:val="single" w:sz="4" w:space="0" w:color="auto"/>
              <w:bottom w:val="single" w:sz="4" w:space="0" w:color="auto"/>
              <w:right w:val="single" w:sz="4" w:space="0" w:color="auto"/>
            </w:tcBorders>
          </w:tcPr>
          <w:p w14:paraId="0561F633"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1, 2, 3 </w:t>
            </w:r>
          </w:p>
        </w:tc>
      </w:tr>
      <w:tr w:rsidR="003646F2" w:rsidRPr="005516CD" w14:paraId="6B014F42" w14:textId="77777777" w:rsidTr="000C683F">
        <w:trPr>
          <w:trHeight w:val="379"/>
        </w:trPr>
        <w:tc>
          <w:tcPr>
            <w:tcW w:w="1383" w:type="dxa"/>
            <w:tcBorders>
              <w:top w:val="single" w:sz="4" w:space="0" w:color="auto"/>
              <w:left w:val="single" w:sz="4" w:space="0" w:color="auto"/>
              <w:bottom w:val="single" w:sz="4" w:space="0" w:color="auto"/>
              <w:right w:val="single" w:sz="4" w:space="0" w:color="auto"/>
            </w:tcBorders>
          </w:tcPr>
          <w:p w14:paraId="0FE05552"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MARNDR </w:t>
            </w:r>
          </w:p>
        </w:tc>
        <w:tc>
          <w:tcPr>
            <w:tcW w:w="708" w:type="dxa"/>
            <w:tcBorders>
              <w:top w:val="single" w:sz="4" w:space="0" w:color="auto"/>
              <w:left w:val="single" w:sz="4" w:space="0" w:color="auto"/>
              <w:bottom w:val="single" w:sz="4" w:space="0" w:color="auto"/>
              <w:right w:val="single" w:sz="4" w:space="0" w:color="auto"/>
            </w:tcBorders>
          </w:tcPr>
          <w:p w14:paraId="2C35D700"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DDA </w:t>
            </w:r>
          </w:p>
        </w:tc>
        <w:tc>
          <w:tcPr>
            <w:tcW w:w="10631" w:type="dxa"/>
            <w:tcBorders>
              <w:top w:val="single" w:sz="4" w:space="0" w:color="auto"/>
              <w:left w:val="single" w:sz="4" w:space="0" w:color="auto"/>
              <w:bottom w:val="single" w:sz="4" w:space="0" w:color="auto"/>
              <w:right w:val="single" w:sz="4" w:space="0" w:color="auto"/>
            </w:tcBorders>
          </w:tcPr>
          <w:p w14:paraId="2885D4EC"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Departmental Agriculture Directorate: The Departmental Agriculture Directorate of MARNDR is responsible for enforcing agricultural policies and monitoring compliance with them in the various departments of Haiti. </w:t>
            </w:r>
          </w:p>
        </w:tc>
        <w:tc>
          <w:tcPr>
            <w:tcW w:w="1420" w:type="dxa"/>
            <w:tcBorders>
              <w:top w:val="single" w:sz="4" w:space="0" w:color="auto"/>
              <w:left w:val="single" w:sz="4" w:space="0" w:color="auto"/>
              <w:bottom w:val="single" w:sz="4" w:space="0" w:color="auto"/>
              <w:right w:val="single" w:sz="4" w:space="0" w:color="auto"/>
            </w:tcBorders>
          </w:tcPr>
          <w:p w14:paraId="314624DF"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1, 2, 3 </w:t>
            </w:r>
          </w:p>
        </w:tc>
      </w:tr>
    </w:tbl>
    <w:p w14:paraId="2C4A856C" w14:textId="77777777" w:rsidR="003646F2" w:rsidRPr="005516CD" w:rsidRDefault="003646F2" w:rsidP="003646F2">
      <w:pPr>
        <w:autoSpaceDE w:val="0"/>
        <w:autoSpaceDN w:val="0"/>
        <w:adjustRightInd w:val="0"/>
        <w:rPr>
          <w:rFonts w:ascii="Calibri" w:hAnsi="Calibri" w:cs="Calibri"/>
          <w:color w:val="000000"/>
          <w:sz w:val="23"/>
          <w:szCs w:val="23"/>
        </w:rPr>
        <w:sectPr w:rsidR="003646F2" w:rsidRPr="005516CD" w:rsidSect="004E3C8E">
          <w:pgSz w:w="15840" w:h="12240" w:orient="landscape"/>
          <w:pgMar w:top="1440" w:right="1440" w:bottom="1440" w:left="1440" w:header="708" w:footer="708" w:gutter="0"/>
          <w:cols w:space="708"/>
          <w:docGrid w:linePitch="360"/>
        </w:sectPr>
      </w:pPr>
    </w:p>
    <w:p w14:paraId="41ED502F" w14:textId="77777777" w:rsidR="003646F2" w:rsidRPr="005516CD" w:rsidRDefault="003646F2" w:rsidP="003646F2">
      <w:pPr>
        <w:rPr>
          <w:b/>
          <w:sz w:val="20"/>
        </w:rPr>
      </w:pPr>
      <w:r w:rsidRPr="005516CD">
        <w:rPr>
          <w:rFonts w:ascii="Calibri" w:hAnsi="Calibri" w:cs="Calibri"/>
          <w:b/>
          <w:color w:val="000000"/>
          <w:sz w:val="22"/>
          <w:szCs w:val="23"/>
        </w:rPr>
        <w:t>Table 2</w:t>
      </w:r>
      <w:r w:rsidR="004E3C8E" w:rsidRPr="005516CD">
        <w:rPr>
          <w:rFonts w:ascii="Calibri" w:hAnsi="Calibri" w:cs="Calibri"/>
          <w:b/>
          <w:color w:val="000000"/>
          <w:sz w:val="22"/>
          <w:szCs w:val="23"/>
        </w:rPr>
        <w:t>.</w:t>
      </w:r>
      <w:r w:rsidRPr="005516CD">
        <w:rPr>
          <w:rFonts w:ascii="Calibri" w:hAnsi="Calibri" w:cs="Calibri"/>
          <w:b/>
          <w:color w:val="000000"/>
          <w:sz w:val="22"/>
          <w:szCs w:val="23"/>
        </w:rPr>
        <w:t xml:space="preserve"> </w:t>
      </w:r>
      <w:r w:rsidRPr="005516CD">
        <w:rPr>
          <w:rFonts w:ascii="Calibri" w:hAnsi="Calibri" w:cs="Calibri"/>
          <w:b/>
          <w:iCs/>
          <w:color w:val="000000"/>
          <w:sz w:val="22"/>
          <w:szCs w:val="23"/>
        </w:rPr>
        <w:t>Community Stakeholders</w:t>
      </w:r>
      <w:r w:rsidRPr="005516CD">
        <w:rPr>
          <w:rFonts w:ascii="Calibri" w:hAnsi="Calibri" w:cs="Calibri"/>
          <w:b/>
          <w:color w:val="000000"/>
          <w:sz w:val="22"/>
          <w:szCs w:val="23"/>
        </w:rPr>
        <w:t>: The project activities of most interest to them are identified and coded as follows 1 = ecosystem conservation area; 2 = ecosystem preservation area; 3 = ecosystem recovery area.</w:t>
      </w:r>
    </w:p>
    <w:tbl>
      <w:tblPr>
        <w:tblW w:w="14142" w:type="dxa"/>
        <w:tblInd w:w="-113" w:type="dxa"/>
        <w:tblBorders>
          <w:top w:val="nil"/>
          <w:left w:val="nil"/>
          <w:bottom w:val="nil"/>
          <w:right w:val="nil"/>
        </w:tblBorders>
        <w:tblLayout w:type="fixed"/>
        <w:tblLook w:val="0000" w:firstRow="0" w:lastRow="0" w:firstColumn="0" w:lastColumn="0" w:noHBand="0" w:noVBand="0"/>
      </w:tblPr>
      <w:tblGrid>
        <w:gridCol w:w="1384"/>
        <w:gridCol w:w="1985"/>
        <w:gridCol w:w="6095"/>
        <w:gridCol w:w="2835"/>
        <w:gridCol w:w="1843"/>
      </w:tblGrid>
      <w:tr w:rsidR="003646F2" w:rsidRPr="005516CD" w14:paraId="6E5F0F95" w14:textId="77777777" w:rsidTr="000C683F">
        <w:trPr>
          <w:trHeight w:val="379"/>
          <w:tblHeader/>
        </w:trPr>
        <w:tc>
          <w:tcPr>
            <w:tcW w:w="138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829EDA5" w14:textId="77777777" w:rsidR="003646F2" w:rsidRPr="005516CD" w:rsidRDefault="003646F2" w:rsidP="000C683F">
            <w:pPr>
              <w:autoSpaceDE w:val="0"/>
              <w:autoSpaceDN w:val="0"/>
              <w:adjustRightInd w:val="0"/>
              <w:jc w:val="center"/>
              <w:rPr>
                <w:rFonts w:ascii="Calibri" w:hAnsi="Calibri" w:cs="Calibri"/>
                <w:b/>
                <w:color w:val="000000"/>
                <w:sz w:val="22"/>
                <w:szCs w:val="22"/>
              </w:rPr>
            </w:pPr>
            <w:r w:rsidRPr="005516CD">
              <w:rPr>
                <w:rFonts w:ascii="Calibri" w:hAnsi="Calibri" w:cs="Calibri"/>
                <w:b/>
                <w:color w:val="000000"/>
                <w:sz w:val="22"/>
                <w:szCs w:val="22"/>
              </w:rPr>
              <w:t>Department</w:t>
            </w:r>
          </w:p>
        </w:tc>
        <w:tc>
          <w:tcPr>
            <w:tcW w:w="1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8EB33A" w14:textId="77777777" w:rsidR="003646F2" w:rsidRPr="005516CD" w:rsidRDefault="003646F2" w:rsidP="000C683F">
            <w:pPr>
              <w:autoSpaceDE w:val="0"/>
              <w:autoSpaceDN w:val="0"/>
              <w:adjustRightInd w:val="0"/>
              <w:jc w:val="center"/>
              <w:rPr>
                <w:rFonts w:ascii="Calibri" w:hAnsi="Calibri" w:cs="Calibri"/>
                <w:b/>
                <w:color w:val="000000"/>
                <w:sz w:val="22"/>
                <w:szCs w:val="22"/>
              </w:rPr>
            </w:pPr>
            <w:r w:rsidRPr="005516CD">
              <w:rPr>
                <w:rFonts w:ascii="Calibri" w:hAnsi="Calibri" w:cs="Calibri"/>
                <w:b/>
                <w:color w:val="000000"/>
                <w:sz w:val="22"/>
                <w:szCs w:val="22"/>
              </w:rPr>
              <w:t>Municipalities / intervention area</w:t>
            </w:r>
          </w:p>
        </w:tc>
        <w:tc>
          <w:tcPr>
            <w:tcW w:w="60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C7E7B34" w14:textId="77777777" w:rsidR="003646F2" w:rsidRPr="005516CD" w:rsidRDefault="003646F2" w:rsidP="000C683F">
            <w:pPr>
              <w:autoSpaceDE w:val="0"/>
              <w:autoSpaceDN w:val="0"/>
              <w:adjustRightInd w:val="0"/>
              <w:jc w:val="center"/>
              <w:rPr>
                <w:rFonts w:ascii="Calibri" w:hAnsi="Calibri" w:cs="Calibri"/>
                <w:b/>
                <w:color w:val="000000"/>
                <w:sz w:val="22"/>
                <w:szCs w:val="22"/>
              </w:rPr>
            </w:pPr>
            <w:r w:rsidRPr="005516CD">
              <w:rPr>
                <w:rFonts w:ascii="Calibri" w:hAnsi="Calibri" w:cs="Calibri"/>
                <w:b/>
                <w:color w:val="000000"/>
                <w:sz w:val="22"/>
                <w:szCs w:val="22"/>
              </w:rPr>
              <w:t>Level of the community situation</w:t>
            </w:r>
          </w:p>
        </w:tc>
        <w:tc>
          <w:tcPr>
            <w:tcW w:w="283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497081" w14:textId="77777777" w:rsidR="003646F2" w:rsidRPr="005516CD" w:rsidRDefault="003646F2" w:rsidP="000C683F">
            <w:pPr>
              <w:autoSpaceDE w:val="0"/>
              <w:autoSpaceDN w:val="0"/>
              <w:adjustRightInd w:val="0"/>
              <w:jc w:val="center"/>
              <w:rPr>
                <w:rFonts w:ascii="Calibri" w:hAnsi="Calibri" w:cs="Calibri"/>
                <w:b/>
                <w:color w:val="000000"/>
                <w:sz w:val="22"/>
                <w:szCs w:val="22"/>
              </w:rPr>
            </w:pPr>
            <w:r w:rsidRPr="005516CD">
              <w:rPr>
                <w:rFonts w:ascii="Calibri" w:hAnsi="Calibri" w:cs="Calibri"/>
                <w:b/>
                <w:color w:val="000000"/>
                <w:sz w:val="22"/>
                <w:szCs w:val="22"/>
              </w:rPr>
              <w:t>Activities</w:t>
            </w:r>
          </w:p>
        </w:tc>
        <w:tc>
          <w:tcPr>
            <w:tcW w:w="184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B6DCD04" w14:textId="77777777" w:rsidR="003646F2" w:rsidRPr="005516CD" w:rsidRDefault="003646F2" w:rsidP="000C683F">
            <w:pPr>
              <w:autoSpaceDE w:val="0"/>
              <w:autoSpaceDN w:val="0"/>
              <w:adjustRightInd w:val="0"/>
              <w:jc w:val="center"/>
              <w:rPr>
                <w:rFonts w:ascii="Calibri" w:hAnsi="Calibri" w:cs="Calibri"/>
                <w:b/>
                <w:color w:val="000000"/>
                <w:sz w:val="22"/>
                <w:szCs w:val="22"/>
              </w:rPr>
            </w:pPr>
            <w:r w:rsidRPr="005516CD">
              <w:rPr>
                <w:rFonts w:ascii="Calibri" w:hAnsi="Calibri" w:cs="Calibri"/>
                <w:b/>
                <w:color w:val="000000"/>
                <w:sz w:val="22"/>
                <w:szCs w:val="22"/>
              </w:rPr>
              <w:t>Relevant project components</w:t>
            </w:r>
          </w:p>
        </w:tc>
      </w:tr>
      <w:tr w:rsidR="003646F2" w:rsidRPr="005516CD" w14:paraId="24F2A73E" w14:textId="77777777" w:rsidTr="000C683F">
        <w:trPr>
          <w:trHeight w:val="1261"/>
        </w:trPr>
        <w:tc>
          <w:tcPr>
            <w:tcW w:w="1384" w:type="dxa"/>
            <w:tcBorders>
              <w:top w:val="single" w:sz="4" w:space="0" w:color="auto"/>
              <w:left w:val="single" w:sz="4" w:space="0" w:color="auto"/>
              <w:bottom w:val="single" w:sz="4" w:space="0" w:color="auto"/>
              <w:right w:val="single" w:sz="4" w:space="0" w:color="auto"/>
            </w:tcBorders>
          </w:tcPr>
          <w:p w14:paraId="4FE5AE28"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Northeast </w:t>
            </w:r>
          </w:p>
        </w:tc>
        <w:tc>
          <w:tcPr>
            <w:tcW w:w="1985" w:type="dxa"/>
            <w:tcBorders>
              <w:top w:val="single" w:sz="4" w:space="0" w:color="auto"/>
              <w:left w:val="single" w:sz="4" w:space="0" w:color="auto"/>
              <w:bottom w:val="single" w:sz="4" w:space="0" w:color="auto"/>
              <w:right w:val="single" w:sz="4" w:space="0" w:color="auto"/>
            </w:tcBorders>
          </w:tcPr>
          <w:p w14:paraId="39570514" w14:textId="77777777" w:rsidR="003646F2" w:rsidRPr="005516CD" w:rsidRDefault="003646F2" w:rsidP="000C683F">
            <w:pPr>
              <w:autoSpaceDE w:val="0"/>
              <w:autoSpaceDN w:val="0"/>
              <w:adjustRightInd w:val="0"/>
              <w:rPr>
                <w:rFonts w:ascii="Calibri" w:hAnsi="Calibri" w:cs="Calibri"/>
                <w:color w:val="000000"/>
                <w:sz w:val="22"/>
                <w:szCs w:val="22"/>
                <w:lang w:val="fr-CA"/>
              </w:rPr>
            </w:pPr>
            <w:r w:rsidRPr="005516CD">
              <w:rPr>
                <w:rFonts w:ascii="Calibri" w:hAnsi="Calibri" w:cs="Calibri"/>
                <w:color w:val="000000"/>
                <w:sz w:val="22"/>
                <w:szCs w:val="22"/>
                <w:lang w:val="fr-CA"/>
              </w:rPr>
              <w:t xml:space="preserve">Conservation area : </w:t>
            </w:r>
          </w:p>
          <w:p w14:paraId="5A6AB438" w14:textId="77777777" w:rsidR="003646F2" w:rsidRPr="005516CD" w:rsidRDefault="003646F2" w:rsidP="000C683F">
            <w:pPr>
              <w:autoSpaceDE w:val="0"/>
              <w:autoSpaceDN w:val="0"/>
              <w:adjustRightInd w:val="0"/>
              <w:rPr>
                <w:rFonts w:ascii="Calibri" w:hAnsi="Calibri" w:cs="Calibri"/>
                <w:color w:val="000000"/>
                <w:sz w:val="22"/>
                <w:szCs w:val="22"/>
                <w:lang w:val="fr-CA"/>
              </w:rPr>
            </w:pPr>
            <w:proofErr w:type="spellStart"/>
            <w:r w:rsidRPr="005516CD">
              <w:rPr>
                <w:rFonts w:ascii="Calibri" w:hAnsi="Calibri" w:cs="Calibri"/>
                <w:color w:val="000000"/>
                <w:sz w:val="22"/>
                <w:szCs w:val="22"/>
                <w:lang w:val="fr-CA"/>
              </w:rPr>
              <w:t>Carice</w:t>
            </w:r>
            <w:proofErr w:type="spellEnd"/>
            <w:r w:rsidRPr="005516CD">
              <w:rPr>
                <w:rFonts w:ascii="Calibri" w:hAnsi="Calibri" w:cs="Calibri"/>
                <w:color w:val="000000"/>
                <w:sz w:val="22"/>
                <w:szCs w:val="22"/>
                <w:lang w:val="fr-CA"/>
              </w:rPr>
              <w:t xml:space="preserve">; Mont-Organisé; Vallières; Sainte-Suzanne; Mombin-Crochu. </w:t>
            </w:r>
          </w:p>
        </w:tc>
        <w:tc>
          <w:tcPr>
            <w:tcW w:w="6095" w:type="dxa"/>
            <w:tcBorders>
              <w:top w:val="single" w:sz="4" w:space="0" w:color="auto"/>
              <w:left w:val="single" w:sz="4" w:space="0" w:color="auto"/>
              <w:bottom w:val="single" w:sz="4" w:space="0" w:color="auto"/>
              <w:right w:val="single" w:sz="4" w:space="0" w:color="auto"/>
            </w:tcBorders>
          </w:tcPr>
          <w:p w14:paraId="4A90AE05"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Characterized by a process of visible degradation and erosion of biodiversity that can be recovered in the medium term: </w:t>
            </w:r>
          </w:p>
          <w:p w14:paraId="2B70E250"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Opportunities to work with local authorities; </w:t>
            </w:r>
          </w:p>
          <w:p w14:paraId="24A6F181"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The organizational bases are active but financially and technically weak; </w:t>
            </w:r>
          </w:p>
          <w:p w14:paraId="338B9E8E"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Alarming levels of youth migration or transition to other economic activities outside agriculture (e.g. motorcycle taxis). </w:t>
            </w:r>
          </w:p>
        </w:tc>
        <w:tc>
          <w:tcPr>
            <w:tcW w:w="2835" w:type="dxa"/>
            <w:tcBorders>
              <w:top w:val="single" w:sz="4" w:space="0" w:color="auto"/>
              <w:left w:val="single" w:sz="4" w:space="0" w:color="auto"/>
              <w:bottom w:val="single" w:sz="4" w:space="0" w:color="auto"/>
              <w:right w:val="single" w:sz="4" w:space="0" w:color="auto"/>
            </w:tcBorders>
          </w:tcPr>
          <w:p w14:paraId="0E4E8C60"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Training on agricultural management and entrepreneurship for organized groups. </w:t>
            </w:r>
          </w:p>
        </w:tc>
        <w:tc>
          <w:tcPr>
            <w:tcW w:w="1843" w:type="dxa"/>
            <w:tcBorders>
              <w:top w:val="single" w:sz="4" w:space="0" w:color="auto"/>
              <w:left w:val="single" w:sz="4" w:space="0" w:color="auto"/>
              <w:bottom w:val="single" w:sz="4" w:space="0" w:color="auto"/>
              <w:right w:val="single" w:sz="4" w:space="0" w:color="auto"/>
            </w:tcBorders>
          </w:tcPr>
          <w:p w14:paraId="766BE9BB"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1 </w:t>
            </w:r>
          </w:p>
        </w:tc>
      </w:tr>
      <w:tr w:rsidR="003646F2" w:rsidRPr="005516CD" w14:paraId="3ABF1A3F" w14:textId="77777777" w:rsidTr="000C683F">
        <w:trPr>
          <w:trHeight w:val="1923"/>
        </w:trPr>
        <w:tc>
          <w:tcPr>
            <w:tcW w:w="1384" w:type="dxa"/>
            <w:vMerge w:val="restart"/>
            <w:tcBorders>
              <w:top w:val="single" w:sz="4" w:space="0" w:color="auto"/>
              <w:left w:val="single" w:sz="4" w:space="0" w:color="auto"/>
              <w:right w:val="single" w:sz="4" w:space="0" w:color="auto"/>
            </w:tcBorders>
          </w:tcPr>
          <w:p w14:paraId="0C06B631"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North </w:t>
            </w:r>
          </w:p>
        </w:tc>
        <w:tc>
          <w:tcPr>
            <w:tcW w:w="1985" w:type="dxa"/>
            <w:tcBorders>
              <w:top w:val="single" w:sz="4" w:space="0" w:color="auto"/>
              <w:left w:val="single" w:sz="4" w:space="0" w:color="auto"/>
              <w:bottom w:val="single" w:sz="4" w:space="0" w:color="auto"/>
              <w:right w:val="single" w:sz="4" w:space="0" w:color="auto"/>
            </w:tcBorders>
          </w:tcPr>
          <w:p w14:paraId="78881FE8"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Conservation area: </w:t>
            </w:r>
          </w:p>
          <w:p w14:paraId="193D0AA2" w14:textId="77777777" w:rsidR="003646F2" w:rsidRPr="005516CD" w:rsidRDefault="003646F2" w:rsidP="000C683F">
            <w:pPr>
              <w:autoSpaceDE w:val="0"/>
              <w:autoSpaceDN w:val="0"/>
              <w:adjustRightInd w:val="0"/>
              <w:rPr>
                <w:rFonts w:ascii="Calibri" w:hAnsi="Calibri" w:cs="Calibri"/>
                <w:color w:val="000000"/>
                <w:sz w:val="22"/>
                <w:szCs w:val="22"/>
              </w:rPr>
            </w:pPr>
            <w:proofErr w:type="spellStart"/>
            <w:r w:rsidRPr="005516CD">
              <w:rPr>
                <w:rFonts w:ascii="Calibri" w:hAnsi="Calibri" w:cs="Calibri"/>
                <w:color w:val="000000"/>
                <w:sz w:val="22"/>
                <w:szCs w:val="22"/>
              </w:rPr>
              <w:t>Bahon</w:t>
            </w:r>
            <w:proofErr w:type="spellEnd"/>
            <w:r w:rsidRPr="005516CD">
              <w:rPr>
                <w:rFonts w:ascii="Calibri" w:hAnsi="Calibri" w:cs="Calibri"/>
                <w:color w:val="000000"/>
                <w:sz w:val="22"/>
                <w:szCs w:val="22"/>
              </w:rPr>
              <w:t xml:space="preserve">; </w:t>
            </w:r>
          </w:p>
          <w:p w14:paraId="55CDAC5C"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Port-Margot </w:t>
            </w:r>
          </w:p>
        </w:tc>
        <w:tc>
          <w:tcPr>
            <w:tcW w:w="6095" w:type="dxa"/>
            <w:tcBorders>
              <w:top w:val="single" w:sz="4" w:space="0" w:color="auto"/>
              <w:left w:val="single" w:sz="4" w:space="0" w:color="auto"/>
              <w:bottom w:val="single" w:sz="4" w:space="0" w:color="auto"/>
              <w:right w:val="single" w:sz="4" w:space="0" w:color="auto"/>
            </w:tcBorders>
          </w:tcPr>
          <w:p w14:paraId="4E5A3883"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Characterized by a process of visible degradation and erosion of biodiversity that can be recovered in the medium term: </w:t>
            </w:r>
          </w:p>
          <w:p w14:paraId="7636D36D"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Opportunities to work with local authorities; </w:t>
            </w:r>
          </w:p>
          <w:p w14:paraId="3059F4A2"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The organisational bases are active but financially and technically weak; </w:t>
            </w:r>
          </w:p>
          <w:p w14:paraId="060AC465"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Alarming levels of youth migration or transition to other economic activities outside agriculture (e.g. motorcycle taxis). </w:t>
            </w:r>
          </w:p>
        </w:tc>
        <w:tc>
          <w:tcPr>
            <w:tcW w:w="2835" w:type="dxa"/>
            <w:tcBorders>
              <w:top w:val="single" w:sz="4" w:space="0" w:color="auto"/>
              <w:left w:val="single" w:sz="4" w:space="0" w:color="auto"/>
              <w:bottom w:val="single" w:sz="4" w:space="0" w:color="auto"/>
              <w:right w:val="single" w:sz="4" w:space="0" w:color="auto"/>
            </w:tcBorders>
          </w:tcPr>
          <w:p w14:paraId="661D0C7D"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Training on agricultural management and entrepreneurship for organized groups. </w:t>
            </w:r>
          </w:p>
        </w:tc>
        <w:tc>
          <w:tcPr>
            <w:tcW w:w="1843" w:type="dxa"/>
            <w:vMerge w:val="restart"/>
            <w:tcBorders>
              <w:top w:val="single" w:sz="4" w:space="0" w:color="auto"/>
              <w:left w:val="single" w:sz="4" w:space="0" w:color="auto"/>
              <w:right w:val="single" w:sz="4" w:space="0" w:color="auto"/>
            </w:tcBorders>
          </w:tcPr>
          <w:p w14:paraId="0375014A"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1,2,3 </w:t>
            </w:r>
          </w:p>
        </w:tc>
      </w:tr>
      <w:tr w:rsidR="003646F2" w:rsidRPr="005516CD" w14:paraId="45134120" w14:textId="77777777" w:rsidTr="000C683F">
        <w:trPr>
          <w:trHeight w:val="1923"/>
        </w:trPr>
        <w:tc>
          <w:tcPr>
            <w:tcW w:w="1384" w:type="dxa"/>
            <w:vMerge/>
            <w:tcBorders>
              <w:left w:val="single" w:sz="4" w:space="0" w:color="auto"/>
              <w:bottom w:val="single" w:sz="4" w:space="0" w:color="auto"/>
              <w:right w:val="single" w:sz="4" w:space="0" w:color="auto"/>
            </w:tcBorders>
          </w:tcPr>
          <w:p w14:paraId="505EBCBA" w14:textId="77777777" w:rsidR="003646F2" w:rsidRPr="005516CD" w:rsidRDefault="003646F2" w:rsidP="000C683F">
            <w:pPr>
              <w:autoSpaceDE w:val="0"/>
              <w:autoSpaceDN w:val="0"/>
              <w:adjustRightInd w:val="0"/>
              <w:rPr>
                <w:rFonts w:ascii="Calibri" w:hAnsi="Calibri" w:cs="Calibri"/>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tcPr>
          <w:p w14:paraId="5D7AFD3E"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Preservation area: </w:t>
            </w:r>
          </w:p>
          <w:p w14:paraId="52520CE9"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Pilate; Pleasure </w:t>
            </w:r>
          </w:p>
        </w:tc>
        <w:tc>
          <w:tcPr>
            <w:tcW w:w="6095" w:type="dxa"/>
            <w:tcBorders>
              <w:top w:val="single" w:sz="4" w:space="0" w:color="auto"/>
              <w:left w:val="single" w:sz="4" w:space="0" w:color="auto"/>
              <w:bottom w:val="single" w:sz="4" w:space="0" w:color="auto"/>
              <w:right w:val="single" w:sz="4" w:space="0" w:color="auto"/>
            </w:tcBorders>
          </w:tcPr>
          <w:p w14:paraId="30C63B3C"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Relatively low degradation processes, significant species diversity </w:t>
            </w:r>
          </w:p>
          <w:p w14:paraId="3FDB388D"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Well-developed and extensive vegetation structure with at least three layers </w:t>
            </w:r>
          </w:p>
          <w:p w14:paraId="58154533"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Increased environmental awareness among farmers, despite the weakness of State authorities at the central level </w:t>
            </w:r>
          </w:p>
          <w:p w14:paraId="430C9669"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Positive collaboration between elected local authorities and local leaders for the protection of </w:t>
            </w:r>
            <w:proofErr w:type="spellStart"/>
            <w:r w:rsidRPr="005516CD">
              <w:rPr>
                <w:rFonts w:ascii="Calibri" w:hAnsi="Calibri" w:cs="Calibri"/>
                <w:color w:val="000000"/>
                <w:sz w:val="22"/>
                <w:szCs w:val="22"/>
              </w:rPr>
              <w:t>agro</w:t>
            </w:r>
            <w:proofErr w:type="spellEnd"/>
            <w:r w:rsidRPr="005516CD">
              <w:rPr>
                <w:rFonts w:ascii="Calibri" w:hAnsi="Calibri" w:cs="Calibri"/>
                <w:color w:val="000000"/>
                <w:sz w:val="22"/>
                <w:szCs w:val="22"/>
              </w:rPr>
              <w:t xml:space="preserve">-environmental heritage. </w:t>
            </w:r>
          </w:p>
          <w:p w14:paraId="54F30EAA" w14:textId="77777777" w:rsidR="003646F2" w:rsidRPr="005516CD" w:rsidRDefault="003646F2" w:rsidP="000C683F">
            <w:pPr>
              <w:autoSpaceDE w:val="0"/>
              <w:autoSpaceDN w:val="0"/>
              <w:adjustRightInd w:val="0"/>
              <w:rPr>
                <w:rFonts w:ascii="Calibri" w:hAnsi="Calibri" w:cs="Calibri"/>
                <w:color w:val="000000"/>
                <w:sz w:val="22"/>
                <w:szCs w:val="22"/>
              </w:rPr>
            </w:pPr>
          </w:p>
        </w:tc>
        <w:tc>
          <w:tcPr>
            <w:tcW w:w="2835" w:type="dxa"/>
            <w:tcBorders>
              <w:top w:val="single" w:sz="4" w:space="0" w:color="auto"/>
              <w:left w:val="single" w:sz="4" w:space="0" w:color="auto"/>
              <w:bottom w:val="single" w:sz="4" w:space="0" w:color="auto"/>
              <w:right w:val="single" w:sz="4" w:space="0" w:color="auto"/>
            </w:tcBorders>
          </w:tcPr>
          <w:p w14:paraId="0B866568"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Training on natural resource management, environment, soil conservation and Agricultural Techniques on Land on Slopes (TATP) and agricultural entrepreneurship for organized groups. </w:t>
            </w:r>
          </w:p>
        </w:tc>
        <w:tc>
          <w:tcPr>
            <w:tcW w:w="1843" w:type="dxa"/>
            <w:vMerge/>
            <w:tcBorders>
              <w:left w:val="single" w:sz="4" w:space="0" w:color="auto"/>
              <w:bottom w:val="single" w:sz="4" w:space="0" w:color="auto"/>
              <w:right w:val="single" w:sz="4" w:space="0" w:color="auto"/>
            </w:tcBorders>
          </w:tcPr>
          <w:p w14:paraId="3DECEB7F" w14:textId="77777777" w:rsidR="003646F2" w:rsidRPr="005516CD" w:rsidRDefault="003646F2" w:rsidP="000C683F">
            <w:pPr>
              <w:autoSpaceDE w:val="0"/>
              <w:autoSpaceDN w:val="0"/>
              <w:adjustRightInd w:val="0"/>
              <w:rPr>
                <w:rFonts w:ascii="Calibri" w:hAnsi="Calibri" w:cs="Calibri"/>
                <w:color w:val="000000"/>
                <w:sz w:val="22"/>
                <w:szCs w:val="22"/>
              </w:rPr>
            </w:pPr>
          </w:p>
        </w:tc>
      </w:tr>
      <w:tr w:rsidR="003646F2" w:rsidRPr="005516CD" w14:paraId="1B988CD7" w14:textId="77777777" w:rsidTr="000C683F">
        <w:trPr>
          <w:trHeight w:val="1923"/>
        </w:trPr>
        <w:tc>
          <w:tcPr>
            <w:tcW w:w="1384" w:type="dxa"/>
            <w:tcBorders>
              <w:left w:val="single" w:sz="4" w:space="0" w:color="auto"/>
              <w:bottom w:val="single" w:sz="4" w:space="0" w:color="auto"/>
              <w:right w:val="single" w:sz="4" w:space="0" w:color="auto"/>
            </w:tcBorders>
          </w:tcPr>
          <w:p w14:paraId="0EB6483D" w14:textId="77777777" w:rsidR="003646F2" w:rsidRPr="005516CD" w:rsidRDefault="003646F2" w:rsidP="000C683F">
            <w:pPr>
              <w:autoSpaceDE w:val="0"/>
              <w:autoSpaceDN w:val="0"/>
              <w:adjustRightInd w:val="0"/>
              <w:rPr>
                <w:rFonts w:ascii="Calibri" w:hAnsi="Calibri" w:cs="Calibri"/>
                <w:color w:val="000000"/>
                <w:sz w:val="22"/>
                <w:szCs w:val="22"/>
              </w:rPr>
            </w:pPr>
          </w:p>
        </w:tc>
        <w:tc>
          <w:tcPr>
            <w:tcW w:w="1985" w:type="dxa"/>
            <w:tcBorders>
              <w:top w:val="single" w:sz="4" w:space="0" w:color="auto"/>
              <w:left w:val="single" w:sz="4" w:space="0" w:color="auto"/>
              <w:bottom w:val="single" w:sz="4" w:space="0" w:color="auto"/>
              <w:right w:val="single" w:sz="4" w:space="0" w:color="auto"/>
            </w:tcBorders>
          </w:tcPr>
          <w:p w14:paraId="01FDF6F3"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Recovery area: </w:t>
            </w:r>
          </w:p>
          <w:p w14:paraId="06F770E4"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 xml:space="preserve">North Great River; </w:t>
            </w:r>
            <w:proofErr w:type="spellStart"/>
            <w:r w:rsidRPr="005516CD">
              <w:rPr>
                <w:rFonts w:ascii="Calibri" w:hAnsi="Calibri" w:cs="Calibri"/>
                <w:color w:val="000000"/>
                <w:sz w:val="22"/>
                <w:szCs w:val="22"/>
              </w:rPr>
              <w:t>Dondon</w:t>
            </w:r>
            <w:proofErr w:type="spellEnd"/>
            <w:r w:rsidRPr="005516CD">
              <w:rPr>
                <w:rFonts w:ascii="Calibri" w:hAnsi="Calibri" w:cs="Calibri"/>
                <w:color w:val="000000"/>
                <w:sz w:val="22"/>
                <w:szCs w:val="22"/>
              </w:rPr>
              <w:t xml:space="preserve">; </w:t>
            </w:r>
            <w:proofErr w:type="spellStart"/>
            <w:r w:rsidRPr="005516CD">
              <w:rPr>
                <w:rFonts w:ascii="Calibri" w:hAnsi="Calibri" w:cs="Calibri"/>
                <w:color w:val="000000"/>
                <w:sz w:val="22"/>
                <w:szCs w:val="22"/>
              </w:rPr>
              <w:t>Milot</w:t>
            </w:r>
            <w:proofErr w:type="spellEnd"/>
            <w:r w:rsidRPr="005516CD">
              <w:rPr>
                <w:rFonts w:ascii="Calibri" w:hAnsi="Calibri" w:cs="Calibri"/>
                <w:color w:val="000000"/>
                <w:sz w:val="22"/>
                <w:szCs w:val="22"/>
              </w:rPr>
              <w:t xml:space="preserve">; North Plain; </w:t>
            </w:r>
            <w:proofErr w:type="spellStart"/>
            <w:r w:rsidRPr="005516CD">
              <w:rPr>
                <w:rFonts w:ascii="Calibri" w:hAnsi="Calibri" w:cs="Calibri"/>
                <w:color w:val="000000"/>
                <w:sz w:val="22"/>
                <w:szCs w:val="22"/>
              </w:rPr>
              <w:t>Limbé</w:t>
            </w:r>
            <w:proofErr w:type="spellEnd"/>
            <w:r w:rsidRPr="005516CD">
              <w:rPr>
                <w:rFonts w:ascii="Calibri" w:hAnsi="Calibri" w:cs="Calibri"/>
                <w:color w:val="000000"/>
                <w:sz w:val="22"/>
                <w:szCs w:val="22"/>
              </w:rPr>
              <w:t>; Borgne</w:t>
            </w:r>
          </w:p>
        </w:tc>
        <w:tc>
          <w:tcPr>
            <w:tcW w:w="6095" w:type="dxa"/>
            <w:vMerge w:val="restart"/>
            <w:tcBorders>
              <w:top w:val="single" w:sz="4" w:space="0" w:color="auto"/>
              <w:left w:val="single" w:sz="4" w:space="0" w:color="auto"/>
              <w:right w:val="single" w:sz="4" w:space="0" w:color="auto"/>
            </w:tcBorders>
          </w:tcPr>
          <w:p w14:paraId="5DB29F8A"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Accelerated degradation processes, with serious risks to the possibility of recovery and regeneration </w:t>
            </w:r>
          </w:p>
          <w:p w14:paraId="289F5142"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 xml:space="preserve">The preservation of the remaining ecosystems is due in part to the presence of value chain actors (such as Novella, FECCANO, RECOCANO); </w:t>
            </w:r>
          </w:p>
          <w:p w14:paraId="02FD1D42"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r w:rsidRPr="005516CD">
              <w:rPr>
                <w:rFonts w:ascii="Calibri" w:hAnsi="Calibri" w:cs="Calibri"/>
                <w:color w:val="000000"/>
                <w:sz w:val="22"/>
                <w:szCs w:val="22"/>
              </w:rPr>
              <w:t>Better-off producers tend to be more resilient.</w:t>
            </w:r>
          </w:p>
          <w:p w14:paraId="43581D01" w14:textId="77777777" w:rsidR="003646F2" w:rsidRPr="005516CD" w:rsidRDefault="003646F2" w:rsidP="000C683F">
            <w:pPr>
              <w:autoSpaceDE w:val="0"/>
              <w:autoSpaceDN w:val="0"/>
              <w:adjustRightInd w:val="0"/>
              <w:rPr>
                <w:rFonts w:ascii="Calibri" w:hAnsi="Calibri" w:cs="Calibri"/>
                <w:color w:val="000000"/>
                <w:sz w:val="22"/>
                <w:szCs w:val="22"/>
              </w:rPr>
            </w:pPr>
          </w:p>
        </w:tc>
        <w:tc>
          <w:tcPr>
            <w:tcW w:w="2835" w:type="dxa"/>
            <w:tcBorders>
              <w:top w:val="single" w:sz="4" w:space="0" w:color="auto"/>
              <w:left w:val="single" w:sz="4" w:space="0" w:color="auto"/>
              <w:bottom w:val="single" w:sz="4" w:space="0" w:color="auto"/>
              <w:right w:val="single" w:sz="4" w:space="0" w:color="auto"/>
            </w:tcBorders>
          </w:tcPr>
          <w:p w14:paraId="265D99C4"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Training on natural resource management, environment, soil conservation and Agricultural Techniques on Land on Slopes (TATP) and agricultural entrepreneurship for organized groups.</w:t>
            </w:r>
          </w:p>
        </w:tc>
        <w:tc>
          <w:tcPr>
            <w:tcW w:w="1843" w:type="dxa"/>
            <w:tcBorders>
              <w:left w:val="single" w:sz="4" w:space="0" w:color="auto"/>
              <w:bottom w:val="single" w:sz="4" w:space="0" w:color="auto"/>
              <w:right w:val="single" w:sz="4" w:space="0" w:color="auto"/>
            </w:tcBorders>
          </w:tcPr>
          <w:p w14:paraId="6FE0BBFB" w14:textId="77777777" w:rsidR="003646F2" w:rsidRPr="005516CD" w:rsidRDefault="003646F2" w:rsidP="000C683F">
            <w:pPr>
              <w:autoSpaceDE w:val="0"/>
              <w:autoSpaceDN w:val="0"/>
              <w:adjustRightInd w:val="0"/>
              <w:rPr>
                <w:rFonts w:ascii="Calibri" w:hAnsi="Calibri" w:cs="Calibri"/>
                <w:color w:val="000000"/>
                <w:sz w:val="22"/>
                <w:szCs w:val="22"/>
              </w:rPr>
            </w:pPr>
          </w:p>
        </w:tc>
      </w:tr>
      <w:tr w:rsidR="003646F2" w:rsidRPr="005516CD" w14:paraId="4E1AF1BF" w14:textId="77777777" w:rsidTr="000C683F">
        <w:trPr>
          <w:trHeight w:val="752"/>
        </w:trPr>
        <w:tc>
          <w:tcPr>
            <w:tcW w:w="1384" w:type="dxa"/>
            <w:tcBorders>
              <w:left w:val="single" w:sz="4" w:space="0" w:color="auto"/>
              <w:bottom w:val="single" w:sz="4" w:space="0" w:color="auto"/>
              <w:right w:val="single" w:sz="4" w:space="0" w:color="auto"/>
            </w:tcBorders>
          </w:tcPr>
          <w:p w14:paraId="465FC2F0"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Artibonite</w:t>
            </w:r>
          </w:p>
        </w:tc>
        <w:tc>
          <w:tcPr>
            <w:tcW w:w="1985" w:type="dxa"/>
            <w:tcBorders>
              <w:top w:val="single" w:sz="4" w:space="0" w:color="auto"/>
              <w:left w:val="single" w:sz="4" w:space="0" w:color="auto"/>
              <w:bottom w:val="single" w:sz="4" w:space="0" w:color="auto"/>
              <w:right w:val="single" w:sz="4" w:space="0" w:color="auto"/>
            </w:tcBorders>
          </w:tcPr>
          <w:p w14:paraId="62C638D1"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Marmalade</w:t>
            </w:r>
          </w:p>
        </w:tc>
        <w:tc>
          <w:tcPr>
            <w:tcW w:w="6095" w:type="dxa"/>
            <w:vMerge/>
            <w:tcBorders>
              <w:left w:val="single" w:sz="4" w:space="0" w:color="auto"/>
              <w:bottom w:val="single" w:sz="4" w:space="0" w:color="auto"/>
              <w:right w:val="single" w:sz="4" w:space="0" w:color="auto"/>
            </w:tcBorders>
          </w:tcPr>
          <w:p w14:paraId="697E9CA4" w14:textId="77777777" w:rsidR="003646F2" w:rsidRPr="005516CD" w:rsidRDefault="003646F2" w:rsidP="003646F2">
            <w:pPr>
              <w:numPr>
                <w:ilvl w:val="0"/>
                <w:numId w:val="143"/>
              </w:numPr>
              <w:autoSpaceDE w:val="0"/>
              <w:autoSpaceDN w:val="0"/>
              <w:adjustRightInd w:val="0"/>
              <w:ind w:left="226" w:hanging="226"/>
              <w:rPr>
                <w:rFonts w:ascii="Calibri" w:hAnsi="Calibri" w:cs="Calibri"/>
                <w:color w:val="000000"/>
                <w:sz w:val="22"/>
                <w:szCs w:val="22"/>
              </w:rPr>
            </w:pPr>
          </w:p>
        </w:tc>
        <w:tc>
          <w:tcPr>
            <w:tcW w:w="2835" w:type="dxa"/>
            <w:tcBorders>
              <w:top w:val="single" w:sz="4" w:space="0" w:color="auto"/>
              <w:left w:val="single" w:sz="4" w:space="0" w:color="auto"/>
              <w:bottom w:val="single" w:sz="4" w:space="0" w:color="auto"/>
              <w:right w:val="single" w:sz="4" w:space="0" w:color="auto"/>
            </w:tcBorders>
          </w:tcPr>
          <w:p w14:paraId="394C1CF1"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Training on natural resource management, environment, soil conservation and Agricultural Techniques on Land on Slopes (TATP).</w:t>
            </w:r>
          </w:p>
        </w:tc>
        <w:tc>
          <w:tcPr>
            <w:tcW w:w="1843" w:type="dxa"/>
            <w:tcBorders>
              <w:left w:val="single" w:sz="4" w:space="0" w:color="auto"/>
              <w:bottom w:val="single" w:sz="4" w:space="0" w:color="auto"/>
              <w:right w:val="single" w:sz="4" w:space="0" w:color="auto"/>
            </w:tcBorders>
          </w:tcPr>
          <w:p w14:paraId="37FF0977" w14:textId="77777777" w:rsidR="003646F2" w:rsidRPr="005516CD" w:rsidRDefault="003646F2" w:rsidP="000C683F">
            <w:pPr>
              <w:autoSpaceDE w:val="0"/>
              <w:autoSpaceDN w:val="0"/>
              <w:adjustRightInd w:val="0"/>
              <w:rPr>
                <w:rFonts w:ascii="Calibri" w:hAnsi="Calibri" w:cs="Calibri"/>
                <w:color w:val="000000"/>
                <w:sz w:val="22"/>
                <w:szCs w:val="22"/>
              </w:rPr>
            </w:pPr>
            <w:r w:rsidRPr="005516CD">
              <w:rPr>
                <w:rFonts w:ascii="Calibri" w:hAnsi="Calibri" w:cs="Calibri"/>
                <w:color w:val="000000"/>
                <w:sz w:val="22"/>
                <w:szCs w:val="22"/>
              </w:rPr>
              <w:t>1</w:t>
            </w:r>
          </w:p>
        </w:tc>
      </w:tr>
    </w:tbl>
    <w:p w14:paraId="7AB90C37" w14:textId="77777777" w:rsidR="003646F2" w:rsidRPr="005516CD" w:rsidRDefault="003646F2" w:rsidP="003646F2">
      <w:pPr>
        <w:sectPr w:rsidR="003646F2" w:rsidRPr="005516CD" w:rsidSect="004E3C8E">
          <w:pgSz w:w="15840" w:h="12240" w:orient="landscape"/>
          <w:pgMar w:top="1440" w:right="1440" w:bottom="1440" w:left="1440" w:header="708" w:footer="708" w:gutter="0"/>
          <w:cols w:space="708"/>
          <w:docGrid w:linePitch="360"/>
        </w:sectPr>
      </w:pPr>
    </w:p>
    <w:p w14:paraId="2816A666" w14:textId="77777777" w:rsidR="003646F2" w:rsidRPr="005516CD" w:rsidRDefault="003646F2" w:rsidP="003646F2">
      <w:pPr>
        <w:pStyle w:val="Default"/>
        <w:rPr>
          <w:rFonts w:ascii="Calibri" w:hAnsi="Calibri" w:cs="Calibri"/>
          <w:b/>
          <w:sz w:val="23"/>
          <w:szCs w:val="23"/>
        </w:rPr>
      </w:pPr>
      <w:r w:rsidRPr="005516CD">
        <w:rPr>
          <w:rFonts w:ascii="Calibri" w:hAnsi="Calibri" w:cs="Calibri"/>
          <w:b/>
          <w:sz w:val="23"/>
          <w:szCs w:val="23"/>
        </w:rPr>
        <w:t xml:space="preserve">V. Social inclusion considerations </w:t>
      </w:r>
    </w:p>
    <w:p w14:paraId="07FA59D2"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above-mentioned consultation process and the resulting stakeholder mapping exercise were based on a gender-sensitive approach, based on gender-sensitive issues and modalities, thus ensuring that the voices and ideas of women and men are included. </w:t>
      </w:r>
    </w:p>
    <w:p w14:paraId="2A547AB2"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Among the community stakeholder groups identified in the table above, the representation of women is high. In addition, women have similar access to participation opportunities compared to men. Some cooperatives such as the cocoa cooperative (</w:t>
      </w:r>
      <w:proofErr w:type="spellStart"/>
      <w:r w:rsidRPr="005516CD">
        <w:rPr>
          <w:rFonts w:ascii="Calibri" w:hAnsi="Calibri" w:cs="Calibri"/>
          <w:sz w:val="22"/>
          <w:szCs w:val="22"/>
        </w:rPr>
        <w:t>Coopérative</w:t>
      </w:r>
      <w:proofErr w:type="spellEnd"/>
      <w:r w:rsidRPr="005516CD">
        <w:rPr>
          <w:rFonts w:ascii="Calibri" w:hAnsi="Calibri" w:cs="Calibri"/>
          <w:sz w:val="22"/>
          <w:szCs w:val="22"/>
        </w:rPr>
        <w:t xml:space="preserve"> Agricole Jean Baptiste Chavannes CAJBC) in Grande rivière du Nord and the coffee cooperative (</w:t>
      </w:r>
      <w:proofErr w:type="spellStart"/>
      <w:r w:rsidRPr="005516CD">
        <w:rPr>
          <w:rFonts w:ascii="Calibri" w:hAnsi="Calibri" w:cs="Calibri"/>
          <w:sz w:val="22"/>
          <w:szCs w:val="22"/>
        </w:rPr>
        <w:t>Coopérative</w:t>
      </w:r>
      <w:proofErr w:type="spellEnd"/>
      <w:r w:rsidRPr="005516CD">
        <w:rPr>
          <w:rFonts w:ascii="Calibri" w:hAnsi="Calibri" w:cs="Calibri"/>
          <w:sz w:val="22"/>
          <w:szCs w:val="22"/>
        </w:rPr>
        <w:t xml:space="preserve"> Agricole Femmes </w:t>
      </w:r>
      <w:proofErr w:type="spellStart"/>
      <w:r w:rsidRPr="005516CD">
        <w:rPr>
          <w:rFonts w:ascii="Calibri" w:hAnsi="Calibri" w:cs="Calibri"/>
          <w:sz w:val="22"/>
          <w:szCs w:val="22"/>
        </w:rPr>
        <w:t>Unies</w:t>
      </w:r>
      <w:proofErr w:type="spellEnd"/>
      <w:r w:rsidRPr="005516CD">
        <w:rPr>
          <w:rFonts w:ascii="Calibri" w:hAnsi="Calibri" w:cs="Calibri"/>
          <w:sz w:val="22"/>
          <w:szCs w:val="22"/>
        </w:rPr>
        <w:t xml:space="preserve"> de Mont-</w:t>
      </w:r>
      <w:proofErr w:type="spellStart"/>
      <w:r w:rsidRPr="005516CD">
        <w:rPr>
          <w:rFonts w:ascii="Calibri" w:hAnsi="Calibri" w:cs="Calibri"/>
          <w:sz w:val="22"/>
          <w:szCs w:val="22"/>
        </w:rPr>
        <w:t>Organisé</w:t>
      </w:r>
      <w:proofErr w:type="spellEnd"/>
      <w:r w:rsidRPr="005516CD">
        <w:rPr>
          <w:rFonts w:ascii="Calibri" w:hAnsi="Calibri" w:cs="Calibri"/>
          <w:sz w:val="22"/>
          <w:szCs w:val="22"/>
        </w:rPr>
        <w:t xml:space="preserve"> CAFUMO) require at least 30% women on their management committees. </w:t>
      </w:r>
    </w:p>
    <w:p w14:paraId="05F3DB5B"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In order to ensure full and equitable participation in the project cycle, an action and evaluation plan has been developed to ensure the fair and equitable participation of men and women in consultations with stakeholders and in the implementation of the project. </w:t>
      </w:r>
    </w:p>
    <w:p w14:paraId="7732D99E" w14:textId="77777777" w:rsidR="003646F2" w:rsidRPr="005516CD" w:rsidRDefault="003646F2" w:rsidP="003646F2">
      <w:pPr>
        <w:pStyle w:val="Default"/>
        <w:spacing w:after="120"/>
        <w:rPr>
          <w:rFonts w:ascii="Calibri" w:hAnsi="Calibri" w:cs="Calibri"/>
          <w:b/>
          <w:sz w:val="23"/>
          <w:szCs w:val="23"/>
        </w:rPr>
      </w:pPr>
      <w:r w:rsidRPr="005516CD">
        <w:rPr>
          <w:rFonts w:ascii="Calibri" w:hAnsi="Calibri" w:cs="Calibri"/>
          <w:b/>
          <w:sz w:val="23"/>
          <w:szCs w:val="23"/>
        </w:rPr>
        <w:t xml:space="preserve">VI. Stakeholder Engagement Plan </w:t>
      </w:r>
    </w:p>
    <w:p w14:paraId="74D37F00" w14:textId="77777777" w:rsidR="003646F2" w:rsidRPr="005516CD" w:rsidRDefault="003646F2" w:rsidP="003646F2">
      <w:pPr>
        <w:autoSpaceDE w:val="0"/>
        <w:autoSpaceDN w:val="0"/>
        <w:adjustRightInd w:val="0"/>
        <w:rPr>
          <w:rFonts w:ascii="Calibri" w:hAnsi="Calibri" w:cs="Calibri"/>
          <w:b/>
          <w:color w:val="000000"/>
          <w:sz w:val="23"/>
          <w:szCs w:val="23"/>
        </w:rPr>
      </w:pPr>
      <w:r w:rsidRPr="005516CD">
        <w:rPr>
          <w:rFonts w:ascii="Calibri" w:hAnsi="Calibri" w:cs="Calibri"/>
          <w:b/>
          <w:i/>
          <w:iCs/>
          <w:color w:val="000000"/>
          <w:sz w:val="23"/>
          <w:szCs w:val="23"/>
        </w:rPr>
        <w:t xml:space="preserve">Dissemination of information </w:t>
      </w:r>
    </w:p>
    <w:p w14:paraId="70BC25E6"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Disclosure refers to the provision of timely and accessible information about the project and its potential social and environmental impacts to stakeholders. It is necessary to facilitate meaningful, effective and informed participation in the design and implementation of the project. Social and environmental standards contain requirements for the disclosure of social and environmental risk analyses, management plans, any social and environmental monitoring, and social and environmental assessments. Draft versions of these reports were discussed with a broad representation of Haitian stakeholders in workshops, interviews and focus groups.</w:t>
      </w:r>
    </w:p>
    <w:p w14:paraId="7D06CEFA"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Two key ministries will be the implementing partners for this project: </w:t>
      </w:r>
      <w:proofErr w:type="gramStart"/>
      <w:r w:rsidRPr="005516CD">
        <w:rPr>
          <w:rFonts w:ascii="Calibri" w:hAnsi="Calibri" w:cs="Calibri"/>
          <w:sz w:val="22"/>
          <w:szCs w:val="22"/>
        </w:rPr>
        <w:t>the</w:t>
      </w:r>
      <w:proofErr w:type="gramEnd"/>
      <w:r w:rsidRPr="005516CD">
        <w:rPr>
          <w:rFonts w:ascii="Calibri" w:hAnsi="Calibri" w:cs="Calibri"/>
          <w:sz w:val="22"/>
          <w:szCs w:val="22"/>
        </w:rPr>
        <w:t xml:space="preserve"> Ministry of Environment (</w:t>
      </w:r>
      <w:proofErr w:type="spellStart"/>
      <w:r w:rsidRPr="005516CD">
        <w:rPr>
          <w:rFonts w:ascii="Calibri" w:hAnsi="Calibri" w:cs="Calibri"/>
          <w:sz w:val="22"/>
          <w:szCs w:val="22"/>
        </w:rPr>
        <w:t>M</w:t>
      </w:r>
      <w:r w:rsidR="00422BEB" w:rsidRPr="005516CD">
        <w:rPr>
          <w:rFonts w:ascii="Calibri" w:hAnsi="Calibri" w:cs="Calibri"/>
          <w:sz w:val="22"/>
          <w:szCs w:val="22"/>
        </w:rPr>
        <w:t>o</w:t>
      </w:r>
      <w:r w:rsidRPr="005516CD">
        <w:rPr>
          <w:rFonts w:ascii="Calibri" w:hAnsi="Calibri" w:cs="Calibri"/>
          <w:sz w:val="22"/>
          <w:szCs w:val="22"/>
        </w:rPr>
        <w:t>E</w:t>
      </w:r>
      <w:proofErr w:type="spellEnd"/>
      <w:r w:rsidRPr="005516CD">
        <w:rPr>
          <w:rFonts w:ascii="Calibri" w:hAnsi="Calibri" w:cs="Calibri"/>
          <w:sz w:val="22"/>
          <w:szCs w:val="22"/>
        </w:rPr>
        <w:t xml:space="preserve">), and the Ministry of Agriculture, Natural Resources and Rural Development (MARNDR) of Haiti. </w:t>
      </w:r>
    </w:p>
    <w:p w14:paraId="093F58B7"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The Ministry of the Environment (</w:t>
      </w:r>
      <w:proofErr w:type="spellStart"/>
      <w:r w:rsidRPr="005516CD">
        <w:rPr>
          <w:rFonts w:ascii="Calibri" w:hAnsi="Calibri" w:cs="Calibri"/>
          <w:sz w:val="22"/>
          <w:szCs w:val="22"/>
        </w:rPr>
        <w:t>M</w:t>
      </w:r>
      <w:r w:rsidR="00422BEB" w:rsidRPr="005516CD">
        <w:rPr>
          <w:rFonts w:ascii="Calibri" w:hAnsi="Calibri" w:cs="Calibri"/>
          <w:sz w:val="22"/>
          <w:szCs w:val="22"/>
        </w:rPr>
        <w:t>oE</w:t>
      </w:r>
      <w:proofErr w:type="spellEnd"/>
      <w:r w:rsidRPr="005516CD">
        <w:rPr>
          <w:rFonts w:ascii="Calibri" w:hAnsi="Calibri" w:cs="Calibri"/>
          <w:sz w:val="22"/>
          <w:szCs w:val="22"/>
        </w:rPr>
        <w:t xml:space="preserve">) is the national environmental authority in the country. It was created to protect the environment for future generations. He is involved in many activities related to climate change, including adaptation to the CC, biodiversity conservation, reforestation activities and National Park management, among others. It will be a key partner in the coordination of this project. </w:t>
      </w:r>
    </w:p>
    <w:p w14:paraId="5E3B1CC0"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Ministry of Environment has been decentralized and has a presence at the departmental level, which allows it to have different levels of operational capacity. The Ministry of the Environment and the Ministry of Agriculture will be the main implementing partners for this project at both national and departmental levels. </w:t>
      </w:r>
    </w:p>
    <w:p w14:paraId="1CCADB67" w14:textId="3ACF55E3"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w:t>
      </w:r>
      <w:proofErr w:type="spellStart"/>
      <w:r w:rsidRPr="005516CD">
        <w:rPr>
          <w:rFonts w:ascii="Calibri" w:hAnsi="Calibri" w:cs="Calibri"/>
          <w:sz w:val="22"/>
          <w:szCs w:val="22"/>
        </w:rPr>
        <w:t>Mo</w:t>
      </w:r>
      <w:r w:rsidR="00422BEB" w:rsidRPr="005516CD">
        <w:rPr>
          <w:rFonts w:ascii="Calibri" w:hAnsi="Calibri" w:cs="Calibri"/>
          <w:sz w:val="22"/>
          <w:szCs w:val="22"/>
        </w:rPr>
        <w:t>E</w:t>
      </w:r>
      <w:proofErr w:type="spellEnd"/>
      <w:r w:rsidRPr="005516CD">
        <w:rPr>
          <w:rFonts w:ascii="Calibri" w:hAnsi="Calibri" w:cs="Calibri"/>
          <w:sz w:val="22"/>
          <w:szCs w:val="22"/>
        </w:rPr>
        <w:t xml:space="preserve"> through its Central Directorate of Biodiversity, Reforestation and Agroforestry will be closely involved in the implementation of the related activities of this project, including the establishment of "school nurseries" for the production and dissemination of seedlings of tree species contributing to the resilience of agroforestry production systems, thus ensuring that the need to link the strengthening of agricultural production, the conservation and increase of </w:t>
      </w:r>
      <w:r w:rsidR="00690AD0">
        <w:rPr>
          <w:rFonts w:ascii="Calibri" w:hAnsi="Calibri" w:cs="Calibri"/>
          <w:sz w:val="22"/>
          <w:szCs w:val="22"/>
        </w:rPr>
        <w:t>Biodiversity</w:t>
      </w:r>
      <w:r w:rsidRPr="005516CD">
        <w:rPr>
          <w:rFonts w:ascii="Calibri" w:hAnsi="Calibri" w:cs="Calibri"/>
          <w:sz w:val="22"/>
          <w:szCs w:val="22"/>
        </w:rPr>
        <w:t xml:space="preserve"> and environmental protection is taken into account. </w:t>
      </w:r>
    </w:p>
    <w:p w14:paraId="2D4FB63E"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MARNDR, through the Management of the National Coffee Institute (INCAH), the Departmental Departments (DDA) and the Communal Agricultural Offices (BAC) will be closely involved in the implementation of the project activities, relating to the development and improvement of the value chain of the coffee and cocoa sectors. </w:t>
      </w:r>
    </w:p>
    <w:p w14:paraId="660F285C"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Another Prenatal Party at the national level will be the Ministry of the Interior and Territorial Communities (MICT) through local elected officials and the Directorate of Civil Protection and its Risk and Disaster Management Unit in charge of implementing a National Plan for Natural Disaster Risk Reduction in order to strengthen the capacity to respond to natural disasters at the national, departmental, municipal and local levels. The Civil Protection Department is decentralized and has a department in each municipality and civil protection committees in the municipal sections chaired by the Boards of Directors of the Municipal Sections (CASEC) and the Assemblies of the Municipal Sections (ASEC) act as focal points and are responsible for implementing the Natural Disaster Risk Reduction Plans at the local level. This network also includes the Departmental Delegates and various women's, youth and farmers' associations. </w:t>
      </w:r>
    </w:p>
    <w:p w14:paraId="6E8C4855" w14:textId="529226EF"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At the departmental level, the project will collaborate with the Departmental Directorates of Agriculture (DDA) and Environment (DDE) on the promotion of </w:t>
      </w:r>
      <w:r w:rsidR="00690AD0">
        <w:rPr>
          <w:rFonts w:ascii="Calibri" w:hAnsi="Calibri" w:cs="Calibri"/>
          <w:sz w:val="22"/>
          <w:szCs w:val="22"/>
        </w:rPr>
        <w:t>Biodiversity</w:t>
      </w:r>
      <w:r w:rsidRPr="005516CD">
        <w:rPr>
          <w:rFonts w:ascii="Calibri" w:hAnsi="Calibri" w:cs="Calibri"/>
          <w:sz w:val="22"/>
          <w:szCs w:val="22"/>
        </w:rPr>
        <w:t xml:space="preserve">, agriculture, rural development and the conservation and use of natural resources. Ministries will participate in the monitoring and evaluation of project activities. </w:t>
      </w:r>
    </w:p>
    <w:p w14:paraId="16BFC8D6" w14:textId="10865526"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In addition, local and international NGOs working in the targeted areas, as well as CASECs, ASECs, cocoa and coffee cooperatives, farmers' and women's associations, will be integrated into the various project activities to ensure grassroots participation and local ownership. Some of these stakeholders will be represented by a member at the coordination and information meetings to be convened by</w:t>
      </w:r>
      <w:r w:rsidR="002C209C">
        <w:rPr>
          <w:rFonts w:ascii="Calibri" w:hAnsi="Calibri" w:cs="Calibri"/>
          <w:sz w:val="22"/>
          <w:szCs w:val="22"/>
        </w:rPr>
        <w:t xml:space="preserve"> NGOs, CSO,</w:t>
      </w:r>
      <w:r w:rsidRPr="005516CD">
        <w:rPr>
          <w:rFonts w:ascii="Calibri" w:hAnsi="Calibri" w:cs="Calibri"/>
          <w:sz w:val="22"/>
          <w:szCs w:val="22"/>
        </w:rPr>
        <w:t xml:space="preserve"> UNDP and FAO in the various departments where the project will develop its activities. The purpose of these meetings will be to inform about the project activities, to establish a forum for dialogue on topics related to the project activities. These discussions could take place during special sessions of the Sectoral Tables meetings already active at the departmental level.</w:t>
      </w:r>
    </w:p>
    <w:p w14:paraId="56887935"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Local authorities and community institutions in ecosystem rehabilitation areas or those targeted by other </w:t>
      </w:r>
      <w:proofErr w:type="spellStart"/>
      <w:r w:rsidRPr="005516CD">
        <w:rPr>
          <w:rFonts w:ascii="Calibri" w:hAnsi="Calibri" w:cs="Calibri"/>
          <w:sz w:val="22"/>
          <w:szCs w:val="22"/>
        </w:rPr>
        <w:t>programmes</w:t>
      </w:r>
      <w:proofErr w:type="spellEnd"/>
      <w:r w:rsidRPr="005516CD">
        <w:rPr>
          <w:rFonts w:ascii="Calibri" w:hAnsi="Calibri" w:cs="Calibri"/>
          <w:sz w:val="22"/>
          <w:szCs w:val="22"/>
        </w:rPr>
        <w:t xml:space="preserve"> planned under the project (capacity building activities, decision-making involving local governance), have been informed of the objective and scope of the project, and will continue to be informed and involved in ongoing activities during implementation. The potential positive and negative impacts of all project interventions were also discussed with stakeholders, as well as the management measures that will be applied to prevent, mitigate or compensate for any negative impacts, as well as to reinforce the positive impacts and their respective outcomes, of the pre-investment phase. Overall, institutional and community stakeholders were presented with clear, relevant, timely and culturally appropriate information (in Creole), including local authorities and institutions, on the purpose, nature and size of the project, the entity responsible for the project and the activities carried out for design and implementation. </w:t>
      </w:r>
    </w:p>
    <w:p w14:paraId="4C9EBA53"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More specifically, the following information will be available:</w:t>
      </w:r>
    </w:p>
    <w:p w14:paraId="005ED45A"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rPr>
      </w:pPr>
      <w:r w:rsidRPr="005516CD">
        <w:rPr>
          <w:rFonts w:ascii="Calibri" w:hAnsi="Calibri" w:cs="Calibri"/>
          <w:color w:val="000000"/>
          <w:sz w:val="22"/>
        </w:rPr>
        <w:t xml:space="preserve">Stakeholder engagement plans and synthesis reports of stakeholder consultations, </w:t>
      </w:r>
    </w:p>
    <w:p w14:paraId="51053E23"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rPr>
      </w:pPr>
      <w:r w:rsidRPr="005516CD">
        <w:rPr>
          <w:rFonts w:ascii="Calibri" w:hAnsi="Calibri" w:cs="Calibri"/>
          <w:color w:val="000000"/>
          <w:sz w:val="22"/>
        </w:rPr>
        <w:t xml:space="preserve">Social and environmental balance sheet reports with project documentation (30 days before approval), </w:t>
      </w:r>
    </w:p>
    <w:p w14:paraId="512D9C75"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rPr>
      </w:pPr>
      <w:r w:rsidRPr="005516CD">
        <w:rPr>
          <w:rFonts w:ascii="Calibri" w:hAnsi="Calibri" w:cs="Calibri"/>
          <w:color w:val="000000"/>
          <w:sz w:val="22"/>
        </w:rPr>
        <w:t xml:space="preserve">Management framework for the main components of the project (good practices for forested productive systems; training and capacity building plans; institutional and organizational management and strengthening plan), </w:t>
      </w:r>
    </w:p>
    <w:p w14:paraId="5DD81143"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rPr>
      </w:pPr>
      <w:r w:rsidRPr="005516CD">
        <w:rPr>
          <w:rFonts w:ascii="Calibri" w:hAnsi="Calibri" w:cs="Calibri"/>
          <w:color w:val="000000"/>
          <w:sz w:val="22"/>
        </w:rPr>
        <w:t xml:space="preserve">Mechanism and procedure for complaints and/or claims (within the framework of the CGES). </w:t>
      </w:r>
    </w:p>
    <w:p w14:paraId="451B3299"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rPr>
      </w:pPr>
      <w:r w:rsidRPr="005516CD">
        <w:rPr>
          <w:rFonts w:ascii="Calibri" w:hAnsi="Calibri" w:cs="Calibri"/>
          <w:color w:val="000000"/>
          <w:sz w:val="22"/>
        </w:rPr>
        <w:t xml:space="preserve">Gender evaluation and action plan. </w:t>
      </w:r>
    </w:p>
    <w:p w14:paraId="3F70E9B4" w14:textId="77777777" w:rsidR="003646F2" w:rsidRPr="005516CD" w:rsidRDefault="003646F2" w:rsidP="003646F2">
      <w:pPr>
        <w:numPr>
          <w:ilvl w:val="0"/>
          <w:numId w:val="144"/>
        </w:numPr>
        <w:autoSpaceDE w:val="0"/>
        <w:autoSpaceDN w:val="0"/>
        <w:adjustRightInd w:val="0"/>
        <w:spacing w:after="120"/>
        <w:ind w:left="568" w:hanging="284"/>
        <w:rPr>
          <w:rFonts w:ascii="Calibri" w:hAnsi="Calibri" w:cs="Calibri"/>
          <w:color w:val="000000"/>
          <w:sz w:val="22"/>
        </w:rPr>
      </w:pPr>
      <w:r w:rsidRPr="005516CD">
        <w:rPr>
          <w:rFonts w:ascii="Calibri" w:hAnsi="Calibri" w:cs="Calibri"/>
          <w:color w:val="000000"/>
          <w:sz w:val="22"/>
        </w:rPr>
        <w:t xml:space="preserve">Full financing proposal. </w:t>
      </w:r>
    </w:p>
    <w:p w14:paraId="69C27B39" w14:textId="446ED28A" w:rsidR="003646F2" w:rsidRPr="005516CD" w:rsidRDefault="002C209C" w:rsidP="003646F2">
      <w:pPr>
        <w:pStyle w:val="Default"/>
        <w:spacing w:after="120"/>
        <w:rPr>
          <w:rFonts w:ascii="Calibri" w:hAnsi="Calibri" w:cs="Calibri"/>
          <w:sz w:val="22"/>
          <w:szCs w:val="22"/>
        </w:rPr>
      </w:pPr>
      <w:r>
        <w:rPr>
          <w:rFonts w:ascii="Calibri" w:hAnsi="Calibri" w:cs="Calibri"/>
          <w:sz w:val="22"/>
          <w:szCs w:val="22"/>
        </w:rPr>
        <w:t xml:space="preserve">CSO, NGOs, </w:t>
      </w:r>
      <w:r w:rsidR="003646F2" w:rsidRPr="005516CD">
        <w:rPr>
          <w:rFonts w:ascii="Calibri" w:hAnsi="Calibri" w:cs="Calibri"/>
          <w:sz w:val="22"/>
          <w:szCs w:val="22"/>
        </w:rPr>
        <w:t>UNDP, FAO</w:t>
      </w:r>
      <w:r>
        <w:rPr>
          <w:rFonts w:ascii="Calibri" w:hAnsi="Calibri" w:cs="Calibri"/>
          <w:sz w:val="22"/>
          <w:szCs w:val="22"/>
        </w:rPr>
        <w:t xml:space="preserve">, </w:t>
      </w:r>
      <w:proofErr w:type="spellStart"/>
      <w:r w:rsidR="003646F2" w:rsidRPr="005516CD">
        <w:rPr>
          <w:rFonts w:ascii="Calibri" w:hAnsi="Calibri" w:cs="Calibri"/>
          <w:sz w:val="22"/>
          <w:szCs w:val="22"/>
        </w:rPr>
        <w:t>M</w:t>
      </w:r>
      <w:r w:rsidR="00422BEB" w:rsidRPr="005516CD">
        <w:rPr>
          <w:rFonts w:ascii="Calibri" w:hAnsi="Calibri" w:cs="Calibri"/>
          <w:sz w:val="22"/>
          <w:szCs w:val="22"/>
        </w:rPr>
        <w:t>oE</w:t>
      </w:r>
      <w:proofErr w:type="spellEnd"/>
      <w:r w:rsidR="003646F2" w:rsidRPr="005516CD">
        <w:rPr>
          <w:rFonts w:ascii="Calibri" w:hAnsi="Calibri" w:cs="Calibri"/>
          <w:sz w:val="22"/>
          <w:szCs w:val="22"/>
        </w:rPr>
        <w:t xml:space="preserve"> and MARNDR will develop and publish regular updates on the project to provide interested stakeholders with information on the progress of the project. All inquiries, concerns, complaints and/or grievances will be recorded in a log and the appropriate manager will be informed. All material will be published in French as appropriate. Information should be disseminated throughout the project cycle, if necessary. The content and type of information will depend on the progress of the project, will be provided in the project area and the location of stakeholders will be adapted to the characteristics of the target population so that it is easily understood, in French and, if necessary, access will be facilitated. </w:t>
      </w:r>
    </w:p>
    <w:p w14:paraId="64FE3BEE" w14:textId="77777777" w:rsidR="003646F2" w:rsidRPr="005516CD" w:rsidRDefault="003646F2" w:rsidP="003646F2">
      <w:pPr>
        <w:keepNext/>
        <w:autoSpaceDE w:val="0"/>
        <w:autoSpaceDN w:val="0"/>
        <w:adjustRightInd w:val="0"/>
        <w:rPr>
          <w:rFonts w:ascii="Calibri" w:hAnsi="Calibri" w:cs="Calibri"/>
          <w:b/>
          <w:i/>
          <w:iCs/>
          <w:color w:val="000000"/>
          <w:sz w:val="23"/>
          <w:szCs w:val="23"/>
        </w:rPr>
      </w:pPr>
      <w:r w:rsidRPr="005516CD">
        <w:rPr>
          <w:rFonts w:ascii="Calibri" w:hAnsi="Calibri" w:cs="Calibri"/>
          <w:b/>
          <w:i/>
          <w:iCs/>
          <w:color w:val="000000"/>
          <w:sz w:val="23"/>
          <w:szCs w:val="23"/>
        </w:rPr>
        <w:t xml:space="preserve">Ongoing consultations </w:t>
      </w:r>
    </w:p>
    <w:p w14:paraId="084E0DD4"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Consultations, as conducted during project design, may continue throughout the project, depending on changes in context, project design or identified impacts, whether positive or negative. The call for consultation activities should be broad so that all interested parties can participate. Any consultation should be based on the prior disclosure of relevant and adequate information. </w:t>
      </w:r>
    </w:p>
    <w:p w14:paraId="357534DD"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The participation of all social actors should be facilitated, with particular emphasis on the contribution of women, and should be carried out according to the same principles as those applied to the dissemination of information. The development and conclusions of the consultations should be documented in such a way that all stakeholders have access to the results of the consultations. If the population is very large or</w:t>
      </w:r>
      <w:r w:rsidRPr="005516CD">
        <w:rPr>
          <w:sz w:val="22"/>
          <w:szCs w:val="22"/>
        </w:rPr>
        <w:t xml:space="preserve"> </w:t>
      </w:r>
      <w:r w:rsidRPr="005516CD">
        <w:rPr>
          <w:rFonts w:ascii="Calibri" w:hAnsi="Calibri" w:cs="Calibri"/>
          <w:sz w:val="22"/>
          <w:szCs w:val="22"/>
        </w:rPr>
        <w:t xml:space="preserve">diverse, several consultations should be </w:t>
      </w:r>
      <w:proofErr w:type="spellStart"/>
      <w:r w:rsidRPr="005516CD">
        <w:rPr>
          <w:rFonts w:ascii="Calibri" w:hAnsi="Calibri" w:cs="Calibri"/>
          <w:sz w:val="22"/>
          <w:szCs w:val="22"/>
        </w:rPr>
        <w:t>organised</w:t>
      </w:r>
      <w:proofErr w:type="spellEnd"/>
      <w:r w:rsidRPr="005516CD">
        <w:rPr>
          <w:rFonts w:ascii="Calibri" w:hAnsi="Calibri" w:cs="Calibri"/>
          <w:sz w:val="22"/>
          <w:szCs w:val="22"/>
        </w:rPr>
        <w:t xml:space="preserve"> in order to facilitate the participation of the stakeholders concerned. </w:t>
      </w:r>
    </w:p>
    <w:p w14:paraId="6C79DAA0" w14:textId="77777777" w:rsidR="003646F2" w:rsidRPr="005516CD" w:rsidRDefault="003646F2" w:rsidP="003646F2">
      <w:pPr>
        <w:autoSpaceDE w:val="0"/>
        <w:autoSpaceDN w:val="0"/>
        <w:adjustRightInd w:val="0"/>
        <w:rPr>
          <w:rFonts w:ascii="Calibri" w:hAnsi="Calibri" w:cs="Calibri"/>
          <w:b/>
          <w:i/>
          <w:iCs/>
          <w:color w:val="000000"/>
          <w:sz w:val="23"/>
          <w:szCs w:val="23"/>
        </w:rPr>
      </w:pPr>
      <w:r w:rsidRPr="005516CD">
        <w:rPr>
          <w:rFonts w:ascii="Calibri" w:hAnsi="Calibri" w:cs="Calibri"/>
          <w:b/>
          <w:i/>
          <w:iCs/>
          <w:color w:val="000000"/>
          <w:sz w:val="23"/>
          <w:szCs w:val="23"/>
        </w:rPr>
        <w:t xml:space="preserve">Follow-up of the Engagement Plan with stakeholders </w:t>
      </w:r>
    </w:p>
    <w:p w14:paraId="19C50BE3"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From the beginning of the implementation of the engagement plan, the project PMU will visit stakeholders to verify that they have indeed been informed or consulted according to the engagement strategies and the planned timetable. During the operational phase, missions will be </w:t>
      </w:r>
      <w:proofErr w:type="spellStart"/>
      <w:r w:rsidRPr="005516CD">
        <w:rPr>
          <w:rFonts w:ascii="Calibri" w:hAnsi="Calibri" w:cs="Calibri"/>
          <w:sz w:val="22"/>
          <w:szCs w:val="22"/>
        </w:rPr>
        <w:t>organised</w:t>
      </w:r>
      <w:proofErr w:type="spellEnd"/>
      <w:r w:rsidRPr="005516CD">
        <w:rPr>
          <w:rFonts w:ascii="Calibri" w:hAnsi="Calibri" w:cs="Calibri"/>
          <w:sz w:val="22"/>
          <w:szCs w:val="22"/>
        </w:rPr>
        <w:t xml:space="preserve"> periodically in consultation with the Ministries of Environment and Agriculture (at least once every six months). </w:t>
      </w:r>
    </w:p>
    <w:p w14:paraId="3765BC56"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project monitoring team must be able to verify the effectiveness of compliance with the content of the project document and ensure that good relations are maintained between the actors directly involved in its implementation in the field. </w:t>
      </w:r>
    </w:p>
    <w:p w14:paraId="54F703E9"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In order to facilitate and ensure effective monitoring of the engagement plan, the project coordination will set up an information collection and management system. The data collected must be reliable, relevant and constitute indicators of results. This information will also be disseminated through the PMU's communication tools and media. </w:t>
      </w:r>
    </w:p>
    <w:p w14:paraId="235DE53A" w14:textId="34A05F64" w:rsidR="003646F2" w:rsidRPr="005516CD" w:rsidRDefault="006E637F" w:rsidP="003646F2">
      <w:pPr>
        <w:pStyle w:val="Default"/>
        <w:spacing w:after="120"/>
        <w:rPr>
          <w:rFonts w:ascii="Calibri" w:hAnsi="Calibri" w:cs="Calibri"/>
          <w:sz w:val="22"/>
          <w:szCs w:val="22"/>
        </w:rPr>
      </w:pPr>
      <w:r w:rsidRPr="008244FA">
        <w:rPr>
          <w:rFonts w:ascii="Calibri" w:hAnsi="Calibri" w:cs="Calibri"/>
          <w:sz w:val="22"/>
          <w:szCs w:val="22"/>
          <w:highlight w:val="cyan"/>
        </w:rPr>
        <w:t>In addition to selected CSO and NGO,</w:t>
      </w:r>
      <w:r>
        <w:rPr>
          <w:rFonts w:ascii="Calibri" w:hAnsi="Calibri" w:cs="Calibri"/>
          <w:sz w:val="22"/>
          <w:szCs w:val="22"/>
        </w:rPr>
        <w:t xml:space="preserve"> </w:t>
      </w:r>
      <w:r w:rsidR="003646F2" w:rsidRPr="005516CD">
        <w:rPr>
          <w:rFonts w:ascii="Calibri" w:hAnsi="Calibri" w:cs="Calibri"/>
          <w:sz w:val="22"/>
          <w:szCs w:val="22"/>
        </w:rPr>
        <w:t xml:space="preserve">The United Nations Development Programme (UNDP) and the Food and Agriculture Organization of the United Nations (FAO) will be the executing and implementing agencies for the project. As implementing agencies for the GEF, UNDP and FAO will be responsible for the technical coordination of the project to ensure that GEF policies and criteria are respected, that the project achieves its objectives and achieves the expected results as set out in the project document in an efficient and effective manner. </w:t>
      </w:r>
    </w:p>
    <w:p w14:paraId="642FA4E8"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UNDP and FAO will submit progress reports to the GEF Secretariat and financial reports will be sent to the GEF Trustee. UNDP and FAO will jointly, closely supervise and carry out project supervision missions to the field. </w:t>
      </w:r>
    </w:p>
    <w:p w14:paraId="12D63306" w14:textId="77777777" w:rsidR="003646F2" w:rsidRPr="005516CD" w:rsidRDefault="003646F2" w:rsidP="003646F2">
      <w:pPr>
        <w:autoSpaceDE w:val="0"/>
        <w:autoSpaceDN w:val="0"/>
        <w:adjustRightInd w:val="0"/>
        <w:rPr>
          <w:rFonts w:ascii="Calibri" w:hAnsi="Calibri" w:cs="Calibri"/>
          <w:b/>
          <w:i/>
          <w:iCs/>
          <w:color w:val="000000"/>
          <w:sz w:val="23"/>
          <w:szCs w:val="23"/>
        </w:rPr>
      </w:pPr>
      <w:r w:rsidRPr="005516CD">
        <w:rPr>
          <w:rFonts w:ascii="Calibri" w:hAnsi="Calibri" w:cs="Calibri"/>
          <w:b/>
          <w:i/>
          <w:iCs/>
          <w:color w:val="000000"/>
          <w:sz w:val="23"/>
          <w:szCs w:val="23"/>
        </w:rPr>
        <w:t xml:space="preserve">Processes of relationship with populations and conflict management </w:t>
      </w:r>
    </w:p>
    <w:p w14:paraId="3E701F62"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In order to facilitate the support and involvement of the populations benefiting from the project, an organization must be set up and supported through facilitators. This structuring should facilitate the circulation of information/exchanges between the Project and the selected beneficiary populations. </w:t>
      </w:r>
    </w:p>
    <w:p w14:paraId="6E70C0E6"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The selected facilitators are in charge of liaising between the different actors in the regions. Their work includes the following:</w:t>
      </w:r>
    </w:p>
    <w:p w14:paraId="76A530A3"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szCs w:val="22"/>
        </w:rPr>
      </w:pPr>
      <w:r w:rsidRPr="005516CD">
        <w:rPr>
          <w:rFonts w:ascii="Calibri" w:hAnsi="Calibri" w:cs="Calibri"/>
          <w:color w:val="000000"/>
          <w:sz w:val="22"/>
          <w:szCs w:val="22"/>
        </w:rPr>
        <w:t xml:space="preserve">Maintain the mobilization, dynamics and circulation of project information to the populations concerned. </w:t>
      </w:r>
    </w:p>
    <w:p w14:paraId="3A47CB6F"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szCs w:val="22"/>
        </w:rPr>
      </w:pPr>
      <w:r w:rsidRPr="005516CD">
        <w:rPr>
          <w:rFonts w:ascii="Calibri" w:hAnsi="Calibri" w:cs="Calibri"/>
          <w:color w:val="000000"/>
          <w:sz w:val="22"/>
          <w:szCs w:val="22"/>
        </w:rPr>
        <w:t xml:space="preserve">Ensure the proper circulation of information on the project area to all stakeholders (State and traditional authorities, NGOs, media and opinion leaders) </w:t>
      </w:r>
    </w:p>
    <w:p w14:paraId="6F5442A7"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szCs w:val="22"/>
        </w:rPr>
      </w:pPr>
      <w:r w:rsidRPr="005516CD">
        <w:rPr>
          <w:rFonts w:ascii="Calibri" w:hAnsi="Calibri" w:cs="Calibri"/>
          <w:color w:val="000000"/>
          <w:sz w:val="22"/>
          <w:szCs w:val="22"/>
        </w:rPr>
        <w:t xml:space="preserve">Be proactive in the circulation of information and in responding to the questions people ask themselves. </w:t>
      </w:r>
    </w:p>
    <w:p w14:paraId="0E8DFF00" w14:textId="77777777" w:rsidR="003646F2" w:rsidRPr="005516CD" w:rsidRDefault="003646F2" w:rsidP="003646F2">
      <w:pPr>
        <w:numPr>
          <w:ilvl w:val="0"/>
          <w:numId w:val="144"/>
        </w:numPr>
        <w:autoSpaceDE w:val="0"/>
        <w:autoSpaceDN w:val="0"/>
        <w:adjustRightInd w:val="0"/>
        <w:spacing w:after="120"/>
        <w:ind w:left="568" w:hanging="284"/>
        <w:rPr>
          <w:rFonts w:ascii="Calibri" w:hAnsi="Calibri" w:cs="Calibri"/>
          <w:color w:val="000000"/>
          <w:sz w:val="22"/>
          <w:szCs w:val="22"/>
        </w:rPr>
      </w:pPr>
      <w:r w:rsidRPr="005516CD">
        <w:rPr>
          <w:rFonts w:ascii="Calibri" w:hAnsi="Calibri" w:cs="Calibri"/>
          <w:color w:val="000000"/>
          <w:sz w:val="22"/>
          <w:szCs w:val="22"/>
        </w:rPr>
        <w:t xml:space="preserve">Facilitate the work of the various missions (technical studies, training and other capacity building activities) carried out within the framework of the Project. </w:t>
      </w:r>
    </w:p>
    <w:p w14:paraId="787C6010"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scope of the conflict management system will vary depending on the nature and size of the project. As an example, the following organization is suggested: </w:t>
      </w:r>
    </w:p>
    <w:p w14:paraId="567E4770"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creation of a local monitoring committee in each intervention community that will meet periodically (about once a month). The CLSs will bring together the Focal Points (FPs) of the relevant Regional Directorates (environment &amp; agriculture), Local Elected Officials, Notaries, etc... </w:t>
      </w:r>
    </w:p>
    <w:p w14:paraId="458776D1"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During these meetings, the concerns and complaints raised will be discussed in order to provide appropriate responses to the various concerns. </w:t>
      </w:r>
    </w:p>
    <w:p w14:paraId="78E615AD"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The organization and animation of these Committees will be ensured by the Facilitators in close collaboration with the Focal Points in charge of the registration of complaints. Minutes of meetings will be sent to the project coordination with proposals and solutions for validation.</w:t>
      </w:r>
    </w:p>
    <w:p w14:paraId="2DDA8150"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rPr>
      </w:pPr>
      <w:r w:rsidRPr="005516CD">
        <w:rPr>
          <w:rFonts w:ascii="Calibri" w:hAnsi="Calibri" w:cs="Calibri"/>
          <w:color w:val="000000"/>
          <w:sz w:val="22"/>
        </w:rPr>
        <w:t xml:space="preserve">Training and capacity building programmes for stakeholders at different levels on ecosystem management, productive wooded landscapes and biodiversity conservation. </w:t>
      </w:r>
    </w:p>
    <w:p w14:paraId="329FB075"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rPr>
      </w:pPr>
      <w:r w:rsidRPr="005516CD">
        <w:rPr>
          <w:rFonts w:ascii="Calibri" w:hAnsi="Calibri" w:cs="Calibri"/>
          <w:color w:val="000000"/>
          <w:sz w:val="22"/>
        </w:rPr>
        <w:t xml:space="preserve">Programs related to the promotion of diversified crop systems; </w:t>
      </w:r>
    </w:p>
    <w:p w14:paraId="33413C8A"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rPr>
      </w:pPr>
      <w:r w:rsidRPr="005516CD">
        <w:rPr>
          <w:rFonts w:ascii="Calibri" w:hAnsi="Calibri" w:cs="Calibri"/>
          <w:color w:val="000000"/>
          <w:sz w:val="22"/>
        </w:rPr>
        <w:t xml:space="preserve">Preparation of guides of good practices for the management of natural resources; </w:t>
      </w:r>
    </w:p>
    <w:p w14:paraId="68BC5146" w14:textId="77777777" w:rsidR="003646F2" w:rsidRPr="005516CD" w:rsidRDefault="003646F2" w:rsidP="003646F2">
      <w:pPr>
        <w:numPr>
          <w:ilvl w:val="0"/>
          <w:numId w:val="144"/>
        </w:numPr>
        <w:autoSpaceDE w:val="0"/>
        <w:autoSpaceDN w:val="0"/>
        <w:adjustRightInd w:val="0"/>
        <w:ind w:left="567" w:hanging="283"/>
        <w:rPr>
          <w:rFonts w:ascii="Calibri" w:hAnsi="Calibri" w:cs="Calibri"/>
          <w:color w:val="000000"/>
          <w:sz w:val="22"/>
        </w:rPr>
      </w:pPr>
      <w:r w:rsidRPr="005516CD">
        <w:rPr>
          <w:rFonts w:ascii="Calibri" w:hAnsi="Calibri" w:cs="Calibri"/>
          <w:color w:val="000000"/>
          <w:sz w:val="22"/>
        </w:rPr>
        <w:t xml:space="preserve">Creation of </w:t>
      </w:r>
      <w:proofErr w:type="spellStart"/>
      <w:r w:rsidRPr="005516CD">
        <w:rPr>
          <w:rFonts w:ascii="Calibri" w:hAnsi="Calibri" w:cs="Calibri"/>
          <w:color w:val="000000"/>
          <w:sz w:val="22"/>
        </w:rPr>
        <w:t>audiovisuals</w:t>
      </w:r>
      <w:proofErr w:type="spellEnd"/>
      <w:r w:rsidRPr="005516CD">
        <w:rPr>
          <w:rFonts w:ascii="Calibri" w:hAnsi="Calibri" w:cs="Calibri"/>
          <w:color w:val="000000"/>
          <w:sz w:val="22"/>
        </w:rPr>
        <w:t xml:space="preserve"> linked to poor environmental practices of communities in the intervention areas; </w:t>
      </w:r>
    </w:p>
    <w:p w14:paraId="1B86CDCA" w14:textId="77777777" w:rsidR="003646F2" w:rsidRPr="005516CD" w:rsidRDefault="003646F2" w:rsidP="003646F2">
      <w:pPr>
        <w:numPr>
          <w:ilvl w:val="0"/>
          <w:numId w:val="144"/>
        </w:numPr>
        <w:autoSpaceDE w:val="0"/>
        <w:autoSpaceDN w:val="0"/>
        <w:adjustRightInd w:val="0"/>
        <w:spacing w:after="120"/>
        <w:ind w:left="568" w:hanging="284"/>
        <w:rPr>
          <w:rFonts w:ascii="Calibri" w:hAnsi="Calibri" w:cs="Calibri"/>
          <w:color w:val="000000"/>
          <w:sz w:val="22"/>
        </w:rPr>
      </w:pPr>
      <w:r w:rsidRPr="005516CD">
        <w:rPr>
          <w:rFonts w:ascii="Calibri" w:hAnsi="Calibri" w:cs="Calibri"/>
          <w:color w:val="000000"/>
          <w:sz w:val="22"/>
        </w:rPr>
        <w:t xml:space="preserve">Development of illustrative brochures on ecosystem goods and services, and others. </w:t>
      </w:r>
    </w:p>
    <w:p w14:paraId="1D916C51" w14:textId="77777777" w:rsidR="003646F2" w:rsidRPr="005516CD" w:rsidRDefault="003646F2" w:rsidP="003646F2">
      <w:pPr>
        <w:autoSpaceDE w:val="0"/>
        <w:autoSpaceDN w:val="0"/>
        <w:adjustRightInd w:val="0"/>
        <w:rPr>
          <w:rFonts w:ascii="Calibri" w:hAnsi="Calibri" w:cs="Calibri"/>
          <w:b/>
          <w:i/>
          <w:iCs/>
          <w:color w:val="000000"/>
          <w:sz w:val="23"/>
          <w:szCs w:val="23"/>
        </w:rPr>
      </w:pPr>
      <w:r w:rsidRPr="005516CD">
        <w:rPr>
          <w:rFonts w:ascii="Calibri" w:hAnsi="Calibri" w:cs="Calibri"/>
          <w:b/>
          <w:i/>
          <w:iCs/>
          <w:color w:val="000000"/>
          <w:sz w:val="23"/>
          <w:szCs w:val="23"/>
        </w:rPr>
        <w:t xml:space="preserve">Dialogue with stakeholders, Steering Committee, Review of the Commitment Plan </w:t>
      </w:r>
    </w:p>
    <w:p w14:paraId="6EF52029"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Once every six months, the stakeholder engagement plan will be subject to a complete review. If necessary, an update of the description, impacts and results, locations and timelines, legal framework, engagement strategies, responsibilities of the manager(s), etc. will be carried out. </w:t>
      </w:r>
    </w:p>
    <w:p w14:paraId="4CDFC2B3"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A summary of the main causes and typical profile of complainants, as well as the remedies, compensation and mitigation measures proposed in response to complaints, is provided on a quarterly basis. The Manager reviews the conflict management mechanism based on the results of the balance sheet. </w:t>
      </w:r>
    </w:p>
    <w:p w14:paraId="3F3D25F8"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It also ensures that bidders' comments on the complaint management mechanism are taken into account in the continuous improvement of the process. </w:t>
      </w:r>
    </w:p>
    <w:p w14:paraId="27E665E0"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Inclusive measures for women and vulnerable groups, including children, adults, people with disabilities </w:t>
      </w:r>
    </w:p>
    <w:p w14:paraId="4CDF007D"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A gender action plan has been developed (Annex </w:t>
      </w:r>
      <w:r w:rsidR="00A05F26" w:rsidRPr="005516CD">
        <w:rPr>
          <w:rFonts w:ascii="Calibri" w:hAnsi="Calibri" w:cs="Calibri"/>
          <w:sz w:val="22"/>
          <w:szCs w:val="22"/>
        </w:rPr>
        <w:t>P</w:t>
      </w:r>
      <w:r w:rsidRPr="005516CD">
        <w:rPr>
          <w:rFonts w:ascii="Calibri" w:hAnsi="Calibri" w:cs="Calibri"/>
          <w:sz w:val="22"/>
          <w:szCs w:val="22"/>
        </w:rPr>
        <w:t xml:space="preserve">) to fully integrate women and men into the project design, thus providing the framework for a gender and socially inclusive project. This is based on the constraints and opportunities for women and men identified during the gender analysis. Training and capacity building on measures to encourage the participation of women and men in all activities in the community, which take into account the constraints faced by these groups, have been integrated into the project activities. </w:t>
      </w:r>
    </w:p>
    <w:p w14:paraId="2222AB81"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Particular attention will be paid to the possibility of making future consultation, training and capacity building activities accessible to people with access constraints or limited mobility (by adapting the locations and timing of training). </w:t>
      </w:r>
    </w:p>
    <w:p w14:paraId="271A4384" w14:textId="77777777" w:rsidR="003646F2" w:rsidRPr="005516CD" w:rsidRDefault="003646F2" w:rsidP="003646F2">
      <w:pPr>
        <w:keepNext/>
        <w:autoSpaceDE w:val="0"/>
        <w:autoSpaceDN w:val="0"/>
        <w:adjustRightInd w:val="0"/>
        <w:rPr>
          <w:rFonts w:ascii="Calibri" w:hAnsi="Calibri" w:cs="Calibri"/>
          <w:b/>
          <w:i/>
          <w:iCs/>
          <w:color w:val="000000"/>
          <w:sz w:val="23"/>
          <w:szCs w:val="23"/>
        </w:rPr>
      </w:pPr>
      <w:r w:rsidRPr="005516CD">
        <w:rPr>
          <w:rFonts w:ascii="Calibri" w:hAnsi="Calibri" w:cs="Calibri"/>
          <w:b/>
          <w:i/>
          <w:iCs/>
          <w:color w:val="000000"/>
          <w:sz w:val="23"/>
          <w:szCs w:val="23"/>
        </w:rPr>
        <w:t xml:space="preserve">Participation and engagement programme </w:t>
      </w:r>
    </w:p>
    <w:p w14:paraId="359CD5A7"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stakeholder participation and engagement </w:t>
      </w:r>
      <w:proofErr w:type="spellStart"/>
      <w:r w:rsidRPr="005516CD">
        <w:rPr>
          <w:rFonts w:ascii="Calibri" w:hAnsi="Calibri" w:cs="Calibri"/>
          <w:sz w:val="22"/>
          <w:szCs w:val="22"/>
        </w:rPr>
        <w:t>programme</w:t>
      </w:r>
      <w:proofErr w:type="spellEnd"/>
      <w:r w:rsidRPr="005516CD">
        <w:rPr>
          <w:rFonts w:ascii="Calibri" w:hAnsi="Calibri" w:cs="Calibri"/>
          <w:sz w:val="22"/>
          <w:szCs w:val="22"/>
        </w:rPr>
        <w:t xml:space="preserve"> is presented in Table 3. </w:t>
      </w:r>
    </w:p>
    <w:p w14:paraId="5CBD3212" w14:textId="0DB2F6F4"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The community consultations and information gathered in the public focus groups and stakeholder evaluation/mapping served as the basis for the stakeholder engagement plan that directly informed the project design, particularly the associated activities, which are all multi-stakeholder participatory activities. Overall, rather than creating a parallel process, stakeholder participation activities were streamlined in the project design to create a locally driven project. </w:t>
      </w:r>
      <w:r w:rsidR="006E637F" w:rsidRPr="008244FA">
        <w:rPr>
          <w:rFonts w:ascii="Calibri" w:hAnsi="Calibri" w:cs="Calibri"/>
          <w:sz w:val="22"/>
          <w:szCs w:val="22"/>
          <w:highlight w:val="cyan"/>
        </w:rPr>
        <w:t xml:space="preserve">Moreover, </w:t>
      </w:r>
      <w:r w:rsidR="006E637F">
        <w:rPr>
          <w:rFonts w:ascii="Calibri" w:hAnsi="Calibri" w:cs="Calibri"/>
          <w:sz w:val="22"/>
          <w:szCs w:val="22"/>
          <w:highlight w:val="cyan"/>
        </w:rPr>
        <w:t>l</w:t>
      </w:r>
      <w:r w:rsidR="006E637F" w:rsidRPr="008244FA">
        <w:rPr>
          <w:rFonts w:ascii="Calibri" w:hAnsi="Calibri" w:cs="Calibri"/>
          <w:sz w:val="22"/>
          <w:szCs w:val="22"/>
          <w:highlight w:val="cyan"/>
        </w:rPr>
        <w:t>ong and strong experience of the local NGO/CSO involved in the project will play a key role in engaging the local communities.</w:t>
      </w:r>
      <w:r w:rsidR="006E637F">
        <w:rPr>
          <w:rFonts w:ascii="Calibri" w:hAnsi="Calibri" w:cs="Calibri"/>
          <w:sz w:val="22"/>
          <w:szCs w:val="22"/>
        </w:rPr>
        <w:t xml:space="preserve"> </w:t>
      </w:r>
    </w:p>
    <w:p w14:paraId="6136C48A" w14:textId="77777777" w:rsidR="003646F2" w:rsidRPr="005516CD" w:rsidRDefault="003646F2" w:rsidP="003646F2">
      <w:pPr>
        <w:pStyle w:val="Default"/>
        <w:spacing w:after="120"/>
        <w:rPr>
          <w:rFonts w:ascii="Calibri" w:hAnsi="Calibri" w:cs="Calibri"/>
          <w:sz w:val="22"/>
          <w:szCs w:val="22"/>
        </w:rPr>
      </w:pPr>
      <w:r w:rsidRPr="005516CD">
        <w:rPr>
          <w:rFonts w:ascii="Calibri" w:hAnsi="Calibri" w:cs="Calibri"/>
          <w:sz w:val="22"/>
          <w:szCs w:val="22"/>
        </w:rPr>
        <w:t xml:space="preserve">In addition, the following general content guidelines have been taken into account: </w:t>
      </w:r>
    </w:p>
    <w:p w14:paraId="0D1EC079" w14:textId="77777777" w:rsidR="003646F2" w:rsidRPr="005516CD" w:rsidRDefault="003646F2" w:rsidP="003646F2">
      <w:pPr>
        <w:pStyle w:val="ListParagraph"/>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rPr>
          <w:rFonts w:ascii="Calibri" w:hAnsi="Calibri" w:cs="Calibri"/>
          <w:sz w:val="22"/>
        </w:rPr>
      </w:pPr>
      <w:r w:rsidRPr="005516CD">
        <w:rPr>
          <w:rFonts w:ascii="Calibri" w:hAnsi="Calibri" w:cs="Calibri"/>
          <w:sz w:val="22"/>
        </w:rPr>
        <w:t xml:space="preserve">Perceptions of stakeholders and different population groups regarding: cocoa and coffee production systems and their impacts on biodiversity and the community; Knowledge of good practices in natural resource and biodiversity management; How forested production systems and cocoa and coffee can have a positive impact on people's lives and lifestyles; Traditional and current technological cultural practices that contribute to increasing biodiversity; Natural resource management and conservation practices. </w:t>
      </w:r>
    </w:p>
    <w:p w14:paraId="6FCA895E" w14:textId="77777777" w:rsidR="003646F2" w:rsidRPr="005516CD" w:rsidRDefault="003646F2" w:rsidP="003646F2">
      <w:pPr>
        <w:pStyle w:val="ListParagraph"/>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rPr>
          <w:rFonts w:ascii="Calibri" w:hAnsi="Calibri" w:cs="Calibri"/>
          <w:sz w:val="22"/>
        </w:rPr>
      </w:pPr>
      <w:r w:rsidRPr="005516CD">
        <w:rPr>
          <w:rFonts w:ascii="Calibri" w:hAnsi="Calibri" w:cs="Calibri"/>
          <w:sz w:val="22"/>
        </w:rPr>
        <w:t xml:space="preserve">Views and suggestions of local actors and population groups of the project to be implemented: questions, doubts, concerns and suggestions for better implementation. </w:t>
      </w:r>
    </w:p>
    <w:p w14:paraId="4804C9D1" w14:textId="77777777" w:rsidR="003646F2" w:rsidRPr="006E637F" w:rsidRDefault="003646F2" w:rsidP="003646F2">
      <w:pPr>
        <w:pStyle w:val="ListParagraph"/>
        <w:numPr>
          <w:ilvl w:val="0"/>
          <w:numId w:val="14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rPr>
          <w:rFonts w:asciiTheme="minorHAnsi" w:hAnsiTheme="minorHAnsi" w:cstheme="minorBidi"/>
        </w:rPr>
      </w:pPr>
      <w:r w:rsidRPr="006E637F">
        <w:rPr>
          <w:rFonts w:ascii="Calibri" w:hAnsi="Calibri" w:cs="Calibri"/>
          <w:sz w:val="22"/>
          <w:szCs w:val="22"/>
        </w:rPr>
        <w:t>Definition of the roles of different</w:t>
      </w:r>
      <w:r w:rsidRPr="006E637F">
        <w:rPr>
          <w:rFonts w:ascii="Calibri" w:hAnsi="Calibri" w:cs="Calibri"/>
        </w:rPr>
        <w:t xml:space="preserve"> </w:t>
      </w:r>
      <w:r w:rsidRPr="006E637F">
        <w:rPr>
          <w:rFonts w:ascii="Calibri" w:hAnsi="Calibri" w:cs="Calibri"/>
          <w:sz w:val="22"/>
          <w:szCs w:val="22"/>
        </w:rPr>
        <w:t>stakeholders and population groups in the consultation and implementation process of the project.</w:t>
      </w:r>
    </w:p>
    <w:p w14:paraId="7ABF3BB3" w14:textId="77777777" w:rsidR="003646F2" w:rsidRPr="005516CD" w:rsidRDefault="003646F2" w:rsidP="003646F2">
      <w:pPr>
        <w:autoSpaceDE w:val="0"/>
        <w:autoSpaceDN w:val="0"/>
        <w:adjustRightInd w:val="0"/>
        <w:rPr>
          <w:sz w:val="22"/>
        </w:rPr>
        <w:sectPr w:rsidR="003646F2" w:rsidRPr="005516CD" w:rsidSect="00F91241">
          <w:pgSz w:w="12240" w:h="15840"/>
          <w:pgMar w:top="1440" w:right="1440" w:bottom="1440" w:left="1440" w:header="708" w:footer="708" w:gutter="0"/>
          <w:cols w:space="708"/>
          <w:docGrid w:linePitch="360"/>
        </w:sectPr>
      </w:pPr>
    </w:p>
    <w:p w14:paraId="15624DFF" w14:textId="77777777" w:rsidR="003646F2" w:rsidRPr="005516CD" w:rsidRDefault="003646F2" w:rsidP="003646F2">
      <w:r w:rsidRPr="005516CD">
        <w:rPr>
          <w:rFonts w:ascii="Calibri" w:hAnsi="Calibri" w:cs="Calibri"/>
          <w:b/>
          <w:color w:val="000000"/>
          <w:sz w:val="22"/>
          <w:szCs w:val="23"/>
        </w:rPr>
        <w:t>Table 3. Summary of the participation plan. For stakeholder group acronyms, see Section 6 (supporting documentation). Refer to Tables 1 and 2 for a description of these actors.</w:t>
      </w:r>
    </w:p>
    <w:tbl>
      <w:tblPr>
        <w:tblW w:w="13716" w:type="dxa"/>
        <w:tblInd w:w="-113" w:type="dxa"/>
        <w:tblBorders>
          <w:top w:val="nil"/>
          <w:left w:val="nil"/>
          <w:bottom w:val="nil"/>
          <w:right w:val="nil"/>
        </w:tblBorders>
        <w:tblLayout w:type="fixed"/>
        <w:tblLook w:val="0000" w:firstRow="0" w:lastRow="0" w:firstColumn="0" w:lastColumn="0" w:noHBand="0" w:noVBand="0"/>
      </w:tblPr>
      <w:tblGrid>
        <w:gridCol w:w="2518"/>
        <w:gridCol w:w="2410"/>
        <w:gridCol w:w="1984"/>
        <w:gridCol w:w="1985"/>
        <w:gridCol w:w="1701"/>
        <w:gridCol w:w="1559"/>
        <w:gridCol w:w="1559"/>
      </w:tblGrid>
      <w:tr w:rsidR="003646F2" w:rsidRPr="005516CD" w14:paraId="7600A799" w14:textId="77777777" w:rsidTr="006E637F">
        <w:trPr>
          <w:trHeight w:val="249"/>
          <w:tblHeader/>
        </w:trPr>
        <w:tc>
          <w:tcPr>
            <w:tcW w:w="2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756EECC" w14:textId="77777777" w:rsidR="003646F2" w:rsidRPr="005516CD" w:rsidRDefault="003646F2" w:rsidP="003646F2">
            <w:pPr>
              <w:keepNext/>
              <w:autoSpaceDE w:val="0"/>
              <w:autoSpaceDN w:val="0"/>
              <w:adjustRightInd w:val="0"/>
              <w:jc w:val="center"/>
              <w:rPr>
                <w:rFonts w:ascii="Calibri" w:hAnsi="Calibri" w:cs="Calibri"/>
                <w:b/>
                <w:color w:val="000000"/>
                <w:sz w:val="22"/>
              </w:rPr>
            </w:pPr>
            <w:r w:rsidRPr="005516CD">
              <w:rPr>
                <w:rFonts w:ascii="Calibri" w:hAnsi="Calibri" w:cs="Calibri"/>
                <w:b/>
                <w:color w:val="000000"/>
                <w:sz w:val="22"/>
              </w:rPr>
              <w:t>Project Activities</w:t>
            </w:r>
          </w:p>
        </w:tc>
        <w:tc>
          <w:tcPr>
            <w:tcW w:w="241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D140D08" w14:textId="77777777" w:rsidR="003646F2" w:rsidRPr="005516CD" w:rsidRDefault="003646F2" w:rsidP="003646F2">
            <w:pPr>
              <w:keepNext/>
              <w:autoSpaceDE w:val="0"/>
              <w:autoSpaceDN w:val="0"/>
              <w:adjustRightInd w:val="0"/>
              <w:jc w:val="center"/>
              <w:rPr>
                <w:rFonts w:ascii="Calibri" w:hAnsi="Calibri" w:cs="Calibri"/>
                <w:b/>
                <w:color w:val="000000"/>
                <w:sz w:val="22"/>
              </w:rPr>
            </w:pPr>
            <w:r w:rsidRPr="005516CD">
              <w:rPr>
                <w:rFonts w:ascii="Calibri" w:hAnsi="Calibri" w:cs="Calibri"/>
                <w:b/>
                <w:color w:val="000000"/>
                <w:sz w:val="22"/>
              </w:rPr>
              <w:t>Included stakeholders</w:t>
            </w:r>
          </w:p>
        </w:tc>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544CEBC" w14:textId="77777777" w:rsidR="003646F2" w:rsidRPr="005516CD" w:rsidRDefault="003646F2" w:rsidP="003646F2">
            <w:pPr>
              <w:keepNext/>
              <w:autoSpaceDE w:val="0"/>
              <w:autoSpaceDN w:val="0"/>
              <w:adjustRightInd w:val="0"/>
              <w:jc w:val="center"/>
              <w:rPr>
                <w:rFonts w:ascii="Calibri" w:hAnsi="Calibri" w:cs="Calibri"/>
                <w:b/>
                <w:color w:val="000000"/>
                <w:sz w:val="22"/>
              </w:rPr>
            </w:pPr>
            <w:r w:rsidRPr="005516CD">
              <w:rPr>
                <w:rFonts w:ascii="Calibri" w:hAnsi="Calibri" w:cs="Calibri"/>
                <w:b/>
                <w:color w:val="000000"/>
                <w:sz w:val="22"/>
              </w:rPr>
              <w:t>Methods of operation</w:t>
            </w:r>
          </w:p>
        </w:tc>
        <w:tc>
          <w:tcPr>
            <w:tcW w:w="198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BBBF28B" w14:textId="77777777" w:rsidR="003646F2" w:rsidRPr="005516CD" w:rsidRDefault="003646F2" w:rsidP="003646F2">
            <w:pPr>
              <w:keepNext/>
              <w:autoSpaceDE w:val="0"/>
              <w:autoSpaceDN w:val="0"/>
              <w:adjustRightInd w:val="0"/>
              <w:jc w:val="center"/>
              <w:rPr>
                <w:rFonts w:ascii="Calibri" w:hAnsi="Calibri" w:cs="Calibri"/>
                <w:b/>
                <w:color w:val="000000"/>
                <w:sz w:val="22"/>
              </w:rPr>
            </w:pPr>
            <w:r w:rsidRPr="005516CD">
              <w:rPr>
                <w:rFonts w:ascii="Calibri" w:hAnsi="Calibri" w:cs="Calibri"/>
                <w:b/>
                <w:color w:val="000000"/>
                <w:sz w:val="22"/>
              </w:rPr>
              <w:t>Inclusion objective</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45475B9" w14:textId="77777777" w:rsidR="003646F2" w:rsidRPr="005516CD" w:rsidRDefault="003646F2" w:rsidP="003646F2">
            <w:pPr>
              <w:keepNext/>
              <w:autoSpaceDE w:val="0"/>
              <w:autoSpaceDN w:val="0"/>
              <w:adjustRightInd w:val="0"/>
              <w:jc w:val="center"/>
              <w:rPr>
                <w:rFonts w:ascii="Calibri" w:hAnsi="Calibri" w:cs="Calibri"/>
                <w:b/>
                <w:color w:val="000000"/>
                <w:sz w:val="22"/>
              </w:rPr>
            </w:pPr>
            <w:r w:rsidRPr="005516CD">
              <w:rPr>
                <w:rFonts w:ascii="Calibri" w:hAnsi="Calibri" w:cs="Calibri"/>
                <w:b/>
                <w:color w:val="000000"/>
                <w:sz w:val="22"/>
              </w:rPr>
              <w:t>Implementation period</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734E8AB" w14:textId="77777777" w:rsidR="003646F2" w:rsidRPr="005516CD" w:rsidRDefault="003646F2" w:rsidP="003646F2">
            <w:pPr>
              <w:keepNext/>
              <w:autoSpaceDE w:val="0"/>
              <w:autoSpaceDN w:val="0"/>
              <w:adjustRightInd w:val="0"/>
              <w:jc w:val="center"/>
              <w:rPr>
                <w:rFonts w:ascii="Calibri" w:hAnsi="Calibri" w:cs="Calibri"/>
                <w:b/>
                <w:color w:val="000000"/>
                <w:sz w:val="22"/>
              </w:rPr>
            </w:pPr>
            <w:r w:rsidRPr="005516CD">
              <w:rPr>
                <w:rFonts w:ascii="Calibri" w:hAnsi="Calibri" w:cs="Calibri"/>
                <w:b/>
                <w:color w:val="000000"/>
                <w:sz w:val="22"/>
              </w:rPr>
              <w:t>Timeline</w:t>
            </w:r>
          </w:p>
        </w:tc>
        <w:tc>
          <w:tcPr>
            <w:tcW w:w="1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CE8CEA" w14:textId="77777777" w:rsidR="003646F2" w:rsidRPr="005516CD" w:rsidRDefault="003646F2" w:rsidP="003646F2">
            <w:pPr>
              <w:keepNext/>
              <w:autoSpaceDE w:val="0"/>
              <w:autoSpaceDN w:val="0"/>
              <w:adjustRightInd w:val="0"/>
              <w:jc w:val="center"/>
              <w:rPr>
                <w:rFonts w:ascii="Calibri" w:hAnsi="Calibri" w:cs="Calibri"/>
                <w:b/>
                <w:color w:val="000000"/>
                <w:sz w:val="22"/>
              </w:rPr>
            </w:pPr>
            <w:r w:rsidRPr="005516CD">
              <w:rPr>
                <w:rFonts w:ascii="Calibri" w:hAnsi="Calibri" w:cs="Calibri"/>
                <w:b/>
                <w:color w:val="000000"/>
                <w:sz w:val="22"/>
              </w:rPr>
              <w:t>Responsible Entity</w:t>
            </w:r>
          </w:p>
        </w:tc>
      </w:tr>
      <w:tr w:rsidR="001F7ECE" w:rsidRPr="005516CD" w14:paraId="077365ED" w14:textId="77777777" w:rsidTr="006E637F">
        <w:trPr>
          <w:trHeight w:val="58"/>
        </w:trPr>
        <w:tc>
          <w:tcPr>
            <w:tcW w:w="13716"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22A9A70" w14:textId="77777777" w:rsidR="001F7ECE" w:rsidRPr="005516CD" w:rsidRDefault="001F7ECE" w:rsidP="00AD5770">
            <w:pPr>
              <w:autoSpaceDE w:val="0"/>
              <w:autoSpaceDN w:val="0"/>
              <w:adjustRightInd w:val="0"/>
              <w:rPr>
                <w:rFonts w:ascii="Calibri" w:hAnsi="Calibri" w:cs="Calibri"/>
                <w:b/>
                <w:color w:val="000000"/>
                <w:sz w:val="22"/>
              </w:rPr>
            </w:pPr>
            <w:r w:rsidRPr="005516CD">
              <w:rPr>
                <w:rFonts w:ascii="Calibri" w:hAnsi="Calibri" w:cs="Calibri"/>
                <w:b/>
                <w:color w:val="000000"/>
                <w:sz w:val="22"/>
              </w:rPr>
              <w:t xml:space="preserve">Component 1: </w:t>
            </w:r>
          </w:p>
        </w:tc>
      </w:tr>
      <w:tr w:rsidR="001F7ECE" w:rsidRPr="005516CD" w14:paraId="741CFE6A" w14:textId="77777777" w:rsidTr="006E637F">
        <w:trPr>
          <w:trHeight w:val="1184"/>
        </w:trPr>
        <w:tc>
          <w:tcPr>
            <w:tcW w:w="2518" w:type="dxa"/>
            <w:tcBorders>
              <w:top w:val="single" w:sz="4" w:space="0" w:color="auto"/>
              <w:left w:val="single" w:sz="4" w:space="0" w:color="auto"/>
              <w:bottom w:val="single" w:sz="4" w:space="0" w:color="auto"/>
              <w:right w:val="single" w:sz="4" w:space="0" w:color="auto"/>
            </w:tcBorders>
          </w:tcPr>
          <w:p w14:paraId="7119E127" w14:textId="77777777" w:rsidR="001F7ECE" w:rsidRPr="005516CD" w:rsidRDefault="001F7ECE" w:rsidP="00AD5770">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Regulatory and planning frameworks for land use and natural resource management at different levels of governance will be strengthened in response to the Forest Productive Systems Management Initiative. </w:t>
            </w:r>
          </w:p>
        </w:tc>
        <w:tc>
          <w:tcPr>
            <w:tcW w:w="2410" w:type="dxa"/>
            <w:tcBorders>
              <w:top w:val="single" w:sz="4" w:space="0" w:color="auto"/>
              <w:left w:val="single" w:sz="4" w:space="0" w:color="auto"/>
              <w:bottom w:val="single" w:sz="4" w:space="0" w:color="auto"/>
              <w:right w:val="single" w:sz="4" w:space="0" w:color="auto"/>
            </w:tcBorders>
          </w:tcPr>
          <w:p w14:paraId="08DF8DE2" w14:textId="77777777" w:rsidR="001F7ECE" w:rsidRPr="005516CD" w:rsidRDefault="001F7ECE" w:rsidP="00AD5770">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CPCN ; KAFUBO ; KAPB ; CAPB ; KAPBM ; OFPB ; GPK ; APROVAL ; GATAB; APPB ; CAJBC </w:t>
            </w:r>
          </w:p>
        </w:tc>
        <w:tc>
          <w:tcPr>
            <w:tcW w:w="1984" w:type="dxa"/>
            <w:tcBorders>
              <w:top w:val="single" w:sz="4" w:space="0" w:color="auto"/>
              <w:left w:val="single" w:sz="4" w:space="0" w:color="auto"/>
              <w:bottom w:val="single" w:sz="4" w:space="0" w:color="auto"/>
              <w:right w:val="single" w:sz="4" w:space="0" w:color="auto"/>
            </w:tcBorders>
          </w:tcPr>
          <w:p w14:paraId="0352BC32" w14:textId="77777777" w:rsidR="001F7ECE" w:rsidRPr="005516CD" w:rsidRDefault="001F7ECE" w:rsidP="00AD5770">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Public meetings, workshops and/or focus groups with specific groups </w:t>
            </w:r>
          </w:p>
        </w:tc>
        <w:tc>
          <w:tcPr>
            <w:tcW w:w="1985" w:type="dxa"/>
            <w:tcBorders>
              <w:top w:val="single" w:sz="4" w:space="0" w:color="auto"/>
              <w:left w:val="single" w:sz="4" w:space="0" w:color="auto"/>
              <w:bottom w:val="single" w:sz="4" w:space="0" w:color="auto"/>
              <w:right w:val="single" w:sz="4" w:space="0" w:color="auto"/>
            </w:tcBorders>
          </w:tcPr>
          <w:p w14:paraId="180A7A45" w14:textId="77777777" w:rsidR="001F7ECE" w:rsidRPr="005516CD" w:rsidRDefault="001F7ECE" w:rsidP="00AD5770">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Strengthen regulations, plans and policies supervised by these stakeholders </w:t>
            </w:r>
          </w:p>
        </w:tc>
        <w:tc>
          <w:tcPr>
            <w:tcW w:w="1701" w:type="dxa"/>
            <w:tcBorders>
              <w:top w:val="single" w:sz="4" w:space="0" w:color="auto"/>
              <w:left w:val="single" w:sz="4" w:space="0" w:color="auto"/>
              <w:bottom w:val="single" w:sz="4" w:space="0" w:color="auto"/>
              <w:right w:val="single" w:sz="4" w:space="0" w:color="auto"/>
            </w:tcBorders>
          </w:tcPr>
          <w:p w14:paraId="65017412" w14:textId="77777777" w:rsidR="001F7ECE" w:rsidRPr="005516CD" w:rsidRDefault="001F7ECE" w:rsidP="00AD5770">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At the start of the Project </w:t>
            </w:r>
          </w:p>
        </w:tc>
        <w:tc>
          <w:tcPr>
            <w:tcW w:w="1559" w:type="dxa"/>
            <w:tcBorders>
              <w:top w:val="single" w:sz="4" w:space="0" w:color="auto"/>
              <w:left w:val="single" w:sz="4" w:space="0" w:color="auto"/>
              <w:bottom w:val="single" w:sz="4" w:space="0" w:color="auto"/>
              <w:right w:val="single" w:sz="4" w:space="0" w:color="auto"/>
            </w:tcBorders>
          </w:tcPr>
          <w:p w14:paraId="03CEC091" w14:textId="77777777" w:rsidR="001F7ECE" w:rsidRPr="005516CD" w:rsidRDefault="001F7ECE" w:rsidP="00AD5770">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several 3-day workshops with institutional stakeholders. </w:t>
            </w:r>
          </w:p>
        </w:tc>
        <w:tc>
          <w:tcPr>
            <w:tcW w:w="1559" w:type="dxa"/>
            <w:tcBorders>
              <w:top w:val="single" w:sz="4" w:space="0" w:color="auto"/>
              <w:left w:val="single" w:sz="4" w:space="0" w:color="auto"/>
              <w:bottom w:val="single" w:sz="4" w:space="0" w:color="auto"/>
              <w:right w:val="single" w:sz="4" w:space="0" w:color="auto"/>
            </w:tcBorders>
          </w:tcPr>
          <w:p w14:paraId="2DBE2EFA" w14:textId="40376ACA" w:rsidR="001F7ECE" w:rsidRPr="005516CD" w:rsidRDefault="001F7ECE" w:rsidP="00AD5770">
            <w:pPr>
              <w:autoSpaceDE w:val="0"/>
              <w:autoSpaceDN w:val="0"/>
              <w:adjustRightInd w:val="0"/>
              <w:rPr>
                <w:rFonts w:ascii="Calibri" w:hAnsi="Calibri" w:cs="Calibri"/>
                <w:color w:val="000000"/>
                <w:sz w:val="22"/>
              </w:rPr>
            </w:pPr>
            <w:r w:rsidRPr="005516CD">
              <w:rPr>
                <w:rFonts w:ascii="Calibri" w:hAnsi="Calibri" w:cs="Calibri"/>
                <w:color w:val="000000"/>
                <w:sz w:val="22"/>
              </w:rPr>
              <w:t>UNDP/FAO/</w:t>
            </w:r>
            <w:r w:rsidR="006E637F">
              <w:rPr>
                <w:rFonts w:ascii="Calibri" w:hAnsi="Calibri" w:cs="Calibri"/>
                <w:color w:val="000000"/>
                <w:sz w:val="22"/>
              </w:rPr>
              <w:t xml:space="preserve"> </w:t>
            </w:r>
            <w:proofErr w:type="spellStart"/>
            <w:r w:rsidRPr="005516CD">
              <w:rPr>
                <w:rFonts w:ascii="Calibri" w:hAnsi="Calibri" w:cs="Calibri"/>
                <w:color w:val="000000"/>
                <w:sz w:val="22"/>
              </w:rPr>
              <w:t>M</w:t>
            </w:r>
            <w:r w:rsidR="00BE644D" w:rsidRPr="005516CD">
              <w:rPr>
                <w:rFonts w:ascii="Calibri" w:hAnsi="Calibri" w:cs="Calibri"/>
                <w:color w:val="000000"/>
                <w:sz w:val="22"/>
              </w:rPr>
              <w:t>o</w:t>
            </w:r>
            <w:r w:rsidRPr="005516CD">
              <w:rPr>
                <w:rFonts w:ascii="Calibri" w:hAnsi="Calibri" w:cs="Calibri"/>
                <w:color w:val="000000"/>
                <w:sz w:val="22"/>
              </w:rPr>
              <w:t>E</w:t>
            </w:r>
            <w:proofErr w:type="spellEnd"/>
            <w:r w:rsidRPr="005516CD">
              <w:rPr>
                <w:rFonts w:ascii="Calibri" w:hAnsi="Calibri" w:cs="Calibri"/>
                <w:color w:val="000000"/>
                <w:sz w:val="22"/>
              </w:rPr>
              <w:t xml:space="preserve">/MARNDR </w:t>
            </w:r>
            <w:r w:rsidR="006E637F">
              <w:rPr>
                <w:rFonts w:ascii="Calibri" w:hAnsi="Calibri" w:cs="Calibri"/>
                <w:color w:val="000000"/>
                <w:sz w:val="22"/>
              </w:rPr>
              <w:t xml:space="preserve"> </w:t>
            </w:r>
            <w:r w:rsidR="006E637F" w:rsidRPr="008244FA">
              <w:rPr>
                <w:rFonts w:ascii="Calibri" w:hAnsi="Calibri" w:cs="Calibri"/>
                <w:color w:val="000000"/>
                <w:sz w:val="22"/>
                <w:highlight w:val="cyan"/>
              </w:rPr>
              <w:t>CSO/NGO</w:t>
            </w:r>
          </w:p>
        </w:tc>
      </w:tr>
      <w:tr w:rsidR="001F7ECE" w:rsidRPr="005516CD" w14:paraId="515F0C97" w14:textId="77777777" w:rsidTr="006E637F">
        <w:trPr>
          <w:trHeight w:val="58"/>
        </w:trPr>
        <w:tc>
          <w:tcPr>
            <w:tcW w:w="13716"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759214C" w14:textId="77777777" w:rsidR="001F7ECE" w:rsidRPr="005516CD" w:rsidRDefault="001F7ECE" w:rsidP="000C683F">
            <w:pPr>
              <w:autoSpaceDE w:val="0"/>
              <w:autoSpaceDN w:val="0"/>
              <w:adjustRightInd w:val="0"/>
              <w:rPr>
                <w:rFonts w:ascii="Calibri" w:hAnsi="Calibri" w:cs="Calibri"/>
                <w:b/>
                <w:color w:val="000000"/>
                <w:sz w:val="22"/>
              </w:rPr>
            </w:pPr>
            <w:r w:rsidRPr="005516CD">
              <w:rPr>
                <w:rFonts w:ascii="Calibri" w:hAnsi="Calibri" w:cs="Calibri"/>
                <w:b/>
                <w:color w:val="000000"/>
                <w:sz w:val="22"/>
              </w:rPr>
              <w:t xml:space="preserve">Component 2: </w:t>
            </w:r>
          </w:p>
        </w:tc>
      </w:tr>
      <w:tr w:rsidR="003646F2" w:rsidRPr="005516CD" w14:paraId="12A762BC" w14:textId="77777777" w:rsidTr="006E637F">
        <w:trPr>
          <w:trHeight w:val="1587"/>
        </w:trPr>
        <w:tc>
          <w:tcPr>
            <w:tcW w:w="2518" w:type="dxa"/>
            <w:tcBorders>
              <w:top w:val="single" w:sz="4" w:space="0" w:color="auto"/>
              <w:left w:val="single" w:sz="4" w:space="0" w:color="auto"/>
              <w:bottom w:val="single" w:sz="4" w:space="0" w:color="auto"/>
              <w:right w:val="single" w:sz="4" w:space="0" w:color="auto"/>
            </w:tcBorders>
          </w:tcPr>
          <w:p w14:paraId="4672EE99"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The rehabilitation of cocoa and coffee systems in the project intervention areas will be based on a combination of regeneration and the establishment of new plantations (planting based on good agricultural and environmental practices) as well as the restoration of hydrological flows to enable the restoration of ecosystem structure, functions and services. </w:t>
            </w:r>
          </w:p>
        </w:tc>
        <w:tc>
          <w:tcPr>
            <w:tcW w:w="2410" w:type="dxa"/>
            <w:tcBorders>
              <w:top w:val="single" w:sz="4" w:space="0" w:color="auto"/>
              <w:left w:val="single" w:sz="4" w:space="0" w:color="auto"/>
              <w:bottom w:val="single" w:sz="4" w:space="0" w:color="auto"/>
              <w:right w:val="single" w:sz="4" w:space="0" w:color="auto"/>
            </w:tcBorders>
          </w:tcPr>
          <w:p w14:paraId="42383315"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CPCN; KAFUBO; KAPB; CAPB; KAPBM; OFPB; GPK; APROVAL; GATAB; APPB; CAJBC </w:t>
            </w:r>
          </w:p>
        </w:tc>
        <w:tc>
          <w:tcPr>
            <w:tcW w:w="1984" w:type="dxa"/>
            <w:tcBorders>
              <w:top w:val="single" w:sz="4" w:space="0" w:color="auto"/>
              <w:left w:val="single" w:sz="4" w:space="0" w:color="auto"/>
              <w:bottom w:val="single" w:sz="4" w:space="0" w:color="auto"/>
              <w:right w:val="single" w:sz="4" w:space="0" w:color="auto"/>
            </w:tcBorders>
          </w:tcPr>
          <w:p w14:paraId="010C7BC2"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Public meetings, workshops and/or focus groups with specific groups </w:t>
            </w:r>
          </w:p>
          <w:p w14:paraId="56F46DC2"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Interviews with stakeholder representatives and key informants </w:t>
            </w:r>
          </w:p>
          <w:p w14:paraId="7A2392BA"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Surveys, surveys and questionnaires. </w:t>
            </w:r>
          </w:p>
        </w:tc>
        <w:tc>
          <w:tcPr>
            <w:tcW w:w="1985" w:type="dxa"/>
            <w:tcBorders>
              <w:top w:val="single" w:sz="4" w:space="0" w:color="auto"/>
              <w:left w:val="single" w:sz="4" w:space="0" w:color="auto"/>
              <w:bottom w:val="single" w:sz="4" w:space="0" w:color="auto"/>
              <w:right w:val="single" w:sz="4" w:space="0" w:color="auto"/>
            </w:tcBorders>
          </w:tcPr>
          <w:p w14:paraId="41C0DA6A"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Identify risks; </w:t>
            </w:r>
          </w:p>
          <w:p w14:paraId="1E87DD44"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Disclose information; </w:t>
            </w:r>
          </w:p>
          <w:p w14:paraId="5D403B7D"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Design project interventions; gender-sensitive awareness campaigns </w:t>
            </w:r>
          </w:p>
        </w:tc>
        <w:tc>
          <w:tcPr>
            <w:tcW w:w="1701" w:type="dxa"/>
            <w:tcBorders>
              <w:top w:val="single" w:sz="4" w:space="0" w:color="auto"/>
              <w:left w:val="single" w:sz="4" w:space="0" w:color="auto"/>
              <w:bottom w:val="single" w:sz="4" w:space="0" w:color="auto"/>
              <w:right w:val="single" w:sz="4" w:space="0" w:color="auto"/>
            </w:tcBorders>
          </w:tcPr>
          <w:p w14:paraId="043716AF"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Project design, project start, consultations followed throughout the project cycle. </w:t>
            </w:r>
          </w:p>
        </w:tc>
        <w:tc>
          <w:tcPr>
            <w:tcW w:w="1559" w:type="dxa"/>
            <w:tcBorders>
              <w:top w:val="single" w:sz="4" w:space="0" w:color="auto"/>
              <w:left w:val="single" w:sz="4" w:space="0" w:color="auto"/>
              <w:bottom w:val="single" w:sz="4" w:space="0" w:color="auto"/>
              <w:right w:val="single" w:sz="4" w:space="0" w:color="auto"/>
            </w:tcBorders>
          </w:tcPr>
          <w:p w14:paraId="506DFD1B"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1 week in each community </w:t>
            </w:r>
          </w:p>
        </w:tc>
        <w:tc>
          <w:tcPr>
            <w:tcW w:w="1559" w:type="dxa"/>
            <w:tcBorders>
              <w:top w:val="single" w:sz="4" w:space="0" w:color="auto"/>
              <w:left w:val="single" w:sz="4" w:space="0" w:color="auto"/>
              <w:bottom w:val="single" w:sz="4" w:space="0" w:color="auto"/>
              <w:right w:val="single" w:sz="4" w:space="0" w:color="auto"/>
            </w:tcBorders>
          </w:tcPr>
          <w:p w14:paraId="396DAF51" w14:textId="77777777" w:rsidR="006E637F"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UNDP/FAO/</w:t>
            </w:r>
          </w:p>
          <w:p w14:paraId="4B71CDB8" w14:textId="77777777" w:rsidR="006E637F" w:rsidRDefault="003646F2" w:rsidP="000C683F">
            <w:pPr>
              <w:autoSpaceDE w:val="0"/>
              <w:autoSpaceDN w:val="0"/>
              <w:adjustRightInd w:val="0"/>
              <w:rPr>
                <w:rFonts w:ascii="Calibri" w:hAnsi="Calibri" w:cs="Calibri"/>
                <w:color w:val="000000"/>
                <w:sz w:val="22"/>
              </w:rPr>
            </w:pPr>
            <w:proofErr w:type="spellStart"/>
            <w:r w:rsidRPr="005516CD">
              <w:rPr>
                <w:rFonts w:ascii="Calibri" w:hAnsi="Calibri" w:cs="Calibri"/>
                <w:color w:val="000000"/>
                <w:sz w:val="22"/>
              </w:rPr>
              <w:t>M</w:t>
            </w:r>
            <w:r w:rsidR="00BE644D" w:rsidRPr="005516CD">
              <w:rPr>
                <w:rFonts w:ascii="Calibri" w:hAnsi="Calibri" w:cs="Calibri"/>
                <w:color w:val="000000"/>
                <w:sz w:val="22"/>
              </w:rPr>
              <w:t>o</w:t>
            </w:r>
            <w:r w:rsidRPr="005516CD">
              <w:rPr>
                <w:rFonts w:ascii="Calibri" w:hAnsi="Calibri" w:cs="Calibri"/>
                <w:color w:val="000000"/>
                <w:sz w:val="22"/>
              </w:rPr>
              <w:t>E</w:t>
            </w:r>
            <w:proofErr w:type="spellEnd"/>
            <w:r w:rsidRPr="005516CD">
              <w:rPr>
                <w:rFonts w:ascii="Calibri" w:hAnsi="Calibri" w:cs="Calibri"/>
                <w:color w:val="000000"/>
                <w:sz w:val="22"/>
              </w:rPr>
              <w:t>/MARNDR</w:t>
            </w:r>
          </w:p>
          <w:p w14:paraId="2693E43B" w14:textId="67EDEA54" w:rsidR="003646F2" w:rsidRPr="005516CD" w:rsidRDefault="006E637F" w:rsidP="000C683F">
            <w:pPr>
              <w:autoSpaceDE w:val="0"/>
              <w:autoSpaceDN w:val="0"/>
              <w:adjustRightInd w:val="0"/>
              <w:rPr>
                <w:rFonts w:ascii="Calibri" w:hAnsi="Calibri" w:cs="Calibri"/>
                <w:color w:val="000000"/>
                <w:sz w:val="22"/>
              </w:rPr>
            </w:pPr>
            <w:r w:rsidRPr="008244FA">
              <w:rPr>
                <w:rFonts w:ascii="Calibri" w:hAnsi="Calibri" w:cs="Calibri"/>
                <w:color w:val="000000"/>
                <w:sz w:val="22"/>
                <w:highlight w:val="cyan"/>
              </w:rPr>
              <w:t>CSO/NGO</w:t>
            </w:r>
            <w:r w:rsidR="003646F2" w:rsidRPr="005516CD">
              <w:rPr>
                <w:rFonts w:ascii="Calibri" w:hAnsi="Calibri" w:cs="Calibri"/>
                <w:color w:val="000000"/>
                <w:sz w:val="22"/>
              </w:rPr>
              <w:t xml:space="preserve"> </w:t>
            </w:r>
          </w:p>
        </w:tc>
      </w:tr>
      <w:tr w:rsidR="003646F2" w:rsidRPr="005516CD" w14:paraId="71E4D4B9" w14:textId="77777777" w:rsidTr="006E637F">
        <w:trPr>
          <w:trHeight w:val="1184"/>
        </w:trPr>
        <w:tc>
          <w:tcPr>
            <w:tcW w:w="2518" w:type="dxa"/>
            <w:tcBorders>
              <w:top w:val="single" w:sz="4" w:space="0" w:color="auto"/>
              <w:left w:val="single" w:sz="4" w:space="0" w:color="auto"/>
              <w:bottom w:val="single" w:sz="4" w:space="0" w:color="auto"/>
              <w:right w:val="single" w:sz="4" w:space="0" w:color="auto"/>
            </w:tcBorders>
          </w:tcPr>
          <w:p w14:paraId="3A837BB9"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Training and education programmes will be set up for communities, beneficiaries and organized groups in the agricultural and environmental sector. </w:t>
            </w:r>
          </w:p>
        </w:tc>
        <w:tc>
          <w:tcPr>
            <w:tcW w:w="2410" w:type="dxa"/>
            <w:tcBorders>
              <w:top w:val="single" w:sz="4" w:space="0" w:color="auto"/>
              <w:left w:val="single" w:sz="4" w:space="0" w:color="auto"/>
              <w:bottom w:val="single" w:sz="4" w:space="0" w:color="auto"/>
              <w:right w:val="single" w:sz="4" w:space="0" w:color="auto"/>
            </w:tcBorders>
          </w:tcPr>
          <w:p w14:paraId="612E2F3D"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CPCN ; KAFUBO ; KAPB ; CAPB ; KAPBM ; OFPB ; GPK ; APROVAL ; GATAB; APPB ; CAJBC </w:t>
            </w:r>
          </w:p>
        </w:tc>
        <w:tc>
          <w:tcPr>
            <w:tcW w:w="1984" w:type="dxa"/>
            <w:tcBorders>
              <w:top w:val="single" w:sz="4" w:space="0" w:color="auto"/>
              <w:left w:val="single" w:sz="4" w:space="0" w:color="auto"/>
              <w:bottom w:val="single" w:sz="4" w:space="0" w:color="auto"/>
              <w:right w:val="single" w:sz="4" w:space="0" w:color="auto"/>
            </w:tcBorders>
          </w:tcPr>
          <w:p w14:paraId="43D7187E"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Public meetings, workshops and/or focus groups with specific groups </w:t>
            </w:r>
          </w:p>
        </w:tc>
        <w:tc>
          <w:tcPr>
            <w:tcW w:w="1985" w:type="dxa"/>
            <w:tcBorders>
              <w:top w:val="single" w:sz="4" w:space="0" w:color="auto"/>
              <w:left w:val="single" w:sz="4" w:space="0" w:color="auto"/>
              <w:bottom w:val="single" w:sz="4" w:space="0" w:color="auto"/>
              <w:right w:val="single" w:sz="4" w:space="0" w:color="auto"/>
            </w:tcBorders>
          </w:tcPr>
          <w:p w14:paraId="2DD371BE"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Implement gender-sensitive and accessible training </w:t>
            </w:r>
          </w:p>
        </w:tc>
        <w:tc>
          <w:tcPr>
            <w:tcW w:w="1701" w:type="dxa"/>
            <w:tcBorders>
              <w:top w:val="single" w:sz="4" w:space="0" w:color="auto"/>
              <w:left w:val="single" w:sz="4" w:space="0" w:color="auto"/>
              <w:bottom w:val="single" w:sz="4" w:space="0" w:color="auto"/>
              <w:right w:val="single" w:sz="4" w:space="0" w:color="auto"/>
            </w:tcBorders>
          </w:tcPr>
          <w:p w14:paraId="23BF42F1"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At the start of the Project </w:t>
            </w:r>
          </w:p>
        </w:tc>
        <w:tc>
          <w:tcPr>
            <w:tcW w:w="1559" w:type="dxa"/>
            <w:tcBorders>
              <w:top w:val="single" w:sz="4" w:space="0" w:color="auto"/>
              <w:left w:val="single" w:sz="4" w:space="0" w:color="auto"/>
              <w:bottom w:val="single" w:sz="4" w:space="0" w:color="auto"/>
              <w:right w:val="single" w:sz="4" w:space="0" w:color="auto"/>
            </w:tcBorders>
          </w:tcPr>
          <w:p w14:paraId="7B77E4E0"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1 week in each community, several 3-day workshops with institutional actors. </w:t>
            </w:r>
          </w:p>
        </w:tc>
        <w:tc>
          <w:tcPr>
            <w:tcW w:w="1559" w:type="dxa"/>
            <w:tcBorders>
              <w:top w:val="single" w:sz="4" w:space="0" w:color="auto"/>
              <w:left w:val="single" w:sz="4" w:space="0" w:color="auto"/>
              <w:bottom w:val="single" w:sz="4" w:space="0" w:color="auto"/>
              <w:right w:val="single" w:sz="4" w:space="0" w:color="auto"/>
            </w:tcBorders>
          </w:tcPr>
          <w:p w14:paraId="41945099" w14:textId="08FBDC98"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UNDP/FAO/</w:t>
            </w:r>
            <w:r w:rsidR="006E637F">
              <w:rPr>
                <w:rFonts w:ascii="Calibri" w:hAnsi="Calibri" w:cs="Calibri"/>
                <w:color w:val="000000"/>
                <w:sz w:val="22"/>
              </w:rPr>
              <w:t xml:space="preserve"> </w:t>
            </w:r>
            <w:proofErr w:type="spellStart"/>
            <w:r w:rsidRPr="005516CD">
              <w:rPr>
                <w:rFonts w:ascii="Calibri" w:hAnsi="Calibri" w:cs="Calibri"/>
                <w:color w:val="000000"/>
                <w:sz w:val="22"/>
              </w:rPr>
              <w:t>M</w:t>
            </w:r>
            <w:r w:rsidR="00BE644D" w:rsidRPr="005516CD">
              <w:rPr>
                <w:rFonts w:ascii="Calibri" w:hAnsi="Calibri" w:cs="Calibri"/>
                <w:color w:val="000000"/>
                <w:sz w:val="22"/>
              </w:rPr>
              <w:t>o</w:t>
            </w:r>
            <w:r w:rsidRPr="005516CD">
              <w:rPr>
                <w:rFonts w:ascii="Calibri" w:hAnsi="Calibri" w:cs="Calibri"/>
                <w:color w:val="000000"/>
                <w:sz w:val="22"/>
              </w:rPr>
              <w:t>E</w:t>
            </w:r>
            <w:proofErr w:type="spellEnd"/>
            <w:r w:rsidRPr="005516CD">
              <w:rPr>
                <w:rFonts w:ascii="Calibri" w:hAnsi="Calibri" w:cs="Calibri"/>
                <w:color w:val="000000"/>
                <w:sz w:val="22"/>
              </w:rPr>
              <w:t>/MARNDR</w:t>
            </w:r>
            <w:r w:rsidR="006E637F">
              <w:rPr>
                <w:rFonts w:ascii="Calibri" w:hAnsi="Calibri" w:cs="Calibri"/>
                <w:color w:val="000000"/>
                <w:sz w:val="22"/>
              </w:rPr>
              <w:t xml:space="preserve"> </w:t>
            </w:r>
            <w:r w:rsidR="006E637F" w:rsidRPr="008244FA">
              <w:rPr>
                <w:rFonts w:ascii="Calibri" w:hAnsi="Calibri" w:cs="Calibri"/>
                <w:color w:val="000000"/>
                <w:sz w:val="22"/>
                <w:highlight w:val="cyan"/>
              </w:rPr>
              <w:t>CSO/NGO</w:t>
            </w:r>
            <w:r w:rsidRPr="005516CD">
              <w:rPr>
                <w:rFonts w:ascii="Calibri" w:hAnsi="Calibri" w:cs="Calibri"/>
                <w:color w:val="000000"/>
                <w:sz w:val="22"/>
              </w:rPr>
              <w:t xml:space="preserve"> </w:t>
            </w:r>
          </w:p>
        </w:tc>
      </w:tr>
      <w:tr w:rsidR="001F7ECE" w:rsidRPr="005516CD" w14:paraId="093988C3" w14:textId="77777777" w:rsidTr="006E637F">
        <w:trPr>
          <w:trHeight w:val="58"/>
        </w:trPr>
        <w:tc>
          <w:tcPr>
            <w:tcW w:w="13716"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2C1A08F" w14:textId="77777777" w:rsidR="001F7ECE" w:rsidRPr="005516CD" w:rsidRDefault="001F7ECE" w:rsidP="000C683F">
            <w:pPr>
              <w:autoSpaceDE w:val="0"/>
              <w:autoSpaceDN w:val="0"/>
              <w:adjustRightInd w:val="0"/>
              <w:rPr>
                <w:rFonts w:ascii="Calibri" w:hAnsi="Calibri" w:cs="Calibri"/>
                <w:b/>
                <w:color w:val="000000"/>
                <w:sz w:val="22"/>
              </w:rPr>
            </w:pPr>
            <w:r w:rsidRPr="005516CD">
              <w:rPr>
                <w:rFonts w:ascii="Calibri" w:hAnsi="Calibri" w:cs="Calibri"/>
                <w:b/>
                <w:color w:val="000000"/>
                <w:sz w:val="22"/>
              </w:rPr>
              <w:t xml:space="preserve">Component 3: </w:t>
            </w:r>
          </w:p>
        </w:tc>
      </w:tr>
      <w:tr w:rsidR="003646F2" w:rsidRPr="005516CD" w14:paraId="36DCCC8C" w14:textId="77777777" w:rsidTr="006E637F">
        <w:trPr>
          <w:trHeight w:val="1184"/>
        </w:trPr>
        <w:tc>
          <w:tcPr>
            <w:tcW w:w="2518" w:type="dxa"/>
            <w:tcBorders>
              <w:top w:val="single" w:sz="4" w:space="0" w:color="auto"/>
              <w:left w:val="single" w:sz="4" w:space="0" w:color="auto"/>
              <w:bottom w:val="single" w:sz="4" w:space="0" w:color="auto"/>
              <w:right w:val="single" w:sz="4" w:space="0" w:color="auto"/>
            </w:tcBorders>
          </w:tcPr>
          <w:p w14:paraId="7F404939"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Development and updating of local climate information products and other environmental and biodiversity data. </w:t>
            </w:r>
          </w:p>
        </w:tc>
        <w:tc>
          <w:tcPr>
            <w:tcW w:w="2410" w:type="dxa"/>
            <w:tcBorders>
              <w:top w:val="single" w:sz="4" w:space="0" w:color="auto"/>
              <w:left w:val="single" w:sz="4" w:space="0" w:color="auto"/>
              <w:bottom w:val="single" w:sz="4" w:space="0" w:color="auto"/>
              <w:right w:val="single" w:sz="4" w:space="0" w:color="auto"/>
            </w:tcBorders>
          </w:tcPr>
          <w:p w14:paraId="60460C3C"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CPCN ; KAFUBO ; KAPB ; CAPB ; KAPBM ; OFPB ; GPK ; APROVAL ; GATAB; APPB ; CAJBC </w:t>
            </w:r>
          </w:p>
        </w:tc>
        <w:tc>
          <w:tcPr>
            <w:tcW w:w="1984" w:type="dxa"/>
            <w:tcBorders>
              <w:top w:val="single" w:sz="4" w:space="0" w:color="auto"/>
              <w:left w:val="single" w:sz="4" w:space="0" w:color="auto"/>
              <w:bottom w:val="single" w:sz="4" w:space="0" w:color="auto"/>
              <w:right w:val="single" w:sz="4" w:space="0" w:color="auto"/>
            </w:tcBorders>
          </w:tcPr>
          <w:p w14:paraId="7A5055CD"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Public meetings, workshops and/or focus groups with specific groups </w:t>
            </w:r>
          </w:p>
          <w:p w14:paraId="76F88AE9"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Interviews with stakeholder representatives and key informants </w:t>
            </w:r>
          </w:p>
          <w:p w14:paraId="37F60D26"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Surveys, surveys and interviews </w:t>
            </w:r>
          </w:p>
        </w:tc>
        <w:tc>
          <w:tcPr>
            <w:tcW w:w="1985" w:type="dxa"/>
            <w:tcBorders>
              <w:top w:val="single" w:sz="4" w:space="0" w:color="auto"/>
              <w:left w:val="single" w:sz="4" w:space="0" w:color="auto"/>
              <w:bottom w:val="single" w:sz="4" w:space="0" w:color="auto"/>
              <w:right w:val="single" w:sz="4" w:space="0" w:color="auto"/>
            </w:tcBorders>
          </w:tcPr>
          <w:p w14:paraId="7563320F"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Design and implement gender-sensitive monitoring and information products, valuing local ecological knowledge and taking into account barriers to access by different community actors. </w:t>
            </w:r>
          </w:p>
        </w:tc>
        <w:tc>
          <w:tcPr>
            <w:tcW w:w="1701" w:type="dxa"/>
            <w:tcBorders>
              <w:top w:val="single" w:sz="4" w:space="0" w:color="auto"/>
              <w:left w:val="single" w:sz="4" w:space="0" w:color="auto"/>
              <w:bottom w:val="single" w:sz="4" w:space="0" w:color="auto"/>
              <w:right w:val="single" w:sz="4" w:space="0" w:color="auto"/>
            </w:tcBorders>
          </w:tcPr>
          <w:p w14:paraId="79845FAF"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Project design, project start, consultations followed throughout the project cycle. </w:t>
            </w:r>
          </w:p>
        </w:tc>
        <w:tc>
          <w:tcPr>
            <w:tcW w:w="1559" w:type="dxa"/>
            <w:tcBorders>
              <w:top w:val="single" w:sz="4" w:space="0" w:color="auto"/>
              <w:left w:val="single" w:sz="4" w:space="0" w:color="auto"/>
              <w:bottom w:val="single" w:sz="4" w:space="0" w:color="auto"/>
              <w:right w:val="single" w:sz="4" w:space="0" w:color="auto"/>
            </w:tcBorders>
          </w:tcPr>
          <w:p w14:paraId="6657AEB0"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1 week in each community, </w:t>
            </w:r>
          </w:p>
        </w:tc>
        <w:tc>
          <w:tcPr>
            <w:tcW w:w="1559" w:type="dxa"/>
            <w:tcBorders>
              <w:top w:val="single" w:sz="4" w:space="0" w:color="auto"/>
              <w:left w:val="single" w:sz="4" w:space="0" w:color="auto"/>
              <w:bottom w:val="single" w:sz="4" w:space="0" w:color="auto"/>
              <w:right w:val="single" w:sz="4" w:space="0" w:color="auto"/>
            </w:tcBorders>
          </w:tcPr>
          <w:p w14:paraId="4CD5885A" w14:textId="414A6472"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UNDP/FAO/</w:t>
            </w:r>
            <w:r w:rsidR="006E637F">
              <w:rPr>
                <w:rFonts w:ascii="Calibri" w:hAnsi="Calibri" w:cs="Calibri"/>
                <w:color w:val="000000"/>
                <w:sz w:val="22"/>
              </w:rPr>
              <w:t xml:space="preserve"> </w:t>
            </w:r>
            <w:proofErr w:type="spellStart"/>
            <w:r w:rsidRPr="005516CD">
              <w:rPr>
                <w:rFonts w:ascii="Calibri" w:hAnsi="Calibri" w:cs="Calibri"/>
                <w:color w:val="000000"/>
                <w:sz w:val="22"/>
              </w:rPr>
              <w:t>M</w:t>
            </w:r>
            <w:r w:rsidR="00BE644D" w:rsidRPr="005516CD">
              <w:rPr>
                <w:rFonts w:ascii="Calibri" w:hAnsi="Calibri" w:cs="Calibri"/>
                <w:color w:val="000000"/>
                <w:sz w:val="22"/>
              </w:rPr>
              <w:t>o</w:t>
            </w:r>
            <w:r w:rsidRPr="005516CD">
              <w:rPr>
                <w:rFonts w:ascii="Calibri" w:hAnsi="Calibri" w:cs="Calibri"/>
                <w:color w:val="000000"/>
                <w:sz w:val="22"/>
              </w:rPr>
              <w:t>E</w:t>
            </w:r>
            <w:proofErr w:type="spellEnd"/>
            <w:r w:rsidRPr="005516CD">
              <w:rPr>
                <w:rFonts w:ascii="Calibri" w:hAnsi="Calibri" w:cs="Calibri"/>
                <w:color w:val="000000"/>
                <w:sz w:val="22"/>
              </w:rPr>
              <w:t xml:space="preserve">/MARNDR </w:t>
            </w:r>
          </w:p>
        </w:tc>
      </w:tr>
      <w:tr w:rsidR="003646F2" w:rsidRPr="005516CD" w14:paraId="5246F406" w14:textId="77777777" w:rsidTr="006E637F">
        <w:trPr>
          <w:trHeight w:val="1184"/>
        </w:trPr>
        <w:tc>
          <w:tcPr>
            <w:tcW w:w="2518" w:type="dxa"/>
            <w:tcBorders>
              <w:top w:val="single" w:sz="4" w:space="0" w:color="auto"/>
              <w:left w:val="single" w:sz="4" w:space="0" w:color="auto"/>
              <w:bottom w:val="single" w:sz="4" w:space="0" w:color="auto"/>
              <w:right w:val="single" w:sz="4" w:space="0" w:color="auto"/>
            </w:tcBorders>
          </w:tcPr>
          <w:p w14:paraId="4F9FE742"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A knowledge management platform for the management of forest production systems focused on cocoa and coffee crops will be updated to integrate and manage local and communal climate information and products. </w:t>
            </w:r>
          </w:p>
        </w:tc>
        <w:tc>
          <w:tcPr>
            <w:tcW w:w="2410" w:type="dxa"/>
            <w:tcBorders>
              <w:top w:val="single" w:sz="4" w:space="0" w:color="auto"/>
              <w:left w:val="single" w:sz="4" w:space="0" w:color="auto"/>
              <w:bottom w:val="single" w:sz="4" w:space="0" w:color="auto"/>
              <w:right w:val="single" w:sz="4" w:space="0" w:color="auto"/>
            </w:tcBorders>
          </w:tcPr>
          <w:p w14:paraId="4477A4FF"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CPCN ; KAFUBO ; KAPB ; CAPB ; KAPBM ; OFPB ; GPK ; APROVAL ; GATAB; APPB ; CAJBC </w:t>
            </w:r>
          </w:p>
        </w:tc>
        <w:tc>
          <w:tcPr>
            <w:tcW w:w="1984" w:type="dxa"/>
            <w:tcBorders>
              <w:top w:val="single" w:sz="4" w:space="0" w:color="auto"/>
              <w:left w:val="single" w:sz="4" w:space="0" w:color="auto"/>
              <w:bottom w:val="single" w:sz="4" w:space="0" w:color="auto"/>
              <w:right w:val="single" w:sz="4" w:space="0" w:color="auto"/>
            </w:tcBorders>
          </w:tcPr>
          <w:p w14:paraId="3D019232"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Public meetings, workshops and/or focus groups with specific groups </w:t>
            </w:r>
          </w:p>
        </w:tc>
        <w:tc>
          <w:tcPr>
            <w:tcW w:w="1985" w:type="dxa"/>
            <w:tcBorders>
              <w:top w:val="single" w:sz="4" w:space="0" w:color="auto"/>
              <w:left w:val="single" w:sz="4" w:space="0" w:color="auto"/>
              <w:bottom w:val="single" w:sz="4" w:space="0" w:color="auto"/>
              <w:right w:val="single" w:sz="4" w:space="0" w:color="auto"/>
            </w:tcBorders>
          </w:tcPr>
          <w:p w14:paraId="00524D8D"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build and strengthen the platform between these stakeholders </w:t>
            </w:r>
          </w:p>
        </w:tc>
        <w:tc>
          <w:tcPr>
            <w:tcW w:w="1701" w:type="dxa"/>
            <w:tcBorders>
              <w:top w:val="single" w:sz="4" w:space="0" w:color="auto"/>
              <w:left w:val="single" w:sz="4" w:space="0" w:color="auto"/>
              <w:bottom w:val="single" w:sz="4" w:space="0" w:color="auto"/>
              <w:right w:val="single" w:sz="4" w:space="0" w:color="auto"/>
            </w:tcBorders>
          </w:tcPr>
          <w:p w14:paraId="7075D557"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At the start of the Project </w:t>
            </w:r>
          </w:p>
        </w:tc>
        <w:tc>
          <w:tcPr>
            <w:tcW w:w="1559" w:type="dxa"/>
            <w:tcBorders>
              <w:top w:val="single" w:sz="4" w:space="0" w:color="auto"/>
              <w:left w:val="single" w:sz="4" w:space="0" w:color="auto"/>
              <w:bottom w:val="single" w:sz="4" w:space="0" w:color="auto"/>
              <w:right w:val="single" w:sz="4" w:space="0" w:color="auto"/>
            </w:tcBorders>
          </w:tcPr>
          <w:p w14:paraId="73865082"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 xml:space="preserve">several 3-day workshops with institutional stakeholders. </w:t>
            </w:r>
          </w:p>
        </w:tc>
        <w:tc>
          <w:tcPr>
            <w:tcW w:w="1559" w:type="dxa"/>
            <w:tcBorders>
              <w:top w:val="single" w:sz="4" w:space="0" w:color="auto"/>
              <w:left w:val="single" w:sz="4" w:space="0" w:color="auto"/>
              <w:bottom w:val="single" w:sz="4" w:space="0" w:color="auto"/>
              <w:right w:val="single" w:sz="4" w:space="0" w:color="auto"/>
            </w:tcBorders>
          </w:tcPr>
          <w:p w14:paraId="02CB74A8" w14:textId="77777777" w:rsidR="003646F2" w:rsidRPr="005516CD" w:rsidRDefault="003646F2" w:rsidP="000C683F">
            <w:pPr>
              <w:autoSpaceDE w:val="0"/>
              <w:autoSpaceDN w:val="0"/>
              <w:adjustRightInd w:val="0"/>
              <w:rPr>
                <w:rFonts w:ascii="Calibri" w:hAnsi="Calibri" w:cs="Calibri"/>
                <w:color w:val="000000"/>
                <w:sz w:val="22"/>
              </w:rPr>
            </w:pPr>
            <w:r w:rsidRPr="005516CD">
              <w:rPr>
                <w:rFonts w:ascii="Calibri" w:hAnsi="Calibri" w:cs="Calibri"/>
                <w:color w:val="000000"/>
                <w:sz w:val="22"/>
              </w:rPr>
              <w:t>UNDP/FAO/</w:t>
            </w:r>
            <w:proofErr w:type="spellStart"/>
            <w:r w:rsidRPr="005516CD">
              <w:rPr>
                <w:rFonts w:ascii="Calibri" w:hAnsi="Calibri" w:cs="Calibri"/>
                <w:color w:val="000000"/>
                <w:sz w:val="22"/>
              </w:rPr>
              <w:t>M</w:t>
            </w:r>
            <w:r w:rsidR="00BE644D" w:rsidRPr="005516CD">
              <w:rPr>
                <w:rFonts w:ascii="Calibri" w:hAnsi="Calibri" w:cs="Calibri"/>
                <w:color w:val="000000"/>
                <w:sz w:val="22"/>
              </w:rPr>
              <w:t>o</w:t>
            </w:r>
            <w:r w:rsidRPr="005516CD">
              <w:rPr>
                <w:rFonts w:ascii="Calibri" w:hAnsi="Calibri" w:cs="Calibri"/>
                <w:color w:val="000000"/>
                <w:sz w:val="22"/>
              </w:rPr>
              <w:t>E</w:t>
            </w:r>
            <w:proofErr w:type="spellEnd"/>
            <w:r w:rsidRPr="005516CD">
              <w:rPr>
                <w:rFonts w:ascii="Calibri" w:hAnsi="Calibri" w:cs="Calibri"/>
                <w:color w:val="000000"/>
                <w:sz w:val="22"/>
              </w:rPr>
              <w:t xml:space="preserve">/MARNDR </w:t>
            </w:r>
          </w:p>
        </w:tc>
      </w:tr>
    </w:tbl>
    <w:p w14:paraId="070C5D5B" w14:textId="77777777" w:rsidR="003646F2" w:rsidRPr="005516CD" w:rsidRDefault="003646F2" w:rsidP="003646F2">
      <w:pPr>
        <w:autoSpaceDE w:val="0"/>
        <w:autoSpaceDN w:val="0"/>
        <w:adjustRightInd w:val="0"/>
        <w:sectPr w:rsidR="003646F2" w:rsidRPr="005516CD" w:rsidSect="004E3C8E">
          <w:pgSz w:w="15840" w:h="12240" w:orient="landscape"/>
          <w:pgMar w:top="1440" w:right="1440" w:bottom="1440" w:left="1440" w:header="708" w:footer="708" w:gutter="0"/>
          <w:cols w:space="708"/>
          <w:docGrid w:linePitch="360"/>
        </w:sectPr>
      </w:pPr>
    </w:p>
    <w:p w14:paraId="00662801" w14:textId="77777777" w:rsidR="003646F2" w:rsidRPr="005516CD" w:rsidRDefault="003646F2" w:rsidP="003646F2">
      <w:pPr>
        <w:pStyle w:val="Default"/>
        <w:spacing w:after="120"/>
        <w:rPr>
          <w:rFonts w:ascii="Calibri" w:hAnsi="Calibri" w:cs="Calibri"/>
          <w:b/>
          <w:sz w:val="23"/>
          <w:szCs w:val="23"/>
        </w:rPr>
      </w:pPr>
      <w:r w:rsidRPr="005516CD">
        <w:rPr>
          <w:rFonts w:ascii="Calibri" w:hAnsi="Calibri" w:cs="Calibri"/>
          <w:b/>
          <w:sz w:val="23"/>
          <w:szCs w:val="23"/>
        </w:rPr>
        <w:t xml:space="preserve">VII. Complaint mechanisms </w:t>
      </w:r>
    </w:p>
    <w:p w14:paraId="6A196DD3"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A Complaint Resolution Mechanism (CRM) has been designed to be a problem-solving mechanism with voluntary efforts in good faith. The project-level claims resolution mechanism does not replace the judicial process. To the extent possible, the Claims Resolution Mechanism shall endeavour to resolve claims and/or claims on terms mutually acceptable to all parties and in a manner that is immediately accessible. </w:t>
      </w:r>
    </w:p>
    <w:p w14:paraId="6C973216" w14:textId="68A75776"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A three-tiered structure has been developed to handle all complaints and/or grievances. The first level mechanism involves the receipt of a complaint and/or grievance at project level, the PMU, and in particular the Head of Guarantees and Gender Issues) is responsible for coordinating with the persons concerned to resolve the grievances. Some problems may be more complex and cannot be solved through a project-level mechanism. At the second level, a grievance committee formed at the provincial level to deal with the complaint and/or grievance will also be available. In addition to the first and second level recourse mechanisms, complainants have the opportunity to access a third level, either through existing national legislative frameworks or through the UNDP accountability mechanism (stakeholder response mechanism), which is under investigation by the independent UNDP Subcommittee on Social Affairs. All complainants must be treated with respect, politeness and tact. Some inquiries, concerns, complaints and/or grievances may require a longer period of time. Complainants will be kept informed of progress made in remedying the situation. All inquiries, concerns, complaints and/or grievances will be investigated</w:t>
      </w:r>
      <w:r w:rsidR="0073580B">
        <w:rPr>
          <w:rFonts w:ascii="Calibri" w:hAnsi="Calibri" w:cs="Calibri"/>
          <w:color w:val="000000"/>
          <w:sz w:val="22"/>
        </w:rPr>
        <w:t>,</w:t>
      </w:r>
      <w:r w:rsidRPr="005516CD">
        <w:rPr>
          <w:rFonts w:ascii="Calibri" w:hAnsi="Calibri" w:cs="Calibri"/>
          <w:color w:val="000000"/>
          <w:sz w:val="22"/>
        </w:rPr>
        <w:t xml:space="preserve"> and a response provided to the complainant as soon as possible. </w:t>
      </w:r>
    </w:p>
    <w:p w14:paraId="7F695692"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All stakeholder engagement activities will provide participants with clear and concise information on: (</w:t>
      </w:r>
      <w:proofErr w:type="spellStart"/>
      <w:r w:rsidRPr="005516CD">
        <w:rPr>
          <w:rFonts w:ascii="Calibri" w:hAnsi="Calibri" w:cs="Calibri"/>
          <w:color w:val="000000"/>
          <w:sz w:val="22"/>
        </w:rPr>
        <w:t>i</w:t>
      </w:r>
      <w:proofErr w:type="spellEnd"/>
      <w:r w:rsidRPr="005516CD">
        <w:rPr>
          <w:rFonts w:ascii="Calibri" w:hAnsi="Calibri" w:cs="Calibri"/>
          <w:color w:val="000000"/>
          <w:sz w:val="22"/>
        </w:rPr>
        <w:t xml:space="preserve">) the various national and international grievance mechanisms available to them, as indicated above, and (ii) where and how they can access these mechanisms and related resources. All this information will be provided in the most effective and efficient manner and will be adapted, where appropriate, to the cultural and socio-economic characteristics of the stakeholders. All stakeholders, including local communities, will be involved in monitoring project implementation, potential impacts and management/mitigation measures. The results of stakeholder engagement activities will be communicated to the affected and broader stakeholder groups through appropriate means, such as newsletters / newsletters, social and environmental assessment reports, monitoring reports and mid-term and final project evaluations. These processes are also described in detail in the CGES. </w:t>
      </w:r>
    </w:p>
    <w:p w14:paraId="072B247D" w14:textId="77777777" w:rsidR="003646F2" w:rsidRPr="005516CD" w:rsidRDefault="003646F2" w:rsidP="003646F2">
      <w:pPr>
        <w:pStyle w:val="Default"/>
        <w:spacing w:after="120"/>
        <w:rPr>
          <w:rFonts w:ascii="Calibri" w:hAnsi="Calibri" w:cs="Calibri"/>
          <w:b/>
          <w:sz w:val="23"/>
          <w:szCs w:val="23"/>
        </w:rPr>
      </w:pPr>
      <w:r w:rsidRPr="005516CD">
        <w:rPr>
          <w:rFonts w:ascii="Calibri" w:hAnsi="Calibri" w:cs="Calibri"/>
          <w:b/>
          <w:sz w:val="23"/>
          <w:szCs w:val="23"/>
        </w:rPr>
        <w:t xml:space="preserve">VIII. Documentation in support of the stakeholder engagement plan </w:t>
      </w:r>
    </w:p>
    <w:p w14:paraId="1D239638" w14:textId="77777777" w:rsidR="003646F2" w:rsidRPr="005516CD" w:rsidRDefault="003646F2" w:rsidP="003646F2">
      <w:pPr>
        <w:autoSpaceDE w:val="0"/>
        <w:autoSpaceDN w:val="0"/>
        <w:adjustRightInd w:val="0"/>
        <w:spacing w:after="120"/>
        <w:jc w:val="both"/>
        <w:rPr>
          <w:rFonts w:ascii="Calibri" w:hAnsi="Calibri" w:cs="Calibri"/>
          <w:color w:val="000000"/>
          <w:sz w:val="20"/>
          <w:szCs w:val="22"/>
        </w:rPr>
      </w:pPr>
      <w:r w:rsidRPr="005516CD">
        <w:rPr>
          <w:rFonts w:ascii="Calibri" w:hAnsi="Calibri" w:cs="Calibri"/>
          <w:color w:val="000000"/>
          <w:sz w:val="20"/>
          <w:szCs w:val="22"/>
        </w:rPr>
        <w:t xml:space="preserve">General considerations on the link between UNDP social and environmental standards and project interventions: </w:t>
      </w:r>
    </w:p>
    <w:p w14:paraId="7946AEC4" w14:textId="615FB46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Assessment and management of environmental and social risks and impacts is a key element in the design and implementation of the project. Following the UNDP social and environmental screening process and the application of the matrix for identifying social and environmental risks, environmental and social risks were </w:t>
      </w:r>
      <w:r w:rsidR="00B63F39" w:rsidRPr="005516CD">
        <w:rPr>
          <w:rFonts w:ascii="Calibri" w:hAnsi="Calibri" w:cs="Calibri"/>
          <w:color w:val="000000"/>
          <w:sz w:val="22"/>
        </w:rPr>
        <w:t>identified,</w:t>
      </w:r>
      <w:r w:rsidRPr="005516CD">
        <w:rPr>
          <w:rFonts w:ascii="Calibri" w:hAnsi="Calibri" w:cs="Calibri"/>
          <w:color w:val="000000"/>
          <w:sz w:val="22"/>
        </w:rPr>
        <w:t xml:space="preserve"> and possible mitigation measures were defined, which were then discussed and validated with stakeholders. The main considerations and comments mentioned by stakeholders regarding UNDP social and environmental standards are summarized below and have been incorporated into the project design, as well as into the SESP and CGES. </w:t>
      </w:r>
    </w:p>
    <w:p w14:paraId="27AB9FE6"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Standard 1: </w:t>
      </w:r>
      <w:r w:rsidRPr="005516CD">
        <w:rPr>
          <w:rFonts w:ascii="Calibri" w:hAnsi="Calibri" w:cs="Calibri"/>
          <w:i/>
          <w:iCs/>
          <w:color w:val="000000"/>
          <w:sz w:val="22"/>
        </w:rPr>
        <w:t>Biodiversity conservation and sustainable management of natural resources</w:t>
      </w:r>
      <w:r w:rsidRPr="005516CD">
        <w:rPr>
          <w:rFonts w:ascii="Calibri" w:hAnsi="Calibri" w:cs="Calibri"/>
          <w:color w:val="000000"/>
          <w:sz w:val="22"/>
        </w:rPr>
        <w:t xml:space="preserve">: Stakeholders considered that the interventions planned in the project are unlikely to have a negative impact on biodiversity or ecosystem services. On the contrary, all stakeholders considered that the implementation of ecosystem-based adaptation protocols supports the ability of ecosystems to function as natural buffers, reducing exposure to certain risks, such as coastal flooding. They recognized that such interventions also contribute to the integration of conservation needs and development priorities. Stakeholders repeatedly mentioned that autonomous rehabilitation was not </w:t>
      </w:r>
      <w:proofErr w:type="gramStart"/>
      <w:r w:rsidRPr="005516CD">
        <w:rPr>
          <w:rFonts w:ascii="Calibri" w:hAnsi="Calibri" w:cs="Calibri"/>
          <w:color w:val="000000"/>
          <w:sz w:val="22"/>
        </w:rPr>
        <w:t>enough, but</w:t>
      </w:r>
      <w:proofErr w:type="gramEnd"/>
      <w:r w:rsidRPr="005516CD">
        <w:rPr>
          <w:rFonts w:ascii="Calibri" w:hAnsi="Calibri" w:cs="Calibri"/>
          <w:color w:val="000000"/>
          <w:sz w:val="22"/>
        </w:rPr>
        <w:t xml:space="preserve"> concerned the sustainable management of natural resources - conservation and restoration of ecosystems were also essential. </w:t>
      </w:r>
    </w:p>
    <w:p w14:paraId="7E21F66B"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National experts mentioned that reforestation/vegetation interventions should be developed according to biodiversity conservation criteria, as forested production systems support multiple species. Prohibiting the use of alien species (and developing monitoring and maintenance protocols to help control and eradicate them), the use of native species adapted to ecosystem characteristics, as well as the use of species diversity to ensure reforestation is not encouraged in a monospecific manner and is more vulnerable to parasites, were all mentioned as promising mitigation measures. </w:t>
      </w:r>
    </w:p>
    <w:p w14:paraId="77F76C17"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National and local government stakeholders indicated that any activities to be developed in the vicinity of protected areas or their buffer zones should respect the rules defined in the respective management plans, as defined in the national legal framework, and that monitoring processes may have been necessary to strengthen. In addition, stakeholders indicated that the monitoring to be developed in the project's intervention areas would enable practitioners and institutional actors to obtain information on ecosystem health and the evolution of the effects of the interventions developed. </w:t>
      </w:r>
    </w:p>
    <w:p w14:paraId="69FAAD0F"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Standard 2: </w:t>
      </w:r>
      <w:r w:rsidRPr="005516CD">
        <w:rPr>
          <w:rFonts w:ascii="Calibri" w:hAnsi="Calibri" w:cs="Calibri"/>
          <w:i/>
          <w:iCs/>
          <w:color w:val="000000"/>
          <w:sz w:val="22"/>
        </w:rPr>
        <w:t>Climate change adaptation and mitigation</w:t>
      </w:r>
      <w:r w:rsidRPr="005516CD">
        <w:rPr>
          <w:rFonts w:ascii="Calibri" w:hAnsi="Calibri" w:cs="Calibri"/>
          <w:color w:val="000000"/>
          <w:sz w:val="22"/>
        </w:rPr>
        <w:t xml:space="preserve">: Stakeholders agreed that they consider biodiversity degradation to be a key issue for both the security and the economic future of Haiti. Community stakeholders shared a wealth of experience on the impacts of poor biodiversity and ecosystem management, including erosion and increasingly extreme storms leading to biodiversity damage and loss. </w:t>
      </w:r>
    </w:p>
    <w:p w14:paraId="50CDF848"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From the point of view of mitigation, interventions that promote revegetation. With regard to project interventions leading to possible maladaptation, stakeholders agreed that an adaptive, diversified ecosystem-based management approach was the most appropriate on long-term resilience as well as reducing the possibility of environmental risk. </w:t>
      </w:r>
    </w:p>
    <w:p w14:paraId="08BAC836"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Standard 3: </w:t>
      </w:r>
      <w:r w:rsidRPr="005516CD">
        <w:rPr>
          <w:rFonts w:ascii="Calibri" w:hAnsi="Calibri" w:cs="Calibri"/>
          <w:i/>
          <w:iCs/>
          <w:color w:val="000000"/>
          <w:sz w:val="22"/>
        </w:rPr>
        <w:t xml:space="preserve">Community, health security and working conditions: The </w:t>
      </w:r>
      <w:r w:rsidRPr="005516CD">
        <w:rPr>
          <w:rFonts w:ascii="Calibri" w:hAnsi="Calibri" w:cs="Calibri"/>
          <w:color w:val="000000"/>
          <w:sz w:val="22"/>
        </w:rPr>
        <w:t xml:space="preserve">interventions planned under the project were considered to have few adverse effects on the health and safety of communities in the project intervention areas and can provide a positive impact on the quality of natural resources, such as drinking water, as well as a positive impact on other ecosystem services. </w:t>
      </w:r>
    </w:p>
    <w:p w14:paraId="009F823C"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With regard to working and employment conditions, institutional stakeholders stressed that the framework of national policies and regulations ensures that, for the interventions provided for in the project, the principles of fair treatment, non-discrimination and equal opportunities in the workplace, as well as the requirements of social security at work, will be observed. These regulations also define the mechanisms by which workers can exercise their right to complain, their age and working hours. Nevertheless, as it was indicated during the interviews that men and women hold jobs that are well proportionate to gender equality in communities, gender equity indicators have been incorporated into GAAP (Appendix X). </w:t>
      </w:r>
    </w:p>
    <w:p w14:paraId="0253D745" w14:textId="77777777" w:rsidR="003646F2" w:rsidRPr="005516CD" w:rsidRDefault="003646F2" w:rsidP="003646F2">
      <w:pPr>
        <w:pageBreakBefore/>
        <w:autoSpaceDE w:val="0"/>
        <w:autoSpaceDN w:val="0"/>
        <w:adjustRightInd w:val="0"/>
        <w:rPr>
          <w:rFonts w:ascii="Calibri" w:hAnsi="Calibri" w:cs="Calibri"/>
          <w:color w:val="000000"/>
          <w:sz w:val="22"/>
        </w:rPr>
      </w:pPr>
      <w:r w:rsidRPr="005516CD">
        <w:rPr>
          <w:rFonts w:ascii="Calibri" w:hAnsi="Calibri" w:cs="Calibri"/>
          <w:color w:val="000000"/>
          <w:sz w:val="22"/>
        </w:rPr>
        <w:t xml:space="preserve">Standard 4: </w:t>
      </w:r>
      <w:r w:rsidRPr="005516CD">
        <w:rPr>
          <w:rFonts w:ascii="Calibri" w:hAnsi="Calibri" w:cs="Calibri"/>
          <w:i/>
          <w:iCs/>
          <w:color w:val="000000"/>
          <w:sz w:val="22"/>
        </w:rPr>
        <w:t>Cultural heritage</w:t>
      </w:r>
      <w:r w:rsidRPr="005516CD">
        <w:rPr>
          <w:rFonts w:ascii="Calibri" w:hAnsi="Calibri" w:cs="Calibri"/>
          <w:color w:val="000000"/>
          <w:sz w:val="22"/>
        </w:rPr>
        <w:t xml:space="preserve">: the interventions planned under the project are not likely to affect the cultural heritage values located in the sections where the project will be developed. </w:t>
      </w:r>
    </w:p>
    <w:p w14:paraId="657630A1"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Considering that the interventions foreseen in the project will promote the resilience of ecosystems to the effects of climate change, stakeholders considered that the project would contribute to the protection of the tangible values of cultural heritage. </w:t>
      </w:r>
    </w:p>
    <w:p w14:paraId="02348F88"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Standard 5: </w:t>
      </w:r>
      <w:r w:rsidRPr="005516CD">
        <w:rPr>
          <w:rFonts w:ascii="Calibri" w:hAnsi="Calibri" w:cs="Calibri"/>
          <w:i/>
          <w:iCs/>
          <w:color w:val="000000"/>
          <w:sz w:val="22"/>
        </w:rPr>
        <w:t>Displacement and resettlement</w:t>
      </w:r>
      <w:r w:rsidRPr="005516CD">
        <w:rPr>
          <w:rFonts w:ascii="Calibri" w:hAnsi="Calibri" w:cs="Calibri"/>
          <w:color w:val="000000"/>
          <w:sz w:val="22"/>
        </w:rPr>
        <w:t xml:space="preserve">: The interventions envisaged in the project do not intend or imply the need to change ownership and tenure, nor any type of economic or physical displacement. In addition, the dynamics around the use of fuelwood and construction wood were discussed, as this practice would compromise the sustainability of the intervention to rehabilitate woodland systems; the availability of other energy sources would be possible. </w:t>
      </w:r>
    </w:p>
    <w:p w14:paraId="35730303"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 xml:space="preserve">Standard 6: </w:t>
      </w:r>
      <w:r w:rsidRPr="005516CD">
        <w:rPr>
          <w:rFonts w:ascii="Calibri" w:hAnsi="Calibri" w:cs="Calibri"/>
          <w:i/>
          <w:iCs/>
          <w:color w:val="000000"/>
          <w:sz w:val="22"/>
        </w:rPr>
        <w:t>Pollution prevention and resource efficiency</w:t>
      </w:r>
      <w:r w:rsidRPr="005516CD">
        <w:rPr>
          <w:rFonts w:ascii="Calibri" w:hAnsi="Calibri" w:cs="Calibri"/>
          <w:color w:val="000000"/>
          <w:sz w:val="22"/>
        </w:rPr>
        <w:t xml:space="preserve">: National and community stakeholders stressed that the management of forest systems is a key issue, both to ensure the health of ecosystems and to maintain the quality of agricultural land. </w:t>
      </w:r>
    </w:p>
    <w:p w14:paraId="1847632F" w14:textId="77777777" w:rsidR="003646F2" w:rsidRPr="005516CD" w:rsidRDefault="003646F2" w:rsidP="003646F2">
      <w:pPr>
        <w:autoSpaceDE w:val="0"/>
        <w:autoSpaceDN w:val="0"/>
        <w:adjustRightInd w:val="0"/>
        <w:spacing w:after="120"/>
        <w:jc w:val="both"/>
        <w:rPr>
          <w:rFonts w:ascii="Calibri" w:hAnsi="Calibri" w:cs="Calibri"/>
          <w:color w:val="000000"/>
          <w:sz w:val="22"/>
        </w:rPr>
      </w:pPr>
      <w:r w:rsidRPr="005516CD">
        <w:rPr>
          <w:rFonts w:ascii="Calibri" w:hAnsi="Calibri" w:cs="Calibri"/>
          <w:color w:val="000000"/>
          <w:sz w:val="22"/>
        </w:rPr>
        <w:t>There are no plans to develop interventions involving the handling of chemicals or pesticides. On the contrary, the project activities focus on the sustainable use of natural resources, while promoting good management practices.</w:t>
      </w:r>
    </w:p>
    <w:p w14:paraId="05B4CB6F" w14:textId="77777777" w:rsidR="003646F2" w:rsidRPr="005516CD" w:rsidRDefault="003646F2" w:rsidP="003646F2">
      <w:pPr>
        <w:pStyle w:val="Default"/>
        <w:spacing w:after="120"/>
        <w:rPr>
          <w:rFonts w:ascii="Calibri" w:hAnsi="Calibri" w:cs="Calibri"/>
          <w:b/>
          <w:sz w:val="23"/>
          <w:szCs w:val="23"/>
        </w:rPr>
      </w:pPr>
    </w:p>
    <w:p w14:paraId="03ED0E23" w14:textId="77777777" w:rsidR="003646F2" w:rsidRPr="005516CD" w:rsidRDefault="003646F2" w:rsidP="003646F2">
      <w:pPr>
        <w:pStyle w:val="Default"/>
        <w:spacing w:after="120"/>
        <w:rPr>
          <w:rFonts w:ascii="Calibri" w:hAnsi="Calibri" w:cs="Calibri"/>
          <w:b/>
          <w:sz w:val="23"/>
          <w:szCs w:val="23"/>
        </w:rPr>
        <w:sectPr w:rsidR="003646F2" w:rsidRPr="005516CD" w:rsidSect="00F91241">
          <w:pgSz w:w="12240" w:h="15840"/>
          <w:pgMar w:top="1440" w:right="1440" w:bottom="1440" w:left="1440" w:header="708" w:footer="708" w:gutter="0"/>
          <w:cols w:space="708"/>
          <w:docGrid w:linePitch="360"/>
        </w:sectPr>
      </w:pPr>
    </w:p>
    <w:p w14:paraId="3843F9A8" w14:textId="77777777" w:rsidR="003646F2" w:rsidRPr="005516CD" w:rsidRDefault="003646F2" w:rsidP="003646F2">
      <w:pPr>
        <w:autoSpaceDE w:val="0"/>
        <w:autoSpaceDN w:val="0"/>
        <w:adjustRightInd w:val="0"/>
        <w:spacing w:after="120"/>
        <w:rPr>
          <w:rFonts w:ascii="Arial" w:hAnsi="Arial" w:cs="Arial"/>
          <w:color w:val="000000"/>
        </w:rPr>
      </w:pPr>
      <w:r w:rsidRPr="005516CD">
        <w:rPr>
          <w:rFonts w:ascii="Calibri" w:hAnsi="Calibri" w:cs="Calibri"/>
          <w:b/>
          <w:color w:val="000000"/>
          <w:sz w:val="23"/>
          <w:szCs w:val="23"/>
        </w:rPr>
        <w:t>IX. Participation strategies per socioeconomic category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4"/>
        <w:gridCol w:w="3656"/>
        <w:gridCol w:w="2014"/>
        <w:gridCol w:w="2977"/>
        <w:gridCol w:w="3201"/>
      </w:tblGrid>
      <w:tr w:rsidR="003646F2" w:rsidRPr="005516CD" w14:paraId="78DB0710" w14:textId="77777777" w:rsidTr="000C683F">
        <w:trPr>
          <w:trHeight w:val="510"/>
          <w:tblHeader/>
        </w:trPr>
        <w:tc>
          <w:tcPr>
            <w:tcW w:w="1804" w:type="dxa"/>
            <w:shd w:val="clear" w:color="auto" w:fill="D9D9D9" w:themeFill="background1" w:themeFillShade="D9"/>
          </w:tcPr>
          <w:p w14:paraId="22CD6A90" w14:textId="77777777" w:rsidR="003646F2" w:rsidRPr="005516CD" w:rsidRDefault="003646F2" w:rsidP="000C683F">
            <w:pPr>
              <w:autoSpaceDE w:val="0"/>
              <w:autoSpaceDN w:val="0"/>
              <w:adjustRightInd w:val="0"/>
              <w:jc w:val="center"/>
              <w:rPr>
                <w:rFonts w:ascii="Arial" w:hAnsi="Arial" w:cs="Arial"/>
                <w:color w:val="000000"/>
                <w:sz w:val="20"/>
                <w:szCs w:val="20"/>
              </w:rPr>
            </w:pPr>
            <w:r w:rsidRPr="005516CD">
              <w:rPr>
                <w:rFonts w:ascii="Calibri" w:hAnsi="Calibri" w:cs="Calibri"/>
                <w:b/>
                <w:bCs/>
                <w:color w:val="000000"/>
                <w:sz w:val="20"/>
                <w:szCs w:val="20"/>
              </w:rPr>
              <w:t>Socio-economic categories</w:t>
            </w:r>
          </w:p>
        </w:tc>
        <w:tc>
          <w:tcPr>
            <w:tcW w:w="3656" w:type="dxa"/>
            <w:shd w:val="clear" w:color="auto" w:fill="D9D9D9" w:themeFill="background1" w:themeFillShade="D9"/>
          </w:tcPr>
          <w:p w14:paraId="3D7DE98F" w14:textId="77777777" w:rsidR="003646F2" w:rsidRPr="005516CD" w:rsidRDefault="003646F2" w:rsidP="000C683F">
            <w:pPr>
              <w:autoSpaceDE w:val="0"/>
              <w:autoSpaceDN w:val="0"/>
              <w:adjustRightInd w:val="0"/>
              <w:jc w:val="center"/>
              <w:rPr>
                <w:rFonts w:ascii="Calibri" w:hAnsi="Calibri" w:cs="Calibri"/>
                <w:color w:val="000000"/>
                <w:sz w:val="20"/>
                <w:szCs w:val="20"/>
              </w:rPr>
            </w:pPr>
            <w:r w:rsidRPr="005516CD">
              <w:rPr>
                <w:rFonts w:ascii="Calibri" w:hAnsi="Calibri" w:cs="Calibri"/>
                <w:b/>
                <w:bCs/>
                <w:color w:val="000000"/>
                <w:sz w:val="20"/>
                <w:szCs w:val="20"/>
              </w:rPr>
              <w:t>Listing of activity system components</w:t>
            </w:r>
          </w:p>
        </w:tc>
        <w:tc>
          <w:tcPr>
            <w:tcW w:w="2014" w:type="dxa"/>
            <w:shd w:val="clear" w:color="auto" w:fill="D9D9D9" w:themeFill="background1" w:themeFillShade="D9"/>
          </w:tcPr>
          <w:p w14:paraId="2275E539" w14:textId="77777777" w:rsidR="003646F2" w:rsidRPr="005516CD" w:rsidRDefault="003646F2" w:rsidP="000C683F">
            <w:pPr>
              <w:autoSpaceDE w:val="0"/>
              <w:autoSpaceDN w:val="0"/>
              <w:adjustRightInd w:val="0"/>
              <w:jc w:val="center"/>
              <w:rPr>
                <w:rFonts w:ascii="Arial" w:hAnsi="Arial" w:cs="Arial"/>
                <w:color w:val="000000"/>
                <w:sz w:val="20"/>
                <w:szCs w:val="20"/>
              </w:rPr>
            </w:pPr>
            <w:r w:rsidRPr="005516CD">
              <w:rPr>
                <w:rFonts w:ascii="Calibri" w:hAnsi="Calibri" w:cs="Calibri"/>
                <w:b/>
                <w:bCs/>
                <w:color w:val="000000"/>
                <w:sz w:val="20"/>
                <w:szCs w:val="20"/>
              </w:rPr>
              <w:t>Approximate weight of operators in percentage (%) (see Workshop work)</w:t>
            </w:r>
          </w:p>
        </w:tc>
        <w:tc>
          <w:tcPr>
            <w:tcW w:w="2977" w:type="dxa"/>
            <w:shd w:val="clear" w:color="auto" w:fill="D9D9D9" w:themeFill="background1" w:themeFillShade="D9"/>
          </w:tcPr>
          <w:p w14:paraId="1FE7801E" w14:textId="77777777" w:rsidR="003646F2" w:rsidRPr="005516CD" w:rsidRDefault="003646F2" w:rsidP="000C683F">
            <w:pPr>
              <w:autoSpaceDE w:val="0"/>
              <w:autoSpaceDN w:val="0"/>
              <w:adjustRightInd w:val="0"/>
              <w:jc w:val="center"/>
              <w:rPr>
                <w:rFonts w:ascii="Arial" w:hAnsi="Arial" w:cs="Arial"/>
                <w:color w:val="000000"/>
                <w:sz w:val="20"/>
                <w:szCs w:val="20"/>
              </w:rPr>
            </w:pPr>
            <w:r w:rsidRPr="005516CD">
              <w:rPr>
                <w:rFonts w:ascii="Calibri" w:hAnsi="Calibri" w:cs="Calibri"/>
                <w:b/>
                <w:bCs/>
                <w:color w:val="000000"/>
                <w:sz w:val="20"/>
                <w:szCs w:val="20"/>
              </w:rPr>
              <w:t>Involvement and participation of beneficiaries in project activities</w:t>
            </w:r>
          </w:p>
        </w:tc>
        <w:tc>
          <w:tcPr>
            <w:tcW w:w="3201" w:type="dxa"/>
            <w:shd w:val="clear" w:color="auto" w:fill="D9D9D9" w:themeFill="background1" w:themeFillShade="D9"/>
          </w:tcPr>
          <w:p w14:paraId="0F2AD286" w14:textId="77777777" w:rsidR="003646F2" w:rsidRPr="005516CD" w:rsidRDefault="003646F2" w:rsidP="000C683F">
            <w:pPr>
              <w:autoSpaceDE w:val="0"/>
              <w:autoSpaceDN w:val="0"/>
              <w:adjustRightInd w:val="0"/>
              <w:jc w:val="center"/>
              <w:rPr>
                <w:rFonts w:ascii="Calibri" w:hAnsi="Calibri" w:cs="Calibri"/>
                <w:color w:val="000000"/>
                <w:sz w:val="20"/>
                <w:szCs w:val="20"/>
              </w:rPr>
            </w:pPr>
            <w:r w:rsidRPr="005516CD">
              <w:rPr>
                <w:rFonts w:ascii="Calibri" w:hAnsi="Calibri" w:cs="Calibri"/>
                <w:b/>
                <w:bCs/>
                <w:color w:val="000000"/>
                <w:sz w:val="20"/>
                <w:szCs w:val="20"/>
              </w:rPr>
              <w:t>Strategies to be adopted to promote the planned activities</w:t>
            </w:r>
          </w:p>
        </w:tc>
      </w:tr>
      <w:tr w:rsidR="003646F2" w:rsidRPr="005516CD" w14:paraId="47840BEE" w14:textId="77777777" w:rsidTr="000C683F">
        <w:trPr>
          <w:trHeight w:val="2068"/>
        </w:trPr>
        <w:tc>
          <w:tcPr>
            <w:tcW w:w="1804" w:type="dxa"/>
            <w:vMerge w:val="restart"/>
          </w:tcPr>
          <w:p w14:paraId="05AAED59"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b/>
                <w:bCs/>
                <w:i/>
                <w:iCs/>
                <w:color w:val="000000"/>
                <w:sz w:val="20"/>
                <w:szCs w:val="20"/>
              </w:rPr>
              <w:t xml:space="preserve">Smallholders with less than 0.5 </w:t>
            </w:r>
            <w:proofErr w:type="spellStart"/>
            <w:r w:rsidRPr="005516CD">
              <w:rPr>
                <w:rFonts w:ascii="Calibri" w:hAnsi="Calibri" w:cs="Calibri"/>
                <w:b/>
                <w:bCs/>
                <w:i/>
                <w:iCs/>
                <w:color w:val="000000"/>
                <w:sz w:val="20"/>
                <w:szCs w:val="20"/>
              </w:rPr>
              <w:t>Cx</w:t>
            </w:r>
            <w:proofErr w:type="spellEnd"/>
            <w:r w:rsidRPr="005516CD">
              <w:rPr>
                <w:rFonts w:ascii="Calibri" w:hAnsi="Calibri" w:cs="Calibri"/>
                <w:b/>
                <w:bCs/>
                <w:i/>
                <w:iCs/>
                <w:color w:val="000000"/>
                <w:sz w:val="20"/>
                <w:szCs w:val="20"/>
              </w:rPr>
              <w:t xml:space="preserve"> of land in operation and/or landless </w:t>
            </w:r>
          </w:p>
        </w:tc>
        <w:tc>
          <w:tcPr>
            <w:tcW w:w="3656" w:type="dxa"/>
            <w:vMerge w:val="restart"/>
          </w:tcPr>
          <w:p w14:paraId="09601E9E" w14:textId="77777777" w:rsidR="003646F2" w:rsidRPr="005516CD" w:rsidRDefault="003646F2" w:rsidP="000C683F">
            <w:pPr>
              <w:autoSpaceDE w:val="0"/>
              <w:autoSpaceDN w:val="0"/>
              <w:adjustRightInd w:val="0"/>
              <w:rPr>
                <w:rFonts w:ascii="Arial" w:hAnsi="Arial" w:cs="Arial"/>
                <w:color w:val="000000"/>
                <w:sz w:val="20"/>
                <w:szCs w:val="20"/>
              </w:rPr>
            </w:pPr>
            <w:r w:rsidRPr="005516CD">
              <w:rPr>
                <w:rFonts w:ascii="Calibri" w:hAnsi="Calibri" w:cs="Calibri"/>
                <w:color w:val="000000"/>
                <w:sz w:val="20"/>
                <w:szCs w:val="20"/>
              </w:rPr>
              <w:t>Collection and sale of bundles for resale * Manufacture of mats/strings/.... handicrafts * Sale of water on donkeys' backs or at home * Garden guardians for socio-economic categories of improved socio-economic conditions * High labour intensity work in urban areas * Handling work / Door-</w:t>
            </w:r>
            <w:proofErr w:type="spellStart"/>
            <w:r w:rsidRPr="005516CD">
              <w:rPr>
                <w:rFonts w:ascii="Calibri" w:hAnsi="Calibri" w:cs="Calibri"/>
                <w:color w:val="000000"/>
                <w:sz w:val="20"/>
                <w:szCs w:val="20"/>
              </w:rPr>
              <w:t>faix</w:t>
            </w:r>
            <w:proofErr w:type="spellEnd"/>
            <w:r w:rsidRPr="005516CD">
              <w:rPr>
                <w:rFonts w:ascii="Calibri" w:hAnsi="Calibri" w:cs="Calibri"/>
                <w:color w:val="000000"/>
                <w:sz w:val="20"/>
                <w:szCs w:val="20"/>
              </w:rPr>
              <w:t xml:space="preserve"> * Labourer in masonry work * Housewives in urban residences * Washerwoman * </w:t>
            </w:r>
            <w:proofErr w:type="spellStart"/>
            <w:r w:rsidRPr="005516CD">
              <w:rPr>
                <w:rFonts w:ascii="Calibri" w:hAnsi="Calibri" w:cs="Calibri"/>
                <w:color w:val="000000"/>
                <w:sz w:val="20"/>
                <w:szCs w:val="20"/>
              </w:rPr>
              <w:t>Pileers</w:t>
            </w:r>
            <w:proofErr w:type="spellEnd"/>
            <w:r w:rsidRPr="005516CD">
              <w:rPr>
                <w:rFonts w:ascii="Calibri" w:hAnsi="Calibri" w:cs="Calibri"/>
                <w:color w:val="000000"/>
                <w:sz w:val="20"/>
                <w:szCs w:val="20"/>
              </w:rPr>
              <w:t xml:space="preserve"> for millet/sorghum and/or coffee * Collection and transport of sand in rivers for construction work * Agricultural workers (increasingly neglected activity, harvesting of coffee, cocoa and other agricultural products, etc.) * Cultivation practices, sometimes with the integration of small livestock heads * Daily use of motorcycle taxis (rental). </w:t>
            </w:r>
          </w:p>
        </w:tc>
        <w:tc>
          <w:tcPr>
            <w:tcW w:w="2014" w:type="dxa"/>
            <w:vMerge w:val="restart"/>
          </w:tcPr>
          <w:p w14:paraId="4783381D"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b/>
                <w:bCs/>
                <w:color w:val="000000"/>
                <w:sz w:val="20"/>
                <w:szCs w:val="20"/>
              </w:rPr>
              <w:t xml:space="preserve">10 - 15% </w:t>
            </w:r>
          </w:p>
        </w:tc>
        <w:tc>
          <w:tcPr>
            <w:tcW w:w="2977" w:type="dxa"/>
          </w:tcPr>
          <w:p w14:paraId="100C8A87" w14:textId="77777777" w:rsidR="003646F2" w:rsidRPr="005516CD" w:rsidRDefault="003646F2" w:rsidP="000C683F">
            <w:pPr>
              <w:autoSpaceDE w:val="0"/>
              <w:autoSpaceDN w:val="0"/>
              <w:adjustRightInd w:val="0"/>
              <w:rPr>
                <w:rFonts w:ascii="Arial" w:hAnsi="Arial" w:cs="Arial"/>
                <w:color w:val="000000"/>
                <w:sz w:val="20"/>
                <w:szCs w:val="20"/>
              </w:rPr>
            </w:pPr>
            <w:r w:rsidRPr="005516CD">
              <w:rPr>
                <w:rFonts w:ascii="Calibri" w:hAnsi="Calibri" w:cs="Calibri"/>
                <w:color w:val="000000"/>
                <w:sz w:val="20"/>
                <w:szCs w:val="20"/>
              </w:rPr>
              <w:t xml:space="preserve">Agricultural and skilled workers; </w:t>
            </w:r>
          </w:p>
          <w:p w14:paraId="4C2B164A" w14:textId="77777777" w:rsidR="003646F2" w:rsidRPr="005516CD" w:rsidRDefault="003646F2" w:rsidP="000C683F">
            <w:pPr>
              <w:autoSpaceDE w:val="0"/>
              <w:autoSpaceDN w:val="0"/>
              <w:adjustRightInd w:val="0"/>
              <w:rPr>
                <w:rFonts w:ascii="Arial" w:hAnsi="Arial" w:cs="Arial"/>
                <w:color w:val="000000"/>
                <w:sz w:val="20"/>
                <w:szCs w:val="20"/>
              </w:rPr>
            </w:pPr>
            <w:r w:rsidRPr="005516CD">
              <w:rPr>
                <w:rFonts w:ascii="Calibri" w:hAnsi="Calibri" w:cs="Calibri"/>
                <w:color w:val="000000"/>
                <w:sz w:val="20"/>
                <w:szCs w:val="20"/>
              </w:rPr>
              <w:t xml:space="preserve">Farmers with sometimes 1 plot integrating coffee (losing momentum), cocoa (especially) into its cropping system; on the other hand, food crops (subsistence) occupy more than 90% of the UAA of his farm; </w:t>
            </w:r>
          </w:p>
          <w:p w14:paraId="2C02E608" w14:textId="77777777" w:rsidR="003646F2" w:rsidRPr="005516CD" w:rsidRDefault="003646F2" w:rsidP="000C683F">
            <w:pPr>
              <w:autoSpaceDE w:val="0"/>
              <w:autoSpaceDN w:val="0"/>
              <w:adjustRightInd w:val="0"/>
              <w:rPr>
                <w:rFonts w:ascii="Arial" w:hAnsi="Arial" w:cs="Arial"/>
                <w:color w:val="000000"/>
                <w:sz w:val="20"/>
                <w:szCs w:val="20"/>
              </w:rPr>
            </w:pPr>
            <w:r w:rsidRPr="005516CD">
              <w:rPr>
                <w:rFonts w:ascii="Calibri" w:hAnsi="Calibri" w:cs="Calibri"/>
                <w:color w:val="000000"/>
                <w:sz w:val="20"/>
                <w:szCs w:val="20"/>
              </w:rPr>
              <w:t xml:space="preserve">Farmers with less than 0.5 </w:t>
            </w:r>
            <w:r w:rsidRPr="005516CD">
              <w:rPr>
                <w:rFonts w:ascii="Calibri" w:hAnsi="Calibri" w:cs="Calibri"/>
                <w:i/>
                <w:iCs/>
                <w:color w:val="000000"/>
                <w:sz w:val="20"/>
                <w:szCs w:val="20"/>
              </w:rPr>
              <w:t xml:space="preserve">hectares of </w:t>
            </w:r>
            <w:r w:rsidRPr="005516CD">
              <w:rPr>
                <w:rFonts w:ascii="Calibri" w:hAnsi="Calibri" w:cs="Calibri"/>
                <w:color w:val="000000"/>
                <w:sz w:val="20"/>
                <w:szCs w:val="20"/>
              </w:rPr>
              <w:t xml:space="preserve">land or no land at most; with rarely a few feet of cocoa and/or coffee in the farm's yard garden (residence); his small farm sown almost entirely with subsistence crops. </w:t>
            </w:r>
          </w:p>
        </w:tc>
        <w:tc>
          <w:tcPr>
            <w:tcW w:w="3201" w:type="dxa"/>
          </w:tcPr>
          <w:p w14:paraId="063F8FE2" w14:textId="77777777" w:rsidR="003646F2" w:rsidRPr="005516CD" w:rsidRDefault="003646F2" w:rsidP="003646F2">
            <w:pPr>
              <w:numPr>
                <w:ilvl w:val="0"/>
                <w:numId w:val="146"/>
              </w:numPr>
              <w:autoSpaceDE w:val="0"/>
              <w:autoSpaceDN w:val="0"/>
              <w:adjustRightInd w:val="0"/>
              <w:ind w:left="137" w:hanging="137"/>
              <w:rPr>
                <w:rFonts w:ascii="Arial" w:hAnsi="Arial" w:cs="Arial"/>
                <w:color w:val="000000"/>
                <w:sz w:val="20"/>
                <w:szCs w:val="20"/>
              </w:rPr>
            </w:pPr>
            <w:r w:rsidRPr="005516CD">
              <w:rPr>
                <w:rFonts w:ascii="Calibri" w:hAnsi="Calibri" w:cs="Calibri"/>
                <w:color w:val="000000"/>
                <w:sz w:val="20"/>
                <w:szCs w:val="20"/>
              </w:rPr>
              <w:t xml:space="preserve">Training provided by the project (use of manual seed drills, pruning and grafting, etc.) for the sale of specialized agricultural services; </w:t>
            </w:r>
          </w:p>
          <w:p w14:paraId="4F7F95CF" w14:textId="77777777" w:rsidR="003646F2" w:rsidRPr="005516CD" w:rsidRDefault="003646F2" w:rsidP="003646F2">
            <w:pPr>
              <w:numPr>
                <w:ilvl w:val="0"/>
                <w:numId w:val="146"/>
              </w:numPr>
              <w:autoSpaceDE w:val="0"/>
              <w:autoSpaceDN w:val="0"/>
              <w:adjustRightInd w:val="0"/>
              <w:ind w:left="137" w:hanging="137"/>
              <w:rPr>
                <w:rFonts w:ascii="Arial" w:hAnsi="Arial" w:cs="Arial"/>
                <w:color w:val="000000"/>
                <w:sz w:val="20"/>
                <w:szCs w:val="20"/>
              </w:rPr>
            </w:pPr>
            <w:r w:rsidRPr="005516CD">
              <w:rPr>
                <w:rFonts w:ascii="Calibri" w:hAnsi="Calibri" w:cs="Calibri"/>
                <w:color w:val="000000"/>
                <w:sz w:val="20"/>
                <w:szCs w:val="20"/>
              </w:rPr>
              <w:t xml:space="preserve">Garden guardians for categories with improved socio-economic conditions; </w:t>
            </w:r>
            <w:r w:rsidRPr="005516CD">
              <w:rPr>
                <w:rFonts w:ascii="Arial" w:hAnsi="Arial" w:cs="Arial"/>
                <w:color w:val="000000"/>
                <w:sz w:val="20"/>
                <w:szCs w:val="20"/>
              </w:rPr>
              <w:t xml:space="preserve"> </w:t>
            </w:r>
          </w:p>
          <w:p w14:paraId="6CA315B1" w14:textId="77777777" w:rsidR="003646F2" w:rsidRPr="005516CD" w:rsidRDefault="003646F2" w:rsidP="000C683F">
            <w:pPr>
              <w:autoSpaceDE w:val="0"/>
              <w:autoSpaceDN w:val="0"/>
              <w:adjustRightInd w:val="0"/>
              <w:rPr>
                <w:rFonts w:ascii="Arial" w:hAnsi="Arial" w:cs="Arial"/>
                <w:color w:val="000000"/>
                <w:sz w:val="20"/>
                <w:szCs w:val="20"/>
              </w:rPr>
            </w:pPr>
          </w:p>
        </w:tc>
      </w:tr>
      <w:tr w:rsidR="003646F2" w:rsidRPr="005516CD" w14:paraId="346ABDFC" w14:textId="77777777" w:rsidTr="000C683F">
        <w:trPr>
          <w:trHeight w:val="66"/>
        </w:trPr>
        <w:tc>
          <w:tcPr>
            <w:tcW w:w="1804" w:type="dxa"/>
            <w:vMerge/>
          </w:tcPr>
          <w:p w14:paraId="2FCA8134" w14:textId="77777777" w:rsidR="003646F2" w:rsidRPr="005516CD" w:rsidRDefault="003646F2" w:rsidP="000C683F">
            <w:pPr>
              <w:autoSpaceDE w:val="0"/>
              <w:autoSpaceDN w:val="0"/>
              <w:adjustRightInd w:val="0"/>
              <w:rPr>
                <w:rFonts w:ascii="Calibri" w:hAnsi="Calibri" w:cs="Calibri"/>
                <w:b/>
                <w:bCs/>
                <w:i/>
                <w:iCs/>
                <w:color w:val="000000"/>
                <w:sz w:val="20"/>
                <w:szCs w:val="20"/>
              </w:rPr>
            </w:pPr>
          </w:p>
        </w:tc>
        <w:tc>
          <w:tcPr>
            <w:tcW w:w="3656" w:type="dxa"/>
            <w:vMerge/>
          </w:tcPr>
          <w:p w14:paraId="06CB7645" w14:textId="77777777" w:rsidR="003646F2" w:rsidRPr="005516CD" w:rsidRDefault="003646F2" w:rsidP="000C683F">
            <w:pPr>
              <w:autoSpaceDE w:val="0"/>
              <w:autoSpaceDN w:val="0"/>
              <w:adjustRightInd w:val="0"/>
              <w:rPr>
                <w:rFonts w:ascii="Calibri" w:hAnsi="Calibri" w:cs="Calibri"/>
                <w:color w:val="000000"/>
                <w:sz w:val="20"/>
                <w:szCs w:val="20"/>
              </w:rPr>
            </w:pPr>
          </w:p>
        </w:tc>
        <w:tc>
          <w:tcPr>
            <w:tcW w:w="2014" w:type="dxa"/>
            <w:vMerge/>
          </w:tcPr>
          <w:p w14:paraId="4684E864" w14:textId="77777777" w:rsidR="003646F2" w:rsidRPr="005516CD" w:rsidRDefault="003646F2" w:rsidP="000C683F">
            <w:pPr>
              <w:autoSpaceDE w:val="0"/>
              <w:autoSpaceDN w:val="0"/>
              <w:adjustRightInd w:val="0"/>
              <w:rPr>
                <w:rFonts w:ascii="Calibri" w:hAnsi="Calibri" w:cs="Calibri"/>
                <w:b/>
                <w:bCs/>
                <w:color w:val="000000"/>
                <w:sz w:val="20"/>
                <w:szCs w:val="20"/>
              </w:rPr>
            </w:pPr>
          </w:p>
        </w:tc>
        <w:tc>
          <w:tcPr>
            <w:tcW w:w="2977" w:type="dxa"/>
          </w:tcPr>
          <w:p w14:paraId="73D42E6C" w14:textId="77777777" w:rsidR="003646F2" w:rsidRPr="005516CD" w:rsidRDefault="003646F2" w:rsidP="000C683F">
            <w:pPr>
              <w:autoSpaceDE w:val="0"/>
              <w:autoSpaceDN w:val="0"/>
              <w:adjustRightInd w:val="0"/>
              <w:rPr>
                <w:rFonts w:ascii="Arial" w:hAnsi="Arial" w:cs="Arial"/>
                <w:color w:val="000000"/>
                <w:sz w:val="20"/>
                <w:szCs w:val="20"/>
              </w:rPr>
            </w:pPr>
            <w:r w:rsidRPr="005516CD">
              <w:rPr>
                <w:rFonts w:ascii="Calibri" w:hAnsi="Calibri" w:cs="Calibri"/>
                <w:color w:val="000000"/>
                <w:sz w:val="20"/>
                <w:szCs w:val="20"/>
              </w:rPr>
              <w:t xml:space="preserve">Workers / day labourers and workers specialized in the processing of agricultural products (coffee, cocoa) </w:t>
            </w:r>
          </w:p>
        </w:tc>
        <w:tc>
          <w:tcPr>
            <w:tcW w:w="3201" w:type="dxa"/>
          </w:tcPr>
          <w:p w14:paraId="2E05ED3B" w14:textId="77777777" w:rsidR="003646F2" w:rsidRPr="005516CD" w:rsidRDefault="003646F2" w:rsidP="003646F2">
            <w:pPr>
              <w:numPr>
                <w:ilvl w:val="0"/>
                <w:numId w:val="146"/>
              </w:numPr>
              <w:autoSpaceDE w:val="0"/>
              <w:autoSpaceDN w:val="0"/>
              <w:adjustRightInd w:val="0"/>
              <w:ind w:left="137" w:hanging="137"/>
              <w:rPr>
                <w:rFonts w:ascii="Arial" w:hAnsi="Arial" w:cs="Arial"/>
                <w:color w:val="000000"/>
                <w:sz w:val="20"/>
                <w:szCs w:val="20"/>
              </w:rPr>
            </w:pPr>
            <w:r w:rsidRPr="005516CD">
              <w:rPr>
                <w:rFonts w:ascii="Calibri" w:hAnsi="Calibri" w:cs="Calibri"/>
                <w:color w:val="000000"/>
                <w:sz w:val="20"/>
                <w:szCs w:val="20"/>
              </w:rPr>
              <w:t xml:space="preserve">People in particular will benefit from the training provided by the project for the processing of coffee, cocoa and other food and agricultural products. </w:t>
            </w:r>
          </w:p>
        </w:tc>
      </w:tr>
      <w:tr w:rsidR="003646F2" w:rsidRPr="005516CD" w14:paraId="6800BF54" w14:textId="77777777" w:rsidTr="000C683F">
        <w:trPr>
          <w:trHeight w:val="748"/>
        </w:trPr>
        <w:tc>
          <w:tcPr>
            <w:tcW w:w="1804" w:type="dxa"/>
          </w:tcPr>
          <w:p w14:paraId="7E07464F" w14:textId="77777777" w:rsidR="003646F2" w:rsidRPr="005516CD" w:rsidRDefault="003646F2" w:rsidP="000C683F">
            <w:pPr>
              <w:autoSpaceDE w:val="0"/>
              <w:autoSpaceDN w:val="0"/>
              <w:adjustRightInd w:val="0"/>
              <w:rPr>
                <w:rFonts w:ascii="Arial" w:hAnsi="Arial" w:cs="Arial"/>
                <w:color w:val="000000"/>
                <w:sz w:val="20"/>
                <w:szCs w:val="20"/>
              </w:rPr>
            </w:pPr>
            <w:r w:rsidRPr="005516CD">
              <w:rPr>
                <w:rFonts w:ascii="Calibri" w:hAnsi="Calibri" w:cs="Calibri"/>
                <w:b/>
                <w:bCs/>
                <w:color w:val="000000"/>
                <w:sz w:val="20"/>
                <w:szCs w:val="20"/>
              </w:rPr>
              <w:t xml:space="preserve">Average </w:t>
            </w:r>
            <w:proofErr w:type="spellStart"/>
            <w:r w:rsidRPr="005516CD">
              <w:rPr>
                <w:rFonts w:ascii="Calibri" w:hAnsi="Calibri" w:cs="Calibri"/>
                <w:b/>
                <w:bCs/>
                <w:color w:val="000000"/>
                <w:sz w:val="20"/>
                <w:szCs w:val="20"/>
              </w:rPr>
              <w:t>agropastoralists</w:t>
            </w:r>
            <w:proofErr w:type="spellEnd"/>
            <w:r w:rsidRPr="005516CD">
              <w:rPr>
                <w:rFonts w:ascii="Calibri" w:hAnsi="Calibri" w:cs="Calibri"/>
                <w:b/>
                <w:bCs/>
                <w:color w:val="000000"/>
                <w:sz w:val="20"/>
                <w:szCs w:val="20"/>
              </w:rPr>
              <w:t xml:space="preserve"> between 0.5 and 2.5 </w:t>
            </w:r>
            <w:proofErr w:type="spellStart"/>
            <w:r w:rsidRPr="005516CD">
              <w:rPr>
                <w:rFonts w:ascii="Calibri" w:hAnsi="Calibri" w:cs="Calibri"/>
                <w:b/>
                <w:bCs/>
                <w:color w:val="000000"/>
                <w:sz w:val="20"/>
                <w:szCs w:val="20"/>
              </w:rPr>
              <w:t>Cx</w:t>
            </w:r>
            <w:proofErr w:type="spellEnd"/>
            <w:r w:rsidRPr="005516CD">
              <w:rPr>
                <w:rFonts w:ascii="Calibri" w:hAnsi="Calibri" w:cs="Calibri"/>
                <w:b/>
                <w:bCs/>
                <w:color w:val="000000"/>
                <w:sz w:val="20"/>
                <w:szCs w:val="20"/>
              </w:rPr>
              <w:t xml:space="preserve"> </w:t>
            </w:r>
          </w:p>
        </w:tc>
        <w:tc>
          <w:tcPr>
            <w:tcW w:w="3656" w:type="dxa"/>
          </w:tcPr>
          <w:p w14:paraId="782135C3" w14:textId="77777777" w:rsidR="003646F2" w:rsidRPr="005516CD" w:rsidRDefault="003646F2" w:rsidP="000C683F">
            <w:pPr>
              <w:autoSpaceDE w:val="0"/>
              <w:autoSpaceDN w:val="0"/>
              <w:adjustRightInd w:val="0"/>
              <w:rPr>
                <w:rFonts w:ascii="Arial" w:hAnsi="Arial" w:cs="Arial"/>
                <w:color w:val="000000"/>
                <w:sz w:val="20"/>
                <w:szCs w:val="20"/>
              </w:rPr>
            </w:pPr>
            <w:r w:rsidRPr="005516CD">
              <w:rPr>
                <w:rFonts w:ascii="Calibri" w:hAnsi="Calibri" w:cs="Calibri"/>
                <w:color w:val="000000"/>
                <w:sz w:val="20"/>
                <w:szCs w:val="20"/>
              </w:rPr>
              <w:t xml:space="preserve">Dominance of agricultural activities (Medium livestock farming and agroforestry systems * Seasonal livestock trade * School teacher * Roadside petrol merchant * Sale of used clothing in </w:t>
            </w:r>
            <w:proofErr w:type="spellStart"/>
            <w:r w:rsidRPr="005516CD">
              <w:rPr>
                <w:rFonts w:ascii="Calibri" w:hAnsi="Calibri" w:cs="Calibri"/>
                <w:color w:val="000000"/>
                <w:sz w:val="20"/>
                <w:szCs w:val="20"/>
              </w:rPr>
              <w:t>Dajabón</w:t>
            </w:r>
            <w:proofErr w:type="spellEnd"/>
            <w:r w:rsidRPr="005516CD">
              <w:rPr>
                <w:rFonts w:ascii="Calibri" w:hAnsi="Calibri" w:cs="Calibri"/>
                <w:color w:val="000000"/>
                <w:sz w:val="20"/>
                <w:szCs w:val="20"/>
              </w:rPr>
              <w:t xml:space="preserve"> or major cities in the region * Motorcycle taxi owner (often). </w:t>
            </w:r>
          </w:p>
        </w:tc>
        <w:tc>
          <w:tcPr>
            <w:tcW w:w="2014" w:type="dxa"/>
          </w:tcPr>
          <w:p w14:paraId="2D187DCA"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b/>
                <w:bCs/>
                <w:color w:val="000000"/>
                <w:sz w:val="20"/>
                <w:szCs w:val="20"/>
              </w:rPr>
              <w:t xml:space="preserve">30 – 35% </w:t>
            </w:r>
          </w:p>
        </w:tc>
        <w:tc>
          <w:tcPr>
            <w:tcW w:w="2977" w:type="dxa"/>
          </w:tcPr>
          <w:p w14:paraId="1F9E8347" w14:textId="77777777" w:rsidR="003646F2" w:rsidRPr="005516CD" w:rsidRDefault="003646F2" w:rsidP="000C683F">
            <w:pPr>
              <w:autoSpaceDE w:val="0"/>
              <w:autoSpaceDN w:val="0"/>
              <w:adjustRightInd w:val="0"/>
              <w:rPr>
                <w:rFonts w:ascii="Arial" w:hAnsi="Arial" w:cs="Arial"/>
                <w:color w:val="000000"/>
                <w:sz w:val="20"/>
                <w:szCs w:val="20"/>
              </w:rPr>
            </w:pPr>
            <w:r w:rsidRPr="005516CD">
              <w:rPr>
                <w:rFonts w:ascii="Calibri" w:hAnsi="Calibri" w:cs="Calibri"/>
                <w:color w:val="000000"/>
                <w:sz w:val="20"/>
                <w:szCs w:val="20"/>
              </w:rPr>
              <w:t xml:space="preserve">Local promoters of processed agricultural products </w:t>
            </w:r>
          </w:p>
        </w:tc>
        <w:tc>
          <w:tcPr>
            <w:tcW w:w="3201" w:type="dxa"/>
          </w:tcPr>
          <w:p w14:paraId="1F1F0CEB" w14:textId="77777777" w:rsidR="003646F2" w:rsidRPr="005516CD" w:rsidRDefault="003646F2" w:rsidP="003646F2">
            <w:pPr>
              <w:numPr>
                <w:ilvl w:val="0"/>
                <w:numId w:val="146"/>
              </w:numPr>
              <w:autoSpaceDE w:val="0"/>
              <w:autoSpaceDN w:val="0"/>
              <w:adjustRightInd w:val="0"/>
              <w:ind w:left="137" w:hanging="137"/>
              <w:rPr>
                <w:rFonts w:ascii="Arial" w:hAnsi="Arial" w:cs="Arial"/>
                <w:color w:val="000000"/>
                <w:sz w:val="20"/>
                <w:szCs w:val="20"/>
              </w:rPr>
            </w:pPr>
            <w:r w:rsidRPr="005516CD">
              <w:rPr>
                <w:rFonts w:ascii="Calibri" w:hAnsi="Calibri" w:cs="Calibri"/>
                <w:color w:val="000000"/>
                <w:sz w:val="20"/>
                <w:szCs w:val="20"/>
              </w:rPr>
              <w:t xml:space="preserve">Training provided by the project for the promotion and distribution of processed products (coffee, cocoa and other agricultural products), etc. </w:t>
            </w:r>
          </w:p>
          <w:p w14:paraId="053F49D9" w14:textId="77777777" w:rsidR="003646F2" w:rsidRPr="005516CD" w:rsidRDefault="003646F2" w:rsidP="003646F2">
            <w:pPr>
              <w:numPr>
                <w:ilvl w:val="0"/>
                <w:numId w:val="146"/>
              </w:numPr>
              <w:autoSpaceDE w:val="0"/>
              <w:autoSpaceDN w:val="0"/>
              <w:adjustRightInd w:val="0"/>
              <w:ind w:left="137" w:hanging="137"/>
              <w:rPr>
                <w:rFonts w:ascii="Arial" w:hAnsi="Arial" w:cs="Arial"/>
                <w:color w:val="000000"/>
                <w:sz w:val="20"/>
                <w:szCs w:val="20"/>
              </w:rPr>
            </w:pPr>
            <w:r w:rsidRPr="005516CD">
              <w:rPr>
                <w:rFonts w:ascii="Calibri" w:hAnsi="Calibri" w:cs="Calibri"/>
                <w:color w:val="000000"/>
                <w:sz w:val="20"/>
                <w:szCs w:val="20"/>
              </w:rPr>
              <w:t xml:space="preserve">Contribution in the promotion and popularization of good practices in the management, marketing and consumption of local products. </w:t>
            </w:r>
          </w:p>
        </w:tc>
      </w:tr>
      <w:tr w:rsidR="003646F2" w:rsidRPr="005516CD" w14:paraId="58DEA303" w14:textId="77777777" w:rsidTr="000C683F">
        <w:trPr>
          <w:trHeight w:val="539"/>
        </w:trPr>
        <w:tc>
          <w:tcPr>
            <w:tcW w:w="1804" w:type="dxa"/>
          </w:tcPr>
          <w:p w14:paraId="7FB8EDE0"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b/>
                <w:bCs/>
                <w:color w:val="000000"/>
                <w:sz w:val="20"/>
                <w:szCs w:val="20"/>
              </w:rPr>
              <w:t xml:space="preserve">Manual trades </w:t>
            </w:r>
          </w:p>
        </w:tc>
        <w:tc>
          <w:tcPr>
            <w:tcW w:w="3656" w:type="dxa"/>
          </w:tcPr>
          <w:p w14:paraId="748AADF2" w14:textId="77777777" w:rsidR="003646F2" w:rsidRPr="005516CD" w:rsidRDefault="003646F2" w:rsidP="000C683F">
            <w:pPr>
              <w:autoSpaceDE w:val="0"/>
              <w:autoSpaceDN w:val="0"/>
              <w:adjustRightInd w:val="0"/>
              <w:rPr>
                <w:rFonts w:ascii="Arial" w:hAnsi="Arial" w:cs="Arial"/>
                <w:color w:val="000000"/>
                <w:sz w:val="20"/>
                <w:szCs w:val="20"/>
              </w:rPr>
            </w:pPr>
            <w:r w:rsidRPr="005516CD">
              <w:rPr>
                <w:rFonts w:ascii="Calibri" w:hAnsi="Calibri" w:cs="Calibri"/>
                <w:color w:val="000000"/>
                <w:sz w:val="20"/>
                <w:szCs w:val="20"/>
              </w:rPr>
              <w:t xml:space="preserve">Tailors, seamstresses / Hairdressers / Masons / Carpenters &amp; Cabinetmakers / Small brick manufacturers / Tinsmiths / Tinsmiths / Ironwork * Agriculture. </w:t>
            </w:r>
          </w:p>
        </w:tc>
        <w:tc>
          <w:tcPr>
            <w:tcW w:w="2014" w:type="dxa"/>
          </w:tcPr>
          <w:p w14:paraId="07401B9F"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b/>
                <w:bCs/>
                <w:color w:val="000000"/>
                <w:sz w:val="20"/>
                <w:szCs w:val="20"/>
              </w:rPr>
              <w:t xml:space="preserve">10 – 15% </w:t>
            </w:r>
          </w:p>
        </w:tc>
        <w:tc>
          <w:tcPr>
            <w:tcW w:w="2977" w:type="dxa"/>
          </w:tcPr>
          <w:p w14:paraId="41705C3B" w14:textId="77777777" w:rsidR="003646F2" w:rsidRPr="005516CD" w:rsidRDefault="003646F2" w:rsidP="000C683F">
            <w:pPr>
              <w:autoSpaceDE w:val="0"/>
              <w:autoSpaceDN w:val="0"/>
              <w:adjustRightInd w:val="0"/>
              <w:rPr>
                <w:rFonts w:ascii="Arial" w:hAnsi="Arial" w:cs="Arial"/>
                <w:color w:val="000000"/>
                <w:sz w:val="20"/>
                <w:szCs w:val="20"/>
              </w:rPr>
            </w:pPr>
            <w:r w:rsidRPr="005516CD">
              <w:rPr>
                <w:rFonts w:ascii="Calibri" w:hAnsi="Calibri" w:cs="Calibri"/>
                <w:color w:val="000000"/>
                <w:sz w:val="20"/>
                <w:szCs w:val="20"/>
              </w:rPr>
              <w:t xml:space="preserve">Local promoters of processed agricultural products </w:t>
            </w:r>
          </w:p>
        </w:tc>
        <w:tc>
          <w:tcPr>
            <w:tcW w:w="3201" w:type="dxa"/>
          </w:tcPr>
          <w:p w14:paraId="0E8F297D" w14:textId="77777777" w:rsidR="003646F2" w:rsidRPr="005516CD" w:rsidRDefault="003646F2" w:rsidP="003646F2">
            <w:pPr>
              <w:numPr>
                <w:ilvl w:val="0"/>
                <w:numId w:val="146"/>
              </w:numPr>
              <w:autoSpaceDE w:val="0"/>
              <w:autoSpaceDN w:val="0"/>
              <w:adjustRightInd w:val="0"/>
              <w:ind w:left="137" w:hanging="137"/>
              <w:rPr>
                <w:rFonts w:ascii="Arial" w:hAnsi="Arial" w:cs="Arial"/>
                <w:color w:val="000000"/>
                <w:sz w:val="20"/>
                <w:szCs w:val="20"/>
              </w:rPr>
            </w:pPr>
            <w:r w:rsidRPr="005516CD">
              <w:rPr>
                <w:rFonts w:ascii="Calibri" w:hAnsi="Calibri" w:cs="Calibri"/>
                <w:color w:val="000000"/>
                <w:sz w:val="20"/>
                <w:szCs w:val="20"/>
              </w:rPr>
              <w:t xml:space="preserve">Training provided by the project for the promotion and distribution of processed products (coffee, cocoa and other agricultural products), etc. </w:t>
            </w:r>
          </w:p>
          <w:p w14:paraId="25376306" w14:textId="77777777" w:rsidR="003646F2" w:rsidRPr="005516CD" w:rsidRDefault="003646F2" w:rsidP="003646F2">
            <w:pPr>
              <w:numPr>
                <w:ilvl w:val="0"/>
                <w:numId w:val="146"/>
              </w:numPr>
              <w:autoSpaceDE w:val="0"/>
              <w:autoSpaceDN w:val="0"/>
              <w:adjustRightInd w:val="0"/>
              <w:ind w:left="137" w:hanging="137"/>
              <w:rPr>
                <w:rFonts w:ascii="Arial" w:hAnsi="Arial" w:cs="Arial"/>
                <w:color w:val="000000"/>
                <w:sz w:val="20"/>
                <w:szCs w:val="20"/>
              </w:rPr>
            </w:pPr>
            <w:r w:rsidRPr="005516CD">
              <w:rPr>
                <w:rFonts w:ascii="Calibri" w:hAnsi="Calibri" w:cs="Calibri"/>
                <w:color w:val="000000"/>
                <w:sz w:val="20"/>
                <w:szCs w:val="20"/>
              </w:rPr>
              <w:t xml:space="preserve">Contribution in the promotion of good practices in the consumption of local products. </w:t>
            </w:r>
          </w:p>
        </w:tc>
      </w:tr>
      <w:tr w:rsidR="003646F2" w:rsidRPr="005516CD" w14:paraId="72181015" w14:textId="77777777" w:rsidTr="000C683F">
        <w:trPr>
          <w:trHeight w:val="539"/>
        </w:trPr>
        <w:tc>
          <w:tcPr>
            <w:tcW w:w="1804" w:type="dxa"/>
            <w:tcBorders>
              <w:top w:val="single" w:sz="4" w:space="0" w:color="auto"/>
              <w:left w:val="single" w:sz="4" w:space="0" w:color="auto"/>
              <w:bottom w:val="single" w:sz="4" w:space="0" w:color="auto"/>
              <w:right w:val="single" w:sz="4" w:space="0" w:color="auto"/>
            </w:tcBorders>
          </w:tcPr>
          <w:p w14:paraId="70208F04" w14:textId="77777777" w:rsidR="003646F2" w:rsidRPr="005516CD" w:rsidRDefault="003646F2" w:rsidP="000C683F">
            <w:pPr>
              <w:autoSpaceDE w:val="0"/>
              <w:autoSpaceDN w:val="0"/>
              <w:adjustRightInd w:val="0"/>
              <w:rPr>
                <w:rFonts w:ascii="Calibri" w:hAnsi="Calibri" w:cs="Calibri"/>
                <w:b/>
                <w:bCs/>
                <w:color w:val="000000"/>
                <w:sz w:val="20"/>
                <w:szCs w:val="20"/>
              </w:rPr>
            </w:pPr>
            <w:r w:rsidRPr="005516CD">
              <w:rPr>
                <w:rFonts w:ascii="Calibri" w:hAnsi="Calibri" w:cs="Calibri"/>
                <w:b/>
                <w:bCs/>
                <w:color w:val="000000"/>
                <w:sz w:val="20"/>
                <w:szCs w:val="20"/>
              </w:rPr>
              <w:t xml:space="preserve">Employees of public/private institutions </w:t>
            </w:r>
          </w:p>
        </w:tc>
        <w:tc>
          <w:tcPr>
            <w:tcW w:w="3656" w:type="dxa"/>
            <w:tcBorders>
              <w:top w:val="single" w:sz="4" w:space="0" w:color="auto"/>
              <w:left w:val="single" w:sz="4" w:space="0" w:color="auto"/>
              <w:bottom w:val="single" w:sz="4" w:space="0" w:color="auto"/>
              <w:right w:val="single" w:sz="4" w:space="0" w:color="auto"/>
            </w:tcBorders>
          </w:tcPr>
          <w:p w14:paraId="2C1B7FFE"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color w:val="000000"/>
                <w:sz w:val="20"/>
                <w:szCs w:val="20"/>
              </w:rPr>
              <w:t xml:space="preserve">Public officials / NGO employees / School teachers / Traders (urban stores) /... * Owner of trucks (sometimes), vans and several motorcycle taxis. </w:t>
            </w:r>
          </w:p>
        </w:tc>
        <w:tc>
          <w:tcPr>
            <w:tcW w:w="2014" w:type="dxa"/>
            <w:tcBorders>
              <w:top w:val="single" w:sz="4" w:space="0" w:color="auto"/>
              <w:left w:val="single" w:sz="4" w:space="0" w:color="auto"/>
              <w:bottom w:val="single" w:sz="4" w:space="0" w:color="auto"/>
              <w:right w:val="single" w:sz="4" w:space="0" w:color="auto"/>
            </w:tcBorders>
          </w:tcPr>
          <w:p w14:paraId="360A10B6" w14:textId="77777777" w:rsidR="003646F2" w:rsidRPr="005516CD" w:rsidRDefault="003646F2" w:rsidP="000C683F">
            <w:pPr>
              <w:autoSpaceDE w:val="0"/>
              <w:autoSpaceDN w:val="0"/>
              <w:adjustRightInd w:val="0"/>
              <w:rPr>
                <w:rFonts w:ascii="Calibri" w:hAnsi="Calibri" w:cs="Calibri"/>
                <w:b/>
                <w:bCs/>
                <w:color w:val="000000"/>
                <w:sz w:val="20"/>
                <w:szCs w:val="20"/>
              </w:rPr>
            </w:pPr>
            <w:r w:rsidRPr="005516CD">
              <w:rPr>
                <w:rFonts w:ascii="Calibri" w:hAnsi="Calibri" w:cs="Calibri"/>
                <w:b/>
                <w:bCs/>
                <w:color w:val="000000"/>
                <w:sz w:val="20"/>
                <w:szCs w:val="20"/>
              </w:rPr>
              <w:t xml:space="preserve">10 – 15% </w:t>
            </w:r>
          </w:p>
        </w:tc>
        <w:tc>
          <w:tcPr>
            <w:tcW w:w="2977" w:type="dxa"/>
            <w:tcBorders>
              <w:top w:val="single" w:sz="4" w:space="0" w:color="auto"/>
              <w:left w:val="single" w:sz="4" w:space="0" w:color="auto"/>
              <w:bottom w:val="single" w:sz="4" w:space="0" w:color="auto"/>
              <w:right w:val="single" w:sz="4" w:space="0" w:color="auto"/>
            </w:tcBorders>
          </w:tcPr>
          <w:p w14:paraId="3B2FDD00"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color w:val="000000"/>
                <w:sz w:val="20"/>
                <w:szCs w:val="20"/>
              </w:rPr>
              <w:t xml:space="preserve">Promoters of good (agricultural) hygiene practices </w:t>
            </w:r>
          </w:p>
        </w:tc>
        <w:tc>
          <w:tcPr>
            <w:tcW w:w="3201" w:type="dxa"/>
            <w:tcBorders>
              <w:top w:val="single" w:sz="4" w:space="0" w:color="auto"/>
              <w:left w:val="single" w:sz="4" w:space="0" w:color="auto"/>
              <w:bottom w:val="single" w:sz="4" w:space="0" w:color="auto"/>
              <w:right w:val="single" w:sz="4" w:space="0" w:color="auto"/>
            </w:tcBorders>
          </w:tcPr>
          <w:p w14:paraId="363E1C65" w14:textId="77777777" w:rsidR="003646F2" w:rsidRPr="005516CD" w:rsidRDefault="003646F2" w:rsidP="003646F2">
            <w:pPr>
              <w:numPr>
                <w:ilvl w:val="0"/>
                <w:numId w:val="146"/>
              </w:numPr>
              <w:autoSpaceDE w:val="0"/>
              <w:autoSpaceDN w:val="0"/>
              <w:adjustRightInd w:val="0"/>
              <w:ind w:left="137" w:hanging="137"/>
              <w:rPr>
                <w:rFonts w:ascii="Calibri" w:hAnsi="Calibri" w:cs="Calibri"/>
                <w:color w:val="000000"/>
                <w:sz w:val="20"/>
                <w:szCs w:val="20"/>
              </w:rPr>
            </w:pPr>
            <w:r w:rsidRPr="005516CD">
              <w:rPr>
                <w:rFonts w:ascii="Calibri" w:hAnsi="Calibri" w:cs="Calibri"/>
                <w:color w:val="000000"/>
                <w:sz w:val="20"/>
                <w:szCs w:val="20"/>
              </w:rPr>
              <w:t xml:space="preserve">Training provided by the project for the promotion of good agricultural practices and hygiene; </w:t>
            </w:r>
          </w:p>
          <w:p w14:paraId="07D42EE7" w14:textId="77777777" w:rsidR="003646F2" w:rsidRPr="005516CD" w:rsidRDefault="003646F2" w:rsidP="003646F2">
            <w:pPr>
              <w:numPr>
                <w:ilvl w:val="0"/>
                <w:numId w:val="146"/>
              </w:numPr>
              <w:autoSpaceDE w:val="0"/>
              <w:autoSpaceDN w:val="0"/>
              <w:adjustRightInd w:val="0"/>
              <w:ind w:left="137" w:hanging="137"/>
              <w:rPr>
                <w:rFonts w:ascii="Calibri" w:hAnsi="Calibri" w:cs="Calibri"/>
                <w:color w:val="000000"/>
                <w:sz w:val="20"/>
                <w:szCs w:val="20"/>
              </w:rPr>
            </w:pPr>
            <w:r w:rsidRPr="005516CD">
              <w:rPr>
                <w:rFonts w:ascii="Calibri" w:hAnsi="Calibri" w:cs="Calibri"/>
                <w:color w:val="000000"/>
                <w:sz w:val="20"/>
                <w:szCs w:val="20"/>
              </w:rPr>
              <w:t xml:space="preserve">Contribution in the promotion of good hygiene practices. </w:t>
            </w:r>
          </w:p>
        </w:tc>
      </w:tr>
      <w:tr w:rsidR="003646F2" w:rsidRPr="005516CD" w14:paraId="1397D496" w14:textId="77777777" w:rsidTr="000C683F">
        <w:trPr>
          <w:trHeight w:val="539"/>
        </w:trPr>
        <w:tc>
          <w:tcPr>
            <w:tcW w:w="1804" w:type="dxa"/>
            <w:tcBorders>
              <w:top w:val="single" w:sz="4" w:space="0" w:color="auto"/>
              <w:left w:val="single" w:sz="4" w:space="0" w:color="auto"/>
              <w:bottom w:val="single" w:sz="4" w:space="0" w:color="auto"/>
              <w:right w:val="single" w:sz="4" w:space="0" w:color="auto"/>
            </w:tcBorders>
          </w:tcPr>
          <w:p w14:paraId="202DF05D" w14:textId="77777777" w:rsidR="003646F2" w:rsidRPr="005516CD" w:rsidRDefault="003646F2" w:rsidP="000C683F">
            <w:pPr>
              <w:autoSpaceDE w:val="0"/>
              <w:autoSpaceDN w:val="0"/>
              <w:adjustRightInd w:val="0"/>
              <w:rPr>
                <w:rFonts w:ascii="Calibri" w:hAnsi="Calibri" w:cs="Calibri"/>
                <w:b/>
                <w:bCs/>
                <w:color w:val="000000"/>
                <w:sz w:val="20"/>
                <w:szCs w:val="20"/>
              </w:rPr>
            </w:pPr>
            <w:r w:rsidRPr="005516CD">
              <w:rPr>
                <w:rFonts w:ascii="Calibri" w:hAnsi="Calibri" w:cs="Calibri"/>
                <w:b/>
                <w:bCs/>
                <w:color w:val="000000"/>
                <w:sz w:val="20"/>
                <w:szCs w:val="20"/>
              </w:rPr>
              <w:t xml:space="preserve">Merchant operators </w:t>
            </w:r>
          </w:p>
        </w:tc>
        <w:tc>
          <w:tcPr>
            <w:tcW w:w="3656" w:type="dxa"/>
            <w:tcBorders>
              <w:top w:val="single" w:sz="4" w:space="0" w:color="auto"/>
              <w:left w:val="single" w:sz="4" w:space="0" w:color="auto"/>
              <w:bottom w:val="single" w:sz="4" w:space="0" w:color="auto"/>
              <w:right w:val="single" w:sz="4" w:space="0" w:color="auto"/>
            </w:tcBorders>
          </w:tcPr>
          <w:p w14:paraId="1D6AE7A5"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color w:val="000000"/>
                <w:sz w:val="20"/>
                <w:szCs w:val="20"/>
              </w:rPr>
              <w:t xml:space="preserve">Agri-food products / Meat / Purchase and resale of cereals / Purchase and resale of animals * Agricultural practices (Sometimes). </w:t>
            </w:r>
          </w:p>
        </w:tc>
        <w:tc>
          <w:tcPr>
            <w:tcW w:w="2014" w:type="dxa"/>
            <w:tcBorders>
              <w:top w:val="single" w:sz="4" w:space="0" w:color="auto"/>
              <w:left w:val="single" w:sz="4" w:space="0" w:color="auto"/>
              <w:bottom w:val="single" w:sz="4" w:space="0" w:color="auto"/>
              <w:right w:val="single" w:sz="4" w:space="0" w:color="auto"/>
            </w:tcBorders>
          </w:tcPr>
          <w:p w14:paraId="29455FD6" w14:textId="77777777" w:rsidR="003646F2" w:rsidRPr="005516CD" w:rsidRDefault="003646F2" w:rsidP="000C683F">
            <w:pPr>
              <w:autoSpaceDE w:val="0"/>
              <w:autoSpaceDN w:val="0"/>
              <w:adjustRightInd w:val="0"/>
              <w:rPr>
                <w:rFonts w:ascii="Calibri" w:hAnsi="Calibri" w:cs="Calibri"/>
                <w:b/>
                <w:bCs/>
                <w:color w:val="000000"/>
                <w:sz w:val="20"/>
                <w:szCs w:val="20"/>
              </w:rPr>
            </w:pPr>
            <w:r w:rsidRPr="005516CD">
              <w:rPr>
                <w:rFonts w:ascii="Calibri" w:hAnsi="Calibri" w:cs="Calibri"/>
                <w:b/>
                <w:bCs/>
                <w:color w:val="000000"/>
                <w:sz w:val="20"/>
                <w:szCs w:val="20"/>
              </w:rPr>
              <w:t xml:space="preserve">20 – 25% </w:t>
            </w:r>
          </w:p>
        </w:tc>
        <w:tc>
          <w:tcPr>
            <w:tcW w:w="2977" w:type="dxa"/>
            <w:tcBorders>
              <w:top w:val="single" w:sz="4" w:space="0" w:color="auto"/>
              <w:left w:val="single" w:sz="4" w:space="0" w:color="auto"/>
              <w:bottom w:val="single" w:sz="4" w:space="0" w:color="auto"/>
              <w:right w:val="single" w:sz="4" w:space="0" w:color="auto"/>
            </w:tcBorders>
          </w:tcPr>
          <w:p w14:paraId="657A65BD"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color w:val="000000"/>
                <w:sz w:val="20"/>
                <w:szCs w:val="20"/>
              </w:rPr>
              <w:t xml:space="preserve">Local business management and marketing; </w:t>
            </w:r>
          </w:p>
        </w:tc>
        <w:tc>
          <w:tcPr>
            <w:tcW w:w="3201" w:type="dxa"/>
            <w:tcBorders>
              <w:top w:val="single" w:sz="4" w:space="0" w:color="auto"/>
              <w:left w:val="single" w:sz="4" w:space="0" w:color="auto"/>
              <w:bottom w:val="single" w:sz="4" w:space="0" w:color="auto"/>
              <w:right w:val="single" w:sz="4" w:space="0" w:color="auto"/>
            </w:tcBorders>
          </w:tcPr>
          <w:p w14:paraId="239DEB10" w14:textId="77777777" w:rsidR="003646F2" w:rsidRPr="005516CD" w:rsidRDefault="003646F2" w:rsidP="003646F2">
            <w:pPr>
              <w:numPr>
                <w:ilvl w:val="0"/>
                <w:numId w:val="146"/>
              </w:numPr>
              <w:autoSpaceDE w:val="0"/>
              <w:autoSpaceDN w:val="0"/>
              <w:adjustRightInd w:val="0"/>
              <w:ind w:left="137" w:hanging="137"/>
              <w:rPr>
                <w:rFonts w:ascii="Calibri" w:hAnsi="Calibri" w:cs="Calibri"/>
                <w:color w:val="000000"/>
                <w:sz w:val="20"/>
                <w:szCs w:val="20"/>
              </w:rPr>
            </w:pPr>
            <w:r w:rsidRPr="005516CD">
              <w:rPr>
                <w:rFonts w:ascii="Calibri" w:hAnsi="Calibri" w:cs="Calibri"/>
                <w:color w:val="000000"/>
                <w:sz w:val="20"/>
                <w:szCs w:val="20"/>
              </w:rPr>
              <w:t xml:space="preserve">Training provided by the project for the promotion and distribution of processed products (coffee, cocoa and other agricultural products), etc. </w:t>
            </w:r>
          </w:p>
          <w:p w14:paraId="7C4F91C3" w14:textId="77777777" w:rsidR="003646F2" w:rsidRPr="005516CD" w:rsidRDefault="003646F2" w:rsidP="003646F2">
            <w:pPr>
              <w:numPr>
                <w:ilvl w:val="0"/>
                <w:numId w:val="146"/>
              </w:numPr>
              <w:autoSpaceDE w:val="0"/>
              <w:autoSpaceDN w:val="0"/>
              <w:adjustRightInd w:val="0"/>
              <w:ind w:left="137" w:hanging="137"/>
              <w:rPr>
                <w:rFonts w:ascii="Calibri" w:hAnsi="Calibri" w:cs="Calibri"/>
                <w:color w:val="000000"/>
                <w:sz w:val="20"/>
                <w:szCs w:val="20"/>
              </w:rPr>
            </w:pPr>
            <w:r w:rsidRPr="005516CD">
              <w:rPr>
                <w:rFonts w:ascii="Calibri" w:hAnsi="Calibri" w:cs="Calibri"/>
                <w:color w:val="000000"/>
                <w:sz w:val="20"/>
                <w:szCs w:val="20"/>
              </w:rPr>
              <w:t xml:space="preserve">Contribution in the promotion of good hygiene practices and consumption of local products. </w:t>
            </w:r>
          </w:p>
        </w:tc>
      </w:tr>
      <w:tr w:rsidR="003646F2" w:rsidRPr="005516CD" w14:paraId="2310EC4C" w14:textId="77777777" w:rsidTr="000C683F">
        <w:trPr>
          <w:trHeight w:val="539"/>
        </w:trPr>
        <w:tc>
          <w:tcPr>
            <w:tcW w:w="1804" w:type="dxa"/>
            <w:tcBorders>
              <w:top w:val="single" w:sz="4" w:space="0" w:color="auto"/>
              <w:left w:val="single" w:sz="4" w:space="0" w:color="auto"/>
              <w:bottom w:val="single" w:sz="4" w:space="0" w:color="auto"/>
              <w:right w:val="single" w:sz="4" w:space="0" w:color="auto"/>
            </w:tcBorders>
          </w:tcPr>
          <w:p w14:paraId="42C343F3" w14:textId="77777777" w:rsidR="003646F2" w:rsidRPr="005516CD" w:rsidRDefault="003646F2" w:rsidP="000C683F">
            <w:pPr>
              <w:autoSpaceDE w:val="0"/>
              <w:autoSpaceDN w:val="0"/>
              <w:adjustRightInd w:val="0"/>
              <w:rPr>
                <w:rFonts w:ascii="Calibri" w:hAnsi="Calibri" w:cs="Calibri"/>
                <w:b/>
                <w:bCs/>
                <w:color w:val="000000"/>
                <w:sz w:val="20"/>
                <w:szCs w:val="20"/>
              </w:rPr>
            </w:pPr>
            <w:r w:rsidRPr="005516CD">
              <w:rPr>
                <w:rFonts w:ascii="Calibri" w:hAnsi="Calibri" w:cs="Calibri"/>
                <w:b/>
                <w:bCs/>
                <w:color w:val="000000"/>
                <w:sz w:val="20"/>
                <w:szCs w:val="20"/>
              </w:rPr>
              <w:t xml:space="preserve">Better off operators between 3 and 5 </w:t>
            </w:r>
            <w:proofErr w:type="spellStart"/>
            <w:r w:rsidRPr="005516CD">
              <w:rPr>
                <w:rFonts w:ascii="Calibri" w:hAnsi="Calibri" w:cs="Calibri"/>
                <w:b/>
                <w:bCs/>
                <w:color w:val="000000"/>
                <w:sz w:val="20"/>
                <w:szCs w:val="20"/>
              </w:rPr>
              <w:t>Cx</w:t>
            </w:r>
            <w:proofErr w:type="spellEnd"/>
            <w:r w:rsidRPr="005516CD">
              <w:rPr>
                <w:rFonts w:ascii="Calibri" w:hAnsi="Calibri" w:cs="Calibri"/>
                <w:b/>
                <w:bCs/>
                <w:color w:val="000000"/>
                <w:sz w:val="20"/>
                <w:szCs w:val="20"/>
              </w:rPr>
              <w:t xml:space="preserve"> </w:t>
            </w:r>
          </w:p>
        </w:tc>
        <w:tc>
          <w:tcPr>
            <w:tcW w:w="3656" w:type="dxa"/>
            <w:tcBorders>
              <w:top w:val="single" w:sz="4" w:space="0" w:color="auto"/>
              <w:left w:val="single" w:sz="4" w:space="0" w:color="auto"/>
              <w:bottom w:val="single" w:sz="4" w:space="0" w:color="auto"/>
              <w:right w:val="single" w:sz="4" w:space="0" w:color="auto"/>
            </w:tcBorders>
          </w:tcPr>
          <w:p w14:paraId="5812A9BA"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color w:val="000000"/>
                <w:sz w:val="20"/>
                <w:szCs w:val="20"/>
              </w:rPr>
              <w:t xml:space="preserve">Livestock (cattle, goats, sheep, horses) * Agroforestry (Ginger, Cocoa, Coffee, Ginger, Yam, Banana, Beans, Corn, Sorghum, Peas-Congo, Sugar cane, etc.) * Stores in the communities and sometimes in the city centre * Owner of trucks -s, vans -s and several motorcycle taxis * </w:t>
            </w:r>
          </w:p>
        </w:tc>
        <w:tc>
          <w:tcPr>
            <w:tcW w:w="2014" w:type="dxa"/>
            <w:tcBorders>
              <w:top w:val="single" w:sz="4" w:space="0" w:color="auto"/>
              <w:left w:val="single" w:sz="4" w:space="0" w:color="auto"/>
              <w:bottom w:val="single" w:sz="4" w:space="0" w:color="auto"/>
              <w:right w:val="single" w:sz="4" w:space="0" w:color="auto"/>
            </w:tcBorders>
          </w:tcPr>
          <w:p w14:paraId="5F06265A" w14:textId="77777777" w:rsidR="003646F2" w:rsidRPr="005516CD" w:rsidRDefault="003646F2" w:rsidP="000C683F">
            <w:pPr>
              <w:autoSpaceDE w:val="0"/>
              <w:autoSpaceDN w:val="0"/>
              <w:adjustRightInd w:val="0"/>
              <w:rPr>
                <w:rFonts w:ascii="Calibri" w:hAnsi="Calibri" w:cs="Calibri"/>
                <w:b/>
                <w:bCs/>
                <w:color w:val="000000"/>
                <w:sz w:val="20"/>
                <w:szCs w:val="20"/>
              </w:rPr>
            </w:pPr>
            <w:r w:rsidRPr="005516CD">
              <w:rPr>
                <w:rFonts w:ascii="Calibri" w:hAnsi="Calibri" w:cs="Calibri"/>
                <w:b/>
                <w:bCs/>
                <w:color w:val="000000"/>
                <w:sz w:val="20"/>
                <w:szCs w:val="20"/>
              </w:rPr>
              <w:t xml:space="preserve">20 – 25% </w:t>
            </w:r>
          </w:p>
        </w:tc>
        <w:tc>
          <w:tcPr>
            <w:tcW w:w="2977" w:type="dxa"/>
            <w:tcBorders>
              <w:top w:val="single" w:sz="4" w:space="0" w:color="auto"/>
              <w:left w:val="single" w:sz="4" w:space="0" w:color="auto"/>
              <w:bottom w:val="single" w:sz="4" w:space="0" w:color="auto"/>
              <w:right w:val="single" w:sz="4" w:space="0" w:color="auto"/>
            </w:tcBorders>
          </w:tcPr>
          <w:p w14:paraId="09FA261D"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color w:val="000000"/>
                <w:sz w:val="20"/>
                <w:szCs w:val="20"/>
              </w:rPr>
              <w:t xml:space="preserve">Training on agricultural management and entrepreneurship and good agricultural practices. </w:t>
            </w:r>
          </w:p>
          <w:p w14:paraId="5C94CAB9" w14:textId="77777777" w:rsidR="003646F2" w:rsidRPr="005516CD" w:rsidRDefault="003646F2" w:rsidP="000C683F">
            <w:pPr>
              <w:autoSpaceDE w:val="0"/>
              <w:autoSpaceDN w:val="0"/>
              <w:adjustRightInd w:val="0"/>
              <w:rPr>
                <w:rFonts w:ascii="Calibri" w:hAnsi="Calibri" w:cs="Calibri"/>
                <w:color w:val="000000"/>
                <w:sz w:val="20"/>
                <w:szCs w:val="20"/>
              </w:rPr>
            </w:pPr>
            <w:r w:rsidRPr="005516CD">
              <w:rPr>
                <w:rFonts w:ascii="Calibri" w:hAnsi="Calibri" w:cs="Calibri"/>
                <w:color w:val="000000"/>
                <w:sz w:val="20"/>
                <w:szCs w:val="20"/>
              </w:rPr>
              <w:t xml:space="preserve">Farmers with at least three (3) plots integrating coffee (losing momentum), cocoa (mainly) or ginger (Carice, </w:t>
            </w:r>
            <w:proofErr w:type="spellStart"/>
            <w:r w:rsidRPr="005516CD">
              <w:rPr>
                <w:rFonts w:ascii="Calibri" w:hAnsi="Calibri" w:cs="Calibri"/>
                <w:color w:val="000000"/>
                <w:sz w:val="20"/>
                <w:szCs w:val="20"/>
              </w:rPr>
              <w:t>Mombin</w:t>
            </w:r>
            <w:proofErr w:type="spellEnd"/>
            <w:r w:rsidRPr="005516CD">
              <w:rPr>
                <w:rFonts w:ascii="Calibri" w:hAnsi="Calibri" w:cs="Calibri"/>
                <w:color w:val="000000"/>
                <w:sz w:val="20"/>
                <w:szCs w:val="20"/>
              </w:rPr>
              <w:t xml:space="preserve"> Crochu) into their cropping system. </w:t>
            </w:r>
          </w:p>
        </w:tc>
        <w:tc>
          <w:tcPr>
            <w:tcW w:w="3201" w:type="dxa"/>
            <w:tcBorders>
              <w:top w:val="single" w:sz="4" w:space="0" w:color="auto"/>
              <w:left w:val="single" w:sz="4" w:space="0" w:color="auto"/>
              <w:bottom w:val="single" w:sz="4" w:space="0" w:color="auto"/>
              <w:right w:val="single" w:sz="4" w:space="0" w:color="auto"/>
            </w:tcBorders>
          </w:tcPr>
          <w:p w14:paraId="53321125" w14:textId="77777777" w:rsidR="003646F2" w:rsidRPr="005516CD" w:rsidRDefault="003646F2" w:rsidP="003646F2">
            <w:pPr>
              <w:numPr>
                <w:ilvl w:val="0"/>
                <w:numId w:val="146"/>
              </w:numPr>
              <w:autoSpaceDE w:val="0"/>
              <w:autoSpaceDN w:val="0"/>
              <w:adjustRightInd w:val="0"/>
              <w:ind w:left="137" w:hanging="137"/>
              <w:rPr>
                <w:rFonts w:ascii="Calibri" w:hAnsi="Calibri" w:cs="Calibri"/>
                <w:color w:val="000000"/>
                <w:sz w:val="20"/>
                <w:szCs w:val="20"/>
              </w:rPr>
            </w:pPr>
            <w:r w:rsidRPr="005516CD">
              <w:rPr>
                <w:rFonts w:ascii="Calibri" w:hAnsi="Calibri" w:cs="Calibri"/>
                <w:color w:val="000000"/>
                <w:sz w:val="20"/>
                <w:szCs w:val="20"/>
              </w:rPr>
              <w:t xml:space="preserve">Training provided by the project for the promotion of good agricultural practices; </w:t>
            </w:r>
          </w:p>
          <w:p w14:paraId="42C88E89" w14:textId="77777777" w:rsidR="003646F2" w:rsidRPr="005516CD" w:rsidRDefault="003646F2" w:rsidP="003646F2">
            <w:pPr>
              <w:numPr>
                <w:ilvl w:val="0"/>
                <w:numId w:val="146"/>
              </w:numPr>
              <w:autoSpaceDE w:val="0"/>
              <w:autoSpaceDN w:val="0"/>
              <w:adjustRightInd w:val="0"/>
              <w:ind w:left="137" w:hanging="137"/>
              <w:rPr>
                <w:rFonts w:ascii="Calibri" w:hAnsi="Calibri" w:cs="Calibri"/>
                <w:color w:val="000000"/>
                <w:sz w:val="20"/>
                <w:szCs w:val="20"/>
              </w:rPr>
            </w:pPr>
            <w:r w:rsidRPr="005516CD">
              <w:rPr>
                <w:rFonts w:ascii="Calibri" w:hAnsi="Calibri" w:cs="Calibri"/>
                <w:color w:val="000000"/>
                <w:sz w:val="20"/>
                <w:szCs w:val="20"/>
              </w:rPr>
              <w:t xml:space="preserve">Training on natural resource management, environment, agroforestry, crop association, soil conservation and Land-based Agriculture Techniques on Slopes (TATP) and agricultural entrepreneurship for organized groups. </w:t>
            </w:r>
          </w:p>
        </w:tc>
      </w:tr>
    </w:tbl>
    <w:p w14:paraId="5B45E0DF" w14:textId="77777777" w:rsidR="003646F2" w:rsidRPr="005516CD" w:rsidRDefault="003646F2" w:rsidP="003646F2">
      <w:pPr>
        <w:pStyle w:val="Default"/>
        <w:spacing w:after="120"/>
        <w:rPr>
          <w:rFonts w:ascii="Calibri" w:hAnsi="Calibri" w:cs="Calibri"/>
          <w:b/>
          <w:sz w:val="23"/>
          <w:szCs w:val="23"/>
        </w:rPr>
        <w:sectPr w:rsidR="003646F2" w:rsidRPr="005516CD" w:rsidSect="004E3C8E">
          <w:pgSz w:w="15840" w:h="12240" w:orient="landscape"/>
          <w:pgMar w:top="1440" w:right="1440" w:bottom="1440" w:left="1440" w:header="708" w:footer="708" w:gutter="0"/>
          <w:cols w:space="708"/>
          <w:docGrid w:linePitch="360"/>
        </w:sectPr>
      </w:pPr>
    </w:p>
    <w:p w14:paraId="22D0ACDF" w14:textId="77777777" w:rsidR="003646F2" w:rsidRPr="005516CD" w:rsidRDefault="003646F2" w:rsidP="003646F2">
      <w:pPr>
        <w:pStyle w:val="Default"/>
        <w:spacing w:after="120"/>
        <w:rPr>
          <w:rFonts w:asciiTheme="majorHAnsi" w:hAnsiTheme="majorHAnsi" w:cstheme="majorHAnsi"/>
          <w:b/>
          <w:sz w:val="22"/>
          <w:szCs w:val="22"/>
        </w:rPr>
      </w:pPr>
      <w:r w:rsidRPr="005516CD">
        <w:rPr>
          <w:rFonts w:asciiTheme="majorHAnsi" w:hAnsiTheme="majorHAnsi" w:cstheme="majorHAnsi"/>
          <w:b/>
          <w:sz w:val="22"/>
          <w:szCs w:val="22"/>
        </w:rPr>
        <w:t>Table 4. List of acronyms of entities, organizations and bodies of Decentralized State Institutions (FDI) used in the Stakeholder Engagement Plan.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0"/>
        <w:gridCol w:w="6804"/>
      </w:tblGrid>
      <w:tr w:rsidR="003646F2" w:rsidRPr="005516CD" w14:paraId="7D9E498D" w14:textId="77777777" w:rsidTr="000C683F">
        <w:trPr>
          <w:trHeight w:val="110"/>
        </w:trPr>
        <w:tc>
          <w:tcPr>
            <w:tcW w:w="2230" w:type="dxa"/>
            <w:shd w:val="clear" w:color="auto" w:fill="D9D9D9" w:themeFill="background1" w:themeFillShade="D9"/>
          </w:tcPr>
          <w:p w14:paraId="3A84A308" w14:textId="77777777" w:rsidR="003646F2" w:rsidRPr="005516CD" w:rsidRDefault="003646F2" w:rsidP="000C683F">
            <w:pPr>
              <w:autoSpaceDE w:val="0"/>
              <w:autoSpaceDN w:val="0"/>
              <w:adjustRightInd w:val="0"/>
              <w:jc w:val="center"/>
              <w:rPr>
                <w:rFonts w:asciiTheme="majorHAnsi" w:hAnsiTheme="majorHAnsi" w:cstheme="majorHAnsi"/>
                <w:b/>
                <w:color w:val="000000"/>
                <w:sz w:val="22"/>
                <w:szCs w:val="22"/>
              </w:rPr>
            </w:pPr>
            <w:r w:rsidRPr="005516CD">
              <w:rPr>
                <w:rFonts w:asciiTheme="majorHAnsi" w:hAnsiTheme="majorHAnsi" w:cstheme="majorHAnsi"/>
                <w:b/>
                <w:color w:val="000000"/>
                <w:sz w:val="22"/>
                <w:szCs w:val="22"/>
              </w:rPr>
              <w:t>Acronyms</w:t>
            </w:r>
          </w:p>
        </w:tc>
        <w:tc>
          <w:tcPr>
            <w:tcW w:w="6804" w:type="dxa"/>
            <w:shd w:val="clear" w:color="auto" w:fill="D9D9D9" w:themeFill="background1" w:themeFillShade="D9"/>
          </w:tcPr>
          <w:p w14:paraId="0D6F3058" w14:textId="77777777" w:rsidR="003646F2" w:rsidRPr="005516CD" w:rsidRDefault="003646F2" w:rsidP="000C683F">
            <w:pPr>
              <w:autoSpaceDE w:val="0"/>
              <w:autoSpaceDN w:val="0"/>
              <w:adjustRightInd w:val="0"/>
              <w:jc w:val="center"/>
              <w:rPr>
                <w:rFonts w:asciiTheme="majorHAnsi" w:hAnsiTheme="majorHAnsi" w:cstheme="majorHAnsi"/>
                <w:b/>
                <w:color w:val="000000"/>
                <w:sz w:val="22"/>
                <w:szCs w:val="22"/>
              </w:rPr>
            </w:pPr>
            <w:r w:rsidRPr="005516CD">
              <w:rPr>
                <w:rFonts w:asciiTheme="majorHAnsi" w:hAnsiTheme="majorHAnsi" w:cstheme="majorHAnsi"/>
                <w:b/>
                <w:color w:val="000000"/>
                <w:sz w:val="22"/>
                <w:szCs w:val="22"/>
              </w:rPr>
              <w:t>Organizations, Entities and FDI</w:t>
            </w:r>
          </w:p>
        </w:tc>
      </w:tr>
      <w:tr w:rsidR="003646F2" w:rsidRPr="005516CD" w14:paraId="671851CD" w14:textId="77777777" w:rsidTr="000C683F">
        <w:trPr>
          <w:trHeight w:val="110"/>
        </w:trPr>
        <w:tc>
          <w:tcPr>
            <w:tcW w:w="2230" w:type="dxa"/>
          </w:tcPr>
          <w:p w14:paraId="3C789F28"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CPCN </w:t>
            </w:r>
          </w:p>
        </w:tc>
        <w:tc>
          <w:tcPr>
            <w:tcW w:w="6804" w:type="dxa"/>
          </w:tcPr>
          <w:p w14:paraId="7A7EA1F6"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Cooperative for the Production of Northern Cocoa </w:t>
            </w:r>
          </w:p>
        </w:tc>
      </w:tr>
      <w:tr w:rsidR="003646F2" w:rsidRPr="00AB0498" w14:paraId="396B3C83" w14:textId="77777777" w:rsidTr="000C683F">
        <w:trPr>
          <w:trHeight w:val="110"/>
        </w:trPr>
        <w:tc>
          <w:tcPr>
            <w:tcW w:w="2230" w:type="dxa"/>
          </w:tcPr>
          <w:p w14:paraId="2B0713FE"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KAFUBO </w:t>
            </w:r>
          </w:p>
        </w:tc>
        <w:tc>
          <w:tcPr>
            <w:tcW w:w="6804" w:type="dxa"/>
          </w:tcPr>
          <w:p w14:paraId="4996CE0A" w14:textId="77777777" w:rsidR="003646F2" w:rsidRPr="005516CD" w:rsidRDefault="003646F2" w:rsidP="000C683F">
            <w:pPr>
              <w:autoSpaceDE w:val="0"/>
              <w:autoSpaceDN w:val="0"/>
              <w:adjustRightInd w:val="0"/>
              <w:rPr>
                <w:rFonts w:asciiTheme="majorHAnsi" w:hAnsiTheme="majorHAnsi" w:cstheme="majorHAnsi"/>
                <w:color w:val="000000"/>
                <w:sz w:val="22"/>
                <w:szCs w:val="22"/>
                <w:lang w:val="fr-CA"/>
              </w:rPr>
            </w:pPr>
            <w:r w:rsidRPr="005516CD">
              <w:rPr>
                <w:rFonts w:asciiTheme="majorHAnsi" w:hAnsiTheme="majorHAnsi" w:cstheme="majorHAnsi"/>
                <w:color w:val="000000"/>
                <w:sz w:val="22"/>
                <w:szCs w:val="22"/>
                <w:lang w:val="fr-CA"/>
              </w:rPr>
              <w:t xml:space="preserve">Coopérative Agricole Femmes Unies Femmes Unies Borgne </w:t>
            </w:r>
          </w:p>
        </w:tc>
      </w:tr>
      <w:tr w:rsidR="003646F2" w:rsidRPr="005516CD" w14:paraId="3CF5343F" w14:textId="77777777" w:rsidTr="000C683F">
        <w:trPr>
          <w:trHeight w:val="110"/>
        </w:trPr>
        <w:tc>
          <w:tcPr>
            <w:tcW w:w="2230" w:type="dxa"/>
          </w:tcPr>
          <w:p w14:paraId="61FD3020"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KAPB </w:t>
            </w:r>
          </w:p>
        </w:tc>
        <w:tc>
          <w:tcPr>
            <w:tcW w:w="6804" w:type="dxa"/>
          </w:tcPr>
          <w:p w14:paraId="492C20DA"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proofErr w:type="spellStart"/>
            <w:r w:rsidRPr="005516CD">
              <w:rPr>
                <w:rFonts w:asciiTheme="majorHAnsi" w:hAnsiTheme="majorHAnsi" w:cstheme="majorHAnsi"/>
                <w:color w:val="000000"/>
                <w:sz w:val="22"/>
                <w:szCs w:val="22"/>
              </w:rPr>
              <w:t>Kafé</w:t>
            </w:r>
            <w:proofErr w:type="spellEnd"/>
            <w:r w:rsidRPr="005516CD">
              <w:rPr>
                <w:rFonts w:asciiTheme="majorHAnsi" w:hAnsiTheme="majorHAnsi" w:cstheme="majorHAnsi"/>
                <w:color w:val="000000"/>
                <w:sz w:val="22"/>
                <w:szCs w:val="22"/>
              </w:rPr>
              <w:t xml:space="preserve"> </w:t>
            </w:r>
            <w:proofErr w:type="spellStart"/>
            <w:r w:rsidRPr="005516CD">
              <w:rPr>
                <w:rFonts w:asciiTheme="majorHAnsi" w:hAnsiTheme="majorHAnsi" w:cstheme="majorHAnsi"/>
                <w:color w:val="000000"/>
                <w:sz w:val="22"/>
                <w:szCs w:val="22"/>
              </w:rPr>
              <w:t>Avni</w:t>
            </w:r>
            <w:proofErr w:type="spellEnd"/>
            <w:r w:rsidRPr="005516CD">
              <w:rPr>
                <w:rFonts w:asciiTheme="majorHAnsi" w:hAnsiTheme="majorHAnsi" w:cstheme="majorHAnsi"/>
                <w:color w:val="000000"/>
                <w:sz w:val="22"/>
                <w:szCs w:val="22"/>
              </w:rPr>
              <w:t xml:space="preserve"> </w:t>
            </w:r>
            <w:proofErr w:type="spellStart"/>
            <w:r w:rsidRPr="005516CD">
              <w:rPr>
                <w:rFonts w:asciiTheme="majorHAnsi" w:hAnsiTheme="majorHAnsi" w:cstheme="majorHAnsi"/>
                <w:color w:val="000000"/>
                <w:sz w:val="22"/>
                <w:szCs w:val="22"/>
              </w:rPr>
              <w:t>Peyizan</w:t>
            </w:r>
            <w:proofErr w:type="spellEnd"/>
            <w:r w:rsidRPr="005516CD">
              <w:rPr>
                <w:rFonts w:asciiTheme="majorHAnsi" w:hAnsiTheme="majorHAnsi" w:cstheme="majorHAnsi"/>
                <w:color w:val="000000"/>
                <w:sz w:val="22"/>
                <w:szCs w:val="22"/>
              </w:rPr>
              <w:t xml:space="preserve"> Borgne </w:t>
            </w:r>
          </w:p>
        </w:tc>
      </w:tr>
      <w:tr w:rsidR="003646F2" w:rsidRPr="005516CD" w14:paraId="1BD495F1" w14:textId="77777777" w:rsidTr="000C683F">
        <w:trPr>
          <w:trHeight w:val="110"/>
        </w:trPr>
        <w:tc>
          <w:tcPr>
            <w:tcW w:w="2230" w:type="dxa"/>
          </w:tcPr>
          <w:p w14:paraId="25E221B1"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CAPB </w:t>
            </w:r>
          </w:p>
        </w:tc>
        <w:tc>
          <w:tcPr>
            <w:tcW w:w="6804" w:type="dxa"/>
          </w:tcPr>
          <w:p w14:paraId="6F333DBE"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Cooperative </w:t>
            </w:r>
            <w:proofErr w:type="spellStart"/>
            <w:r w:rsidRPr="005516CD">
              <w:rPr>
                <w:rFonts w:asciiTheme="majorHAnsi" w:hAnsiTheme="majorHAnsi" w:cstheme="majorHAnsi"/>
                <w:color w:val="000000"/>
                <w:sz w:val="22"/>
                <w:szCs w:val="22"/>
              </w:rPr>
              <w:t>Avni</w:t>
            </w:r>
            <w:proofErr w:type="spellEnd"/>
            <w:r w:rsidRPr="005516CD">
              <w:rPr>
                <w:rFonts w:asciiTheme="majorHAnsi" w:hAnsiTheme="majorHAnsi" w:cstheme="majorHAnsi"/>
                <w:color w:val="000000"/>
                <w:sz w:val="22"/>
                <w:szCs w:val="22"/>
              </w:rPr>
              <w:t xml:space="preserve"> </w:t>
            </w:r>
            <w:proofErr w:type="spellStart"/>
            <w:r w:rsidRPr="005516CD">
              <w:rPr>
                <w:rFonts w:asciiTheme="majorHAnsi" w:hAnsiTheme="majorHAnsi" w:cstheme="majorHAnsi"/>
                <w:color w:val="000000"/>
                <w:sz w:val="22"/>
                <w:szCs w:val="22"/>
              </w:rPr>
              <w:t>Peyizan</w:t>
            </w:r>
            <w:proofErr w:type="spellEnd"/>
            <w:r w:rsidRPr="005516CD">
              <w:rPr>
                <w:rFonts w:asciiTheme="majorHAnsi" w:hAnsiTheme="majorHAnsi" w:cstheme="majorHAnsi"/>
                <w:color w:val="000000"/>
                <w:sz w:val="22"/>
                <w:szCs w:val="22"/>
              </w:rPr>
              <w:t xml:space="preserve"> Borgne </w:t>
            </w:r>
          </w:p>
        </w:tc>
      </w:tr>
      <w:tr w:rsidR="003646F2" w:rsidRPr="00AB0498" w14:paraId="3F42BF5F" w14:textId="77777777" w:rsidTr="000C683F">
        <w:trPr>
          <w:trHeight w:val="110"/>
        </w:trPr>
        <w:tc>
          <w:tcPr>
            <w:tcW w:w="2230" w:type="dxa"/>
          </w:tcPr>
          <w:p w14:paraId="4588F207"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KAPBM </w:t>
            </w:r>
          </w:p>
        </w:tc>
        <w:tc>
          <w:tcPr>
            <w:tcW w:w="6804" w:type="dxa"/>
          </w:tcPr>
          <w:p w14:paraId="31B9C837" w14:textId="77777777" w:rsidR="003646F2" w:rsidRPr="005516CD" w:rsidRDefault="003646F2" w:rsidP="000C683F">
            <w:pPr>
              <w:autoSpaceDE w:val="0"/>
              <w:autoSpaceDN w:val="0"/>
              <w:adjustRightInd w:val="0"/>
              <w:rPr>
                <w:rFonts w:asciiTheme="majorHAnsi" w:hAnsiTheme="majorHAnsi" w:cstheme="majorHAnsi"/>
                <w:color w:val="000000"/>
                <w:sz w:val="22"/>
                <w:szCs w:val="22"/>
                <w:lang w:val="fr-CA"/>
              </w:rPr>
            </w:pPr>
            <w:proofErr w:type="spellStart"/>
            <w:r w:rsidRPr="005516CD">
              <w:rPr>
                <w:rFonts w:asciiTheme="majorHAnsi" w:hAnsiTheme="majorHAnsi" w:cstheme="majorHAnsi"/>
                <w:color w:val="000000"/>
                <w:sz w:val="22"/>
                <w:szCs w:val="22"/>
                <w:lang w:val="fr-CA"/>
              </w:rPr>
              <w:t>Kooperative</w:t>
            </w:r>
            <w:proofErr w:type="spellEnd"/>
            <w:r w:rsidRPr="005516CD">
              <w:rPr>
                <w:rFonts w:asciiTheme="majorHAnsi" w:hAnsiTheme="majorHAnsi" w:cstheme="majorHAnsi"/>
                <w:color w:val="000000"/>
                <w:sz w:val="22"/>
                <w:szCs w:val="22"/>
                <w:lang w:val="fr-CA"/>
              </w:rPr>
              <w:t xml:space="preserve"> Agricole Planteurs Boucan Michel </w:t>
            </w:r>
          </w:p>
        </w:tc>
      </w:tr>
      <w:tr w:rsidR="003646F2" w:rsidRPr="005516CD" w14:paraId="16A32990" w14:textId="77777777" w:rsidTr="000C683F">
        <w:trPr>
          <w:trHeight w:val="110"/>
        </w:trPr>
        <w:tc>
          <w:tcPr>
            <w:tcW w:w="2230" w:type="dxa"/>
          </w:tcPr>
          <w:p w14:paraId="7EB46DBC"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OFPB </w:t>
            </w:r>
          </w:p>
        </w:tc>
        <w:tc>
          <w:tcPr>
            <w:tcW w:w="6804" w:type="dxa"/>
          </w:tcPr>
          <w:p w14:paraId="6AE2B769"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Women's Organisation Petit Bourg Borgne </w:t>
            </w:r>
          </w:p>
        </w:tc>
      </w:tr>
      <w:tr w:rsidR="003646F2" w:rsidRPr="005516CD" w14:paraId="24629CEC" w14:textId="77777777" w:rsidTr="000C683F">
        <w:trPr>
          <w:trHeight w:val="110"/>
        </w:trPr>
        <w:tc>
          <w:tcPr>
            <w:tcW w:w="2230" w:type="dxa"/>
          </w:tcPr>
          <w:p w14:paraId="0C7E3AE1"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GPK </w:t>
            </w:r>
          </w:p>
        </w:tc>
        <w:tc>
          <w:tcPr>
            <w:tcW w:w="6804" w:type="dxa"/>
          </w:tcPr>
          <w:p w14:paraId="61A57ABD"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proofErr w:type="spellStart"/>
            <w:r w:rsidRPr="005516CD">
              <w:rPr>
                <w:rFonts w:asciiTheme="majorHAnsi" w:hAnsiTheme="majorHAnsi" w:cstheme="majorHAnsi"/>
                <w:color w:val="000000"/>
                <w:sz w:val="22"/>
                <w:szCs w:val="22"/>
              </w:rPr>
              <w:t>Komb</w:t>
            </w:r>
            <w:proofErr w:type="spellEnd"/>
            <w:r w:rsidRPr="005516CD">
              <w:rPr>
                <w:rFonts w:asciiTheme="majorHAnsi" w:hAnsiTheme="majorHAnsi" w:cstheme="majorHAnsi"/>
                <w:color w:val="000000"/>
                <w:sz w:val="22"/>
                <w:szCs w:val="22"/>
              </w:rPr>
              <w:t xml:space="preserve"> Farmers Group (Bethany, Borgne) </w:t>
            </w:r>
          </w:p>
        </w:tc>
      </w:tr>
      <w:tr w:rsidR="003646F2" w:rsidRPr="005516CD" w14:paraId="7D74E67F" w14:textId="77777777" w:rsidTr="000C683F">
        <w:trPr>
          <w:trHeight w:val="110"/>
        </w:trPr>
        <w:tc>
          <w:tcPr>
            <w:tcW w:w="2230" w:type="dxa"/>
          </w:tcPr>
          <w:p w14:paraId="762AD1AA"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APROVAL </w:t>
            </w:r>
          </w:p>
        </w:tc>
        <w:tc>
          <w:tcPr>
            <w:tcW w:w="6804" w:type="dxa"/>
          </w:tcPr>
          <w:p w14:paraId="63BA4EFB"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Association of </w:t>
            </w:r>
            <w:proofErr w:type="spellStart"/>
            <w:r w:rsidRPr="005516CD">
              <w:rPr>
                <w:rFonts w:asciiTheme="majorHAnsi" w:hAnsiTheme="majorHAnsi" w:cstheme="majorHAnsi"/>
                <w:color w:val="000000"/>
                <w:sz w:val="22"/>
                <w:szCs w:val="22"/>
              </w:rPr>
              <w:t>Limbé</w:t>
            </w:r>
            <w:proofErr w:type="spellEnd"/>
            <w:r w:rsidRPr="005516CD">
              <w:rPr>
                <w:rFonts w:asciiTheme="majorHAnsi" w:hAnsiTheme="majorHAnsi" w:cstheme="majorHAnsi"/>
                <w:color w:val="000000"/>
                <w:sz w:val="22"/>
                <w:szCs w:val="22"/>
              </w:rPr>
              <w:t xml:space="preserve"> Vanilla Producers </w:t>
            </w:r>
          </w:p>
        </w:tc>
      </w:tr>
      <w:tr w:rsidR="003646F2" w:rsidRPr="00AB0498" w14:paraId="2EF43167" w14:textId="77777777" w:rsidTr="000C683F">
        <w:trPr>
          <w:trHeight w:val="110"/>
        </w:trPr>
        <w:tc>
          <w:tcPr>
            <w:tcW w:w="2230" w:type="dxa"/>
          </w:tcPr>
          <w:p w14:paraId="08BB84E2"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GTAB </w:t>
            </w:r>
          </w:p>
        </w:tc>
        <w:tc>
          <w:tcPr>
            <w:tcW w:w="6804" w:type="dxa"/>
          </w:tcPr>
          <w:p w14:paraId="1CE59790" w14:textId="77777777" w:rsidR="003646F2" w:rsidRPr="005516CD" w:rsidRDefault="003646F2" w:rsidP="000C683F">
            <w:pPr>
              <w:autoSpaceDE w:val="0"/>
              <w:autoSpaceDN w:val="0"/>
              <w:adjustRightInd w:val="0"/>
              <w:rPr>
                <w:rFonts w:asciiTheme="majorHAnsi" w:hAnsiTheme="majorHAnsi" w:cstheme="majorHAnsi"/>
                <w:color w:val="000000"/>
                <w:sz w:val="22"/>
                <w:szCs w:val="22"/>
                <w:lang w:val="fr-CA"/>
              </w:rPr>
            </w:pPr>
            <w:r w:rsidRPr="005516CD">
              <w:rPr>
                <w:rFonts w:asciiTheme="majorHAnsi" w:hAnsiTheme="majorHAnsi" w:cstheme="majorHAnsi"/>
                <w:color w:val="000000"/>
                <w:sz w:val="22"/>
                <w:szCs w:val="22"/>
                <w:lang w:val="fr-CA"/>
              </w:rPr>
              <w:t xml:space="preserve">Groupement Avenir Travailleurs Agricole de Borgne </w:t>
            </w:r>
          </w:p>
        </w:tc>
      </w:tr>
      <w:tr w:rsidR="003646F2" w:rsidRPr="005516CD" w14:paraId="23BED116" w14:textId="77777777" w:rsidTr="000C683F">
        <w:trPr>
          <w:trHeight w:val="110"/>
        </w:trPr>
        <w:tc>
          <w:tcPr>
            <w:tcW w:w="2230" w:type="dxa"/>
          </w:tcPr>
          <w:p w14:paraId="6917F7D5"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APPB </w:t>
            </w:r>
          </w:p>
        </w:tc>
        <w:tc>
          <w:tcPr>
            <w:tcW w:w="6804" w:type="dxa"/>
          </w:tcPr>
          <w:p w14:paraId="578BA827"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Association of the Plateau Farmers of Borgne </w:t>
            </w:r>
          </w:p>
        </w:tc>
      </w:tr>
      <w:tr w:rsidR="003646F2" w:rsidRPr="00AB0498" w14:paraId="69AEEC17" w14:textId="77777777" w:rsidTr="000C683F">
        <w:trPr>
          <w:trHeight w:val="110"/>
        </w:trPr>
        <w:tc>
          <w:tcPr>
            <w:tcW w:w="2230" w:type="dxa"/>
          </w:tcPr>
          <w:p w14:paraId="6A680890"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CAJBC </w:t>
            </w:r>
          </w:p>
        </w:tc>
        <w:tc>
          <w:tcPr>
            <w:tcW w:w="6804" w:type="dxa"/>
          </w:tcPr>
          <w:p w14:paraId="341D78C5" w14:textId="77777777" w:rsidR="003646F2" w:rsidRPr="005516CD" w:rsidRDefault="003646F2" w:rsidP="000C683F">
            <w:pPr>
              <w:autoSpaceDE w:val="0"/>
              <w:autoSpaceDN w:val="0"/>
              <w:adjustRightInd w:val="0"/>
              <w:rPr>
                <w:rFonts w:asciiTheme="majorHAnsi" w:hAnsiTheme="majorHAnsi" w:cstheme="majorHAnsi"/>
                <w:color w:val="000000"/>
                <w:sz w:val="22"/>
                <w:szCs w:val="22"/>
                <w:lang w:val="fr-CA"/>
              </w:rPr>
            </w:pPr>
            <w:r w:rsidRPr="005516CD">
              <w:rPr>
                <w:rFonts w:asciiTheme="majorHAnsi" w:hAnsiTheme="majorHAnsi" w:cstheme="majorHAnsi"/>
                <w:color w:val="000000"/>
                <w:sz w:val="22"/>
                <w:szCs w:val="22"/>
                <w:lang w:val="fr-CA"/>
              </w:rPr>
              <w:t xml:space="preserve">Coopérative Agricole Jean Baptiste Chavannes </w:t>
            </w:r>
          </w:p>
        </w:tc>
      </w:tr>
      <w:tr w:rsidR="003646F2" w:rsidRPr="005516CD" w14:paraId="70960229" w14:textId="77777777" w:rsidTr="000C683F">
        <w:trPr>
          <w:trHeight w:val="110"/>
        </w:trPr>
        <w:tc>
          <w:tcPr>
            <w:tcW w:w="2230" w:type="dxa"/>
          </w:tcPr>
          <w:p w14:paraId="76A415FA"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proofErr w:type="spellStart"/>
            <w:r w:rsidRPr="005516CD">
              <w:rPr>
                <w:rFonts w:asciiTheme="majorHAnsi" w:hAnsiTheme="majorHAnsi" w:cstheme="majorHAnsi"/>
                <w:color w:val="000000"/>
                <w:sz w:val="22"/>
                <w:szCs w:val="22"/>
              </w:rPr>
              <w:t>M</w:t>
            </w:r>
            <w:r w:rsidR="00974AD4" w:rsidRPr="005516CD">
              <w:rPr>
                <w:rFonts w:asciiTheme="majorHAnsi" w:hAnsiTheme="majorHAnsi" w:cstheme="majorHAnsi"/>
                <w:color w:val="000000"/>
                <w:sz w:val="22"/>
                <w:szCs w:val="22"/>
              </w:rPr>
              <w:t>o</w:t>
            </w:r>
            <w:r w:rsidRPr="005516CD">
              <w:rPr>
                <w:rFonts w:asciiTheme="majorHAnsi" w:hAnsiTheme="majorHAnsi" w:cstheme="majorHAnsi"/>
                <w:color w:val="000000"/>
                <w:sz w:val="22"/>
                <w:szCs w:val="22"/>
              </w:rPr>
              <w:t>E</w:t>
            </w:r>
            <w:proofErr w:type="spellEnd"/>
            <w:r w:rsidRPr="005516CD">
              <w:rPr>
                <w:rFonts w:asciiTheme="majorHAnsi" w:hAnsiTheme="majorHAnsi" w:cstheme="majorHAnsi"/>
                <w:color w:val="000000"/>
                <w:sz w:val="22"/>
                <w:szCs w:val="22"/>
              </w:rPr>
              <w:t xml:space="preserve"> </w:t>
            </w:r>
          </w:p>
        </w:tc>
        <w:tc>
          <w:tcPr>
            <w:tcW w:w="6804" w:type="dxa"/>
          </w:tcPr>
          <w:p w14:paraId="0FEC200B"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Ministry of Environment </w:t>
            </w:r>
          </w:p>
        </w:tc>
      </w:tr>
      <w:tr w:rsidR="003646F2" w:rsidRPr="005516CD" w14:paraId="7D56BA39" w14:textId="77777777" w:rsidTr="000C683F">
        <w:trPr>
          <w:trHeight w:val="110"/>
        </w:trPr>
        <w:tc>
          <w:tcPr>
            <w:tcW w:w="2230" w:type="dxa"/>
          </w:tcPr>
          <w:p w14:paraId="45DDD9A1"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MARNDR </w:t>
            </w:r>
          </w:p>
        </w:tc>
        <w:tc>
          <w:tcPr>
            <w:tcW w:w="6804" w:type="dxa"/>
          </w:tcPr>
          <w:p w14:paraId="6AF2BD58"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Ministry of Agriculture, Natural Resources and Rural Development </w:t>
            </w:r>
          </w:p>
        </w:tc>
      </w:tr>
      <w:tr w:rsidR="003646F2" w:rsidRPr="005516CD" w14:paraId="3C40295F" w14:textId="77777777" w:rsidTr="000C683F">
        <w:trPr>
          <w:trHeight w:val="110"/>
        </w:trPr>
        <w:tc>
          <w:tcPr>
            <w:tcW w:w="2230" w:type="dxa"/>
          </w:tcPr>
          <w:p w14:paraId="03331439"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MICT </w:t>
            </w:r>
          </w:p>
        </w:tc>
        <w:tc>
          <w:tcPr>
            <w:tcW w:w="6804" w:type="dxa"/>
          </w:tcPr>
          <w:p w14:paraId="599B7764"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Ministry of the Interior and Territorial Communities </w:t>
            </w:r>
          </w:p>
        </w:tc>
      </w:tr>
      <w:tr w:rsidR="003646F2" w:rsidRPr="005516CD" w14:paraId="2302575F" w14:textId="77777777" w:rsidTr="000C683F">
        <w:trPr>
          <w:trHeight w:val="110"/>
        </w:trPr>
        <w:tc>
          <w:tcPr>
            <w:tcW w:w="2230" w:type="dxa"/>
          </w:tcPr>
          <w:p w14:paraId="047FFD87"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MEF </w:t>
            </w:r>
          </w:p>
        </w:tc>
        <w:tc>
          <w:tcPr>
            <w:tcW w:w="6804" w:type="dxa"/>
          </w:tcPr>
          <w:p w14:paraId="3D2DD99E"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Ministry of Economy and Finance </w:t>
            </w:r>
          </w:p>
        </w:tc>
      </w:tr>
      <w:tr w:rsidR="003646F2" w:rsidRPr="005516CD" w14:paraId="692F539C" w14:textId="77777777" w:rsidTr="000C683F">
        <w:trPr>
          <w:trHeight w:val="110"/>
        </w:trPr>
        <w:tc>
          <w:tcPr>
            <w:tcW w:w="2230" w:type="dxa"/>
          </w:tcPr>
          <w:p w14:paraId="2BDE8A3D"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DDE </w:t>
            </w:r>
          </w:p>
        </w:tc>
        <w:tc>
          <w:tcPr>
            <w:tcW w:w="6804" w:type="dxa"/>
          </w:tcPr>
          <w:p w14:paraId="136A1EE1"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Departmental Directorate of the Environment </w:t>
            </w:r>
          </w:p>
        </w:tc>
      </w:tr>
      <w:tr w:rsidR="003646F2" w:rsidRPr="005516CD" w14:paraId="496BD02A" w14:textId="77777777" w:rsidTr="000C683F">
        <w:trPr>
          <w:trHeight w:val="110"/>
        </w:trPr>
        <w:tc>
          <w:tcPr>
            <w:tcW w:w="2230" w:type="dxa"/>
          </w:tcPr>
          <w:p w14:paraId="57A77883"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DDA </w:t>
            </w:r>
          </w:p>
        </w:tc>
        <w:tc>
          <w:tcPr>
            <w:tcW w:w="6804" w:type="dxa"/>
          </w:tcPr>
          <w:p w14:paraId="4EC7288F"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Departmental Directorate of Agriculture </w:t>
            </w:r>
          </w:p>
        </w:tc>
      </w:tr>
      <w:tr w:rsidR="003646F2" w:rsidRPr="005516CD" w14:paraId="4B99AB8F" w14:textId="77777777" w:rsidTr="000C683F">
        <w:trPr>
          <w:trHeight w:val="110"/>
        </w:trPr>
        <w:tc>
          <w:tcPr>
            <w:tcW w:w="2230" w:type="dxa"/>
          </w:tcPr>
          <w:p w14:paraId="481DA968"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DBD </w:t>
            </w:r>
          </w:p>
        </w:tc>
        <w:tc>
          <w:tcPr>
            <w:tcW w:w="6804" w:type="dxa"/>
          </w:tcPr>
          <w:p w14:paraId="34F8E5EE"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Biodiversity Department </w:t>
            </w:r>
          </w:p>
        </w:tc>
      </w:tr>
      <w:tr w:rsidR="003646F2" w:rsidRPr="005516CD" w14:paraId="438833BF" w14:textId="77777777" w:rsidTr="000C683F">
        <w:trPr>
          <w:trHeight w:val="110"/>
        </w:trPr>
        <w:tc>
          <w:tcPr>
            <w:tcW w:w="2230" w:type="dxa"/>
          </w:tcPr>
          <w:p w14:paraId="61576D75"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FAMV </w:t>
            </w:r>
          </w:p>
        </w:tc>
        <w:tc>
          <w:tcPr>
            <w:tcW w:w="6804" w:type="dxa"/>
          </w:tcPr>
          <w:p w14:paraId="720EF98B" w14:textId="77777777" w:rsidR="003646F2" w:rsidRPr="005516CD" w:rsidRDefault="003646F2" w:rsidP="000C683F">
            <w:pPr>
              <w:autoSpaceDE w:val="0"/>
              <w:autoSpaceDN w:val="0"/>
              <w:adjustRightInd w:val="0"/>
              <w:rPr>
                <w:rFonts w:asciiTheme="majorHAnsi" w:hAnsiTheme="majorHAnsi" w:cstheme="majorHAnsi"/>
                <w:color w:val="000000"/>
                <w:sz w:val="22"/>
                <w:szCs w:val="22"/>
              </w:rPr>
            </w:pPr>
            <w:r w:rsidRPr="005516CD">
              <w:rPr>
                <w:rFonts w:asciiTheme="majorHAnsi" w:hAnsiTheme="majorHAnsi" w:cstheme="majorHAnsi"/>
                <w:color w:val="000000"/>
                <w:sz w:val="22"/>
                <w:szCs w:val="22"/>
              </w:rPr>
              <w:t xml:space="preserve">Faculty of Agronomy and Veterinary Medicine </w:t>
            </w:r>
          </w:p>
        </w:tc>
      </w:tr>
    </w:tbl>
    <w:p w14:paraId="5B35EFBD" w14:textId="77777777" w:rsidR="003646F2" w:rsidRPr="005516CD" w:rsidRDefault="003646F2" w:rsidP="003646F2">
      <w:pPr>
        <w:autoSpaceDE w:val="0"/>
        <w:autoSpaceDN w:val="0"/>
        <w:adjustRightInd w:val="0"/>
        <w:spacing w:after="120"/>
        <w:jc w:val="both"/>
      </w:pPr>
    </w:p>
    <w:p w14:paraId="3F3B1F32" w14:textId="77777777" w:rsidR="00AE2885" w:rsidRPr="005516CD" w:rsidRDefault="00AE2885">
      <w:pPr>
        <w:pBdr>
          <w:top w:val="nil"/>
          <w:left w:val="nil"/>
          <w:bottom w:val="nil"/>
          <w:right w:val="nil"/>
          <w:between w:val="nil"/>
          <w:bar w:val="nil"/>
        </w:pBdr>
        <w:rPr>
          <w:rFonts w:asciiTheme="majorHAnsi" w:eastAsia="Arial" w:hAnsiTheme="majorHAnsi" w:cstheme="majorHAnsi"/>
          <w:b/>
          <w:color w:val="000000"/>
          <w:sz w:val="22"/>
          <w:szCs w:val="22"/>
          <w:u w:color="000000"/>
          <w:bdr w:val="nil"/>
          <w:lang w:val="en-US"/>
        </w:rPr>
      </w:pPr>
      <w:r w:rsidRPr="005516CD">
        <w:rPr>
          <w:rFonts w:asciiTheme="majorHAnsi" w:hAnsiTheme="majorHAnsi" w:cstheme="majorHAnsi"/>
          <w:b/>
          <w:sz w:val="22"/>
          <w:szCs w:val="22"/>
        </w:rPr>
        <w:br w:type="page"/>
      </w:r>
    </w:p>
    <w:p w14:paraId="5A288C77" w14:textId="77777777" w:rsidR="00C25FA5" w:rsidRPr="005516CD" w:rsidRDefault="00AE2885" w:rsidP="00AE2885">
      <w:pPr>
        <w:pStyle w:val="Default"/>
        <w:spacing w:after="120"/>
        <w:rPr>
          <w:rFonts w:asciiTheme="majorHAnsi" w:hAnsiTheme="majorHAnsi" w:cstheme="majorHAnsi"/>
          <w:b/>
          <w:sz w:val="22"/>
          <w:szCs w:val="22"/>
        </w:rPr>
      </w:pPr>
      <w:r w:rsidRPr="005516CD">
        <w:rPr>
          <w:rFonts w:asciiTheme="majorHAnsi" w:hAnsiTheme="majorHAnsi" w:cstheme="majorHAnsi"/>
          <w:b/>
          <w:sz w:val="22"/>
          <w:szCs w:val="22"/>
        </w:rPr>
        <w:t>Register of participation in stakeholder consultations</w:t>
      </w:r>
    </w:p>
    <w:p w14:paraId="60A1A01F" w14:textId="77777777" w:rsidR="00AE2885" w:rsidRPr="005516CD" w:rsidRDefault="00AE2885" w:rsidP="00FB5829">
      <w:pPr>
        <w:pStyle w:val="Default"/>
        <w:numPr>
          <w:ilvl w:val="4"/>
          <w:numId w:val="63"/>
        </w:numPr>
        <w:spacing w:before="240"/>
        <w:ind w:left="425" w:hanging="357"/>
        <w:rPr>
          <w:rFonts w:asciiTheme="majorHAnsi" w:hAnsiTheme="majorHAnsi" w:cstheme="majorHAnsi"/>
          <w:b/>
          <w:sz w:val="22"/>
          <w:szCs w:val="22"/>
        </w:rPr>
      </w:pPr>
      <w:r w:rsidRPr="005516CD">
        <w:rPr>
          <w:rFonts w:asciiTheme="majorHAnsi" w:hAnsiTheme="majorHAnsi" w:cstheme="majorHAnsi"/>
          <w:b/>
          <w:sz w:val="22"/>
          <w:szCs w:val="22"/>
        </w:rPr>
        <w:t xml:space="preserve">Chemonics, Cap </w:t>
      </w:r>
      <w:proofErr w:type="spellStart"/>
      <w:r w:rsidRPr="005516CD">
        <w:rPr>
          <w:rFonts w:asciiTheme="majorHAnsi" w:hAnsiTheme="majorHAnsi" w:cstheme="majorHAnsi"/>
          <w:b/>
          <w:sz w:val="22"/>
          <w:szCs w:val="22"/>
        </w:rPr>
        <w:t>Haitien</w:t>
      </w:r>
      <w:proofErr w:type="spellEnd"/>
      <w:r w:rsidRPr="005516CD">
        <w:rPr>
          <w:rFonts w:asciiTheme="majorHAnsi" w:hAnsiTheme="majorHAnsi" w:cstheme="majorHAnsi"/>
          <w:b/>
          <w:sz w:val="22"/>
          <w:szCs w:val="22"/>
        </w:rPr>
        <w:t>, 19/4/2018</w:t>
      </w:r>
    </w:p>
    <w:p w14:paraId="3388BEDF" w14:textId="77777777" w:rsidR="00AE2885" w:rsidRPr="005516CD" w:rsidRDefault="00AE2885" w:rsidP="00AE2885">
      <w:pPr>
        <w:pStyle w:val="Heading3"/>
        <w:keepNext w:val="0"/>
        <w:widowControl/>
        <w:pBdr>
          <w:top w:val="none" w:sz="0" w:space="0" w:color="auto"/>
          <w:left w:val="none" w:sz="0" w:space="0" w:color="auto"/>
          <w:bottom w:val="none" w:sz="0" w:space="0" w:color="auto"/>
          <w:right w:val="none" w:sz="0" w:space="0" w:color="auto"/>
          <w:between w:val="none" w:sz="0" w:space="0" w:color="auto"/>
          <w:bar w:val="none" w:sz="0" w:color="auto"/>
        </w:pBdr>
        <w:tabs>
          <w:tab w:val="clear" w:pos="2160"/>
          <w:tab w:val="clear" w:pos="9360"/>
        </w:tabs>
        <w:spacing w:before="120" w:after="120"/>
        <w:rPr>
          <w:rFonts w:asciiTheme="majorHAnsi" w:hAnsiTheme="majorHAnsi" w:cstheme="majorHAnsi"/>
        </w:rPr>
      </w:pPr>
      <w:bookmarkStart w:id="450" w:name="_Toc7438832"/>
      <w:bookmarkStart w:id="451" w:name="_Toc7535503"/>
      <w:bookmarkStart w:id="452" w:name="_Toc8916521"/>
      <w:bookmarkStart w:id="453" w:name="_Toc8933118"/>
      <w:r w:rsidRPr="005516CD">
        <w:rPr>
          <w:rFonts w:asciiTheme="majorHAnsi" w:hAnsiTheme="majorHAnsi" w:cstheme="majorHAnsi"/>
          <w:noProof/>
        </w:rPr>
        <w:drawing>
          <wp:inline distT="0" distB="0" distL="0" distR="0" wp14:anchorId="6221F875" wp14:editId="4C459012">
            <wp:extent cx="5943600" cy="2224405"/>
            <wp:effectExtent l="0" t="0" r="0" b="444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943600" cy="2224405"/>
                    </a:xfrm>
                    <a:prstGeom prst="rect">
                      <a:avLst/>
                    </a:prstGeom>
                    <a:noFill/>
                    <a:ln>
                      <a:noFill/>
                    </a:ln>
                  </pic:spPr>
                </pic:pic>
              </a:graphicData>
            </a:graphic>
          </wp:inline>
        </w:drawing>
      </w:r>
      <w:bookmarkEnd w:id="450"/>
      <w:bookmarkEnd w:id="451"/>
      <w:bookmarkEnd w:id="452"/>
      <w:bookmarkEnd w:id="453"/>
    </w:p>
    <w:p w14:paraId="200F4349" w14:textId="77777777" w:rsidR="00AE2885" w:rsidRPr="005516CD" w:rsidRDefault="00AE2885" w:rsidP="00FB5829">
      <w:pPr>
        <w:pStyle w:val="Default"/>
        <w:numPr>
          <w:ilvl w:val="4"/>
          <w:numId w:val="63"/>
        </w:numPr>
        <w:spacing w:before="240"/>
        <w:ind w:left="425" w:hanging="357"/>
        <w:rPr>
          <w:rFonts w:asciiTheme="majorHAnsi" w:hAnsiTheme="majorHAnsi" w:cstheme="majorHAnsi"/>
          <w:sz w:val="22"/>
          <w:szCs w:val="22"/>
        </w:rPr>
      </w:pPr>
      <w:r w:rsidRPr="005516CD">
        <w:rPr>
          <w:rFonts w:asciiTheme="majorHAnsi" w:hAnsiTheme="majorHAnsi" w:cstheme="majorHAnsi"/>
          <w:b/>
          <w:sz w:val="22"/>
          <w:szCs w:val="22"/>
        </w:rPr>
        <w:t>North Department Office of the Ministry of Environment, 19/4/2018</w:t>
      </w:r>
    </w:p>
    <w:p w14:paraId="04950BEF" w14:textId="77777777" w:rsidR="00C25FA5" w:rsidRPr="005516CD" w:rsidRDefault="00AE2885" w:rsidP="00AE2885">
      <w:pPr>
        <w:pStyle w:val="Default"/>
        <w:spacing w:after="120"/>
        <w:ind w:left="66"/>
        <w:rPr>
          <w:rFonts w:asciiTheme="majorHAnsi" w:hAnsiTheme="majorHAnsi" w:cstheme="majorHAnsi"/>
        </w:rPr>
      </w:pPr>
      <w:r w:rsidRPr="005516CD">
        <w:rPr>
          <w:rFonts w:asciiTheme="majorHAnsi" w:hAnsiTheme="majorHAnsi" w:cstheme="majorHAnsi"/>
          <w:b/>
          <w:noProof/>
          <w:sz w:val="22"/>
          <w:szCs w:val="22"/>
        </w:rPr>
        <w:drawing>
          <wp:inline distT="0" distB="0" distL="0" distR="0" wp14:anchorId="23B4EE23" wp14:editId="6F208842">
            <wp:extent cx="5943600" cy="215519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943600" cy="2155190"/>
                    </a:xfrm>
                    <a:prstGeom prst="rect">
                      <a:avLst/>
                    </a:prstGeom>
                    <a:noFill/>
                    <a:ln>
                      <a:noFill/>
                    </a:ln>
                  </pic:spPr>
                </pic:pic>
              </a:graphicData>
            </a:graphic>
          </wp:inline>
        </w:drawing>
      </w:r>
    </w:p>
    <w:p w14:paraId="64F77D14" w14:textId="77777777" w:rsidR="00AE2885" w:rsidRPr="005516CD" w:rsidRDefault="00AE2885" w:rsidP="00FB5829">
      <w:pPr>
        <w:pStyle w:val="Default"/>
        <w:keepNext/>
        <w:numPr>
          <w:ilvl w:val="4"/>
          <w:numId w:val="63"/>
        </w:numPr>
        <w:spacing w:before="240"/>
        <w:ind w:left="425" w:hanging="357"/>
        <w:rPr>
          <w:rFonts w:asciiTheme="majorHAnsi" w:hAnsiTheme="majorHAnsi" w:cstheme="majorHAnsi"/>
          <w:sz w:val="22"/>
          <w:szCs w:val="22"/>
        </w:rPr>
      </w:pPr>
      <w:r w:rsidRPr="005516CD">
        <w:rPr>
          <w:rFonts w:asciiTheme="majorHAnsi" w:hAnsiTheme="majorHAnsi" w:cstheme="majorHAnsi"/>
          <w:b/>
          <w:sz w:val="22"/>
          <w:szCs w:val="22"/>
        </w:rPr>
        <w:t xml:space="preserve">Novella cocoa trading company, Cap </w:t>
      </w:r>
      <w:proofErr w:type="spellStart"/>
      <w:r w:rsidRPr="005516CD">
        <w:rPr>
          <w:rFonts w:asciiTheme="majorHAnsi" w:hAnsiTheme="majorHAnsi" w:cstheme="majorHAnsi"/>
          <w:b/>
          <w:sz w:val="22"/>
          <w:szCs w:val="22"/>
        </w:rPr>
        <w:t>Haitien</w:t>
      </w:r>
      <w:proofErr w:type="spellEnd"/>
      <w:r w:rsidRPr="005516CD">
        <w:rPr>
          <w:rFonts w:asciiTheme="majorHAnsi" w:hAnsiTheme="majorHAnsi" w:cstheme="majorHAnsi"/>
          <w:b/>
          <w:sz w:val="22"/>
          <w:szCs w:val="22"/>
        </w:rPr>
        <w:t xml:space="preserve">, 20/4/2019 </w:t>
      </w:r>
    </w:p>
    <w:p w14:paraId="05865D62" w14:textId="77777777" w:rsidR="00980FF9" w:rsidRPr="005516CD" w:rsidRDefault="00AE2885" w:rsidP="00AE2885">
      <w:pPr>
        <w:pStyle w:val="Body"/>
      </w:pPr>
      <w:r w:rsidRPr="005516CD">
        <w:rPr>
          <w:noProof/>
        </w:rPr>
        <w:drawing>
          <wp:inline distT="0" distB="0" distL="0" distR="0" wp14:anchorId="4E183A1F" wp14:editId="127A91B4">
            <wp:extent cx="5943600" cy="189103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943600" cy="1891030"/>
                    </a:xfrm>
                    <a:prstGeom prst="rect">
                      <a:avLst/>
                    </a:prstGeom>
                    <a:noFill/>
                    <a:ln>
                      <a:noFill/>
                    </a:ln>
                  </pic:spPr>
                </pic:pic>
              </a:graphicData>
            </a:graphic>
          </wp:inline>
        </w:drawing>
      </w:r>
    </w:p>
    <w:p w14:paraId="0EB92869" w14:textId="77777777" w:rsidR="00980FF9" w:rsidRPr="005516CD" w:rsidRDefault="00980FF9" w:rsidP="00FB5829">
      <w:pPr>
        <w:pStyle w:val="Default"/>
        <w:keepNext/>
        <w:numPr>
          <w:ilvl w:val="4"/>
          <w:numId w:val="63"/>
        </w:numPr>
        <w:spacing w:before="240"/>
        <w:ind w:left="425" w:hanging="357"/>
        <w:rPr>
          <w:rFonts w:asciiTheme="majorHAnsi" w:hAnsiTheme="majorHAnsi" w:cstheme="majorHAnsi"/>
          <w:b/>
          <w:sz w:val="22"/>
          <w:szCs w:val="22"/>
        </w:rPr>
      </w:pPr>
      <w:r w:rsidRPr="005516CD">
        <w:rPr>
          <w:rFonts w:asciiTheme="majorHAnsi" w:hAnsiTheme="majorHAnsi" w:cstheme="majorHAnsi"/>
          <w:b/>
          <w:sz w:val="22"/>
          <w:szCs w:val="22"/>
        </w:rPr>
        <w:t>Ministry of Environment meeting, Port-au-Prince, 24/4/2018</w:t>
      </w:r>
    </w:p>
    <w:p w14:paraId="704FF346" w14:textId="77777777" w:rsidR="00AE2885" w:rsidRPr="005516CD" w:rsidRDefault="00980FF9" w:rsidP="00AE2885">
      <w:pPr>
        <w:pStyle w:val="Body"/>
      </w:pPr>
      <w:r w:rsidRPr="005516CD">
        <w:rPr>
          <w:noProof/>
        </w:rPr>
        <w:drawing>
          <wp:inline distT="0" distB="0" distL="0" distR="0" wp14:anchorId="03346316" wp14:editId="0BC9FB6B">
            <wp:extent cx="5819257" cy="2674620"/>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821984" cy="2675873"/>
                    </a:xfrm>
                    <a:prstGeom prst="rect">
                      <a:avLst/>
                    </a:prstGeom>
                    <a:noFill/>
                    <a:ln>
                      <a:noFill/>
                    </a:ln>
                  </pic:spPr>
                </pic:pic>
              </a:graphicData>
            </a:graphic>
          </wp:inline>
        </w:drawing>
      </w:r>
      <w:r w:rsidRPr="005516CD">
        <w:rPr>
          <w:noProof/>
        </w:rPr>
        <w:drawing>
          <wp:inline distT="0" distB="0" distL="0" distR="0" wp14:anchorId="5EBEE2BB" wp14:editId="5C0D0CDE">
            <wp:extent cx="5943600" cy="2646045"/>
            <wp:effectExtent l="0" t="0" r="0" b="190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43600" cy="2646045"/>
                    </a:xfrm>
                    <a:prstGeom prst="rect">
                      <a:avLst/>
                    </a:prstGeom>
                    <a:noFill/>
                    <a:ln>
                      <a:noFill/>
                    </a:ln>
                  </pic:spPr>
                </pic:pic>
              </a:graphicData>
            </a:graphic>
          </wp:inline>
        </w:drawing>
      </w:r>
    </w:p>
    <w:p w14:paraId="4634A7EF" w14:textId="77777777" w:rsidR="00AE2885" w:rsidRPr="005516CD" w:rsidRDefault="00AE2885" w:rsidP="00FB5829">
      <w:pPr>
        <w:pStyle w:val="Default"/>
        <w:keepNext/>
        <w:numPr>
          <w:ilvl w:val="4"/>
          <w:numId w:val="63"/>
        </w:numPr>
        <w:spacing w:before="240" w:after="120"/>
        <w:ind w:left="425" w:hanging="357"/>
        <w:rPr>
          <w:rFonts w:asciiTheme="majorHAnsi" w:hAnsiTheme="majorHAnsi" w:cstheme="majorHAnsi"/>
          <w:b/>
          <w:sz w:val="22"/>
          <w:szCs w:val="22"/>
        </w:rPr>
      </w:pPr>
      <w:r w:rsidRPr="005516CD">
        <w:rPr>
          <w:rFonts w:asciiTheme="majorHAnsi" w:hAnsiTheme="majorHAnsi" w:cstheme="majorHAnsi"/>
          <w:b/>
          <w:sz w:val="22"/>
          <w:szCs w:val="22"/>
        </w:rPr>
        <w:t>PPG Inception workshop, Hotel Montana, Port-au-Prince, 16/05/2018</w:t>
      </w:r>
    </w:p>
    <w:p w14:paraId="6D1B5E0E" w14:textId="77777777" w:rsidR="00AE2885" w:rsidRPr="005516CD" w:rsidRDefault="00AE2885" w:rsidP="00AE2885">
      <w:pPr>
        <w:pStyle w:val="Body"/>
      </w:pPr>
      <w:r w:rsidRPr="005516CD">
        <w:rPr>
          <w:noProof/>
        </w:rPr>
        <w:drawing>
          <wp:inline distT="0" distB="0" distL="0" distR="0" wp14:anchorId="7BB3959C" wp14:editId="337F7044">
            <wp:extent cx="5943600" cy="2601595"/>
            <wp:effectExtent l="0" t="0" r="0" b="8255"/>
            <wp:docPr id="1073741831" name="Picture 1073741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943600" cy="2601595"/>
                    </a:xfrm>
                    <a:prstGeom prst="rect">
                      <a:avLst/>
                    </a:prstGeom>
                    <a:noFill/>
                    <a:ln>
                      <a:noFill/>
                    </a:ln>
                  </pic:spPr>
                </pic:pic>
              </a:graphicData>
            </a:graphic>
          </wp:inline>
        </w:drawing>
      </w:r>
      <w:r w:rsidRPr="005516CD">
        <w:rPr>
          <w:noProof/>
        </w:rPr>
        <w:drawing>
          <wp:inline distT="0" distB="0" distL="0" distR="0" wp14:anchorId="3B02BE70" wp14:editId="7350B171">
            <wp:extent cx="5943600" cy="2273935"/>
            <wp:effectExtent l="0" t="0" r="0" b="0"/>
            <wp:docPr id="1073741852" name="Picture 1073741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943600" cy="2273935"/>
                    </a:xfrm>
                    <a:prstGeom prst="rect">
                      <a:avLst/>
                    </a:prstGeom>
                    <a:noFill/>
                    <a:ln>
                      <a:noFill/>
                    </a:ln>
                  </pic:spPr>
                </pic:pic>
              </a:graphicData>
            </a:graphic>
          </wp:inline>
        </w:drawing>
      </w:r>
    </w:p>
    <w:p w14:paraId="4DF41DF2" w14:textId="77777777" w:rsidR="00AE2885" w:rsidRPr="005516CD" w:rsidRDefault="00AE2885" w:rsidP="00AE2885">
      <w:pPr>
        <w:pStyle w:val="Default"/>
        <w:keepNext/>
        <w:numPr>
          <w:ilvl w:val="4"/>
          <w:numId w:val="63"/>
        </w:numPr>
        <w:spacing w:before="240" w:after="120"/>
        <w:ind w:left="425" w:hanging="357"/>
        <w:rPr>
          <w:rFonts w:asciiTheme="majorHAnsi" w:hAnsiTheme="majorHAnsi" w:cstheme="majorHAnsi"/>
          <w:b/>
          <w:sz w:val="22"/>
          <w:szCs w:val="22"/>
        </w:rPr>
      </w:pPr>
      <w:r w:rsidRPr="005516CD">
        <w:rPr>
          <w:rFonts w:asciiTheme="majorHAnsi" w:hAnsiTheme="majorHAnsi" w:cstheme="majorHAnsi"/>
          <w:b/>
          <w:sz w:val="22"/>
          <w:szCs w:val="22"/>
        </w:rPr>
        <w:t xml:space="preserve">GIZ, </w:t>
      </w:r>
      <w:proofErr w:type="spellStart"/>
      <w:r w:rsidRPr="005516CD">
        <w:rPr>
          <w:rFonts w:asciiTheme="majorHAnsi" w:hAnsiTheme="majorHAnsi" w:cstheme="majorHAnsi"/>
          <w:b/>
          <w:sz w:val="22"/>
          <w:szCs w:val="22"/>
        </w:rPr>
        <w:t>Thiotte</w:t>
      </w:r>
      <w:proofErr w:type="spellEnd"/>
      <w:r w:rsidRPr="005516CD">
        <w:rPr>
          <w:rFonts w:asciiTheme="majorHAnsi" w:hAnsiTheme="majorHAnsi" w:cstheme="majorHAnsi"/>
          <w:b/>
          <w:sz w:val="22"/>
          <w:szCs w:val="22"/>
        </w:rPr>
        <w:t>, 17/05/2018</w:t>
      </w:r>
    </w:p>
    <w:p w14:paraId="292DA542" w14:textId="77777777" w:rsidR="00AE2885" w:rsidRPr="005516CD" w:rsidRDefault="00AE2885" w:rsidP="00FB5829">
      <w:pPr>
        <w:pStyle w:val="Default"/>
        <w:ind w:left="68"/>
        <w:rPr>
          <w:rFonts w:asciiTheme="majorHAnsi" w:hAnsiTheme="majorHAnsi" w:cstheme="majorHAnsi"/>
          <w:b/>
          <w:sz w:val="22"/>
          <w:szCs w:val="22"/>
        </w:rPr>
      </w:pPr>
      <w:r w:rsidRPr="005516CD">
        <w:rPr>
          <w:rFonts w:asciiTheme="majorHAnsi" w:hAnsiTheme="majorHAnsi" w:cstheme="majorHAnsi"/>
          <w:b/>
          <w:noProof/>
          <w:sz w:val="22"/>
          <w:szCs w:val="22"/>
        </w:rPr>
        <w:drawing>
          <wp:inline distT="0" distB="0" distL="0" distR="0" wp14:anchorId="79B42552" wp14:editId="0F08C2F0">
            <wp:extent cx="5448300" cy="2042530"/>
            <wp:effectExtent l="0" t="0" r="0" b="0"/>
            <wp:docPr id="1073741853" name="Picture 10737418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449599" cy="2043017"/>
                    </a:xfrm>
                    <a:prstGeom prst="rect">
                      <a:avLst/>
                    </a:prstGeom>
                    <a:noFill/>
                    <a:ln>
                      <a:noFill/>
                    </a:ln>
                  </pic:spPr>
                </pic:pic>
              </a:graphicData>
            </a:graphic>
          </wp:inline>
        </w:drawing>
      </w:r>
    </w:p>
    <w:p w14:paraId="57298E5F" w14:textId="77777777" w:rsidR="007B437A" w:rsidRPr="005516CD" w:rsidRDefault="007B437A" w:rsidP="00FB5829">
      <w:pPr>
        <w:pStyle w:val="Default"/>
        <w:keepNext/>
        <w:numPr>
          <w:ilvl w:val="4"/>
          <w:numId w:val="63"/>
        </w:numPr>
        <w:spacing w:before="240"/>
        <w:ind w:left="425" w:hanging="357"/>
        <w:rPr>
          <w:rFonts w:asciiTheme="majorHAnsi" w:hAnsiTheme="majorHAnsi" w:cstheme="majorHAnsi"/>
          <w:b/>
          <w:sz w:val="22"/>
          <w:szCs w:val="22"/>
        </w:rPr>
      </w:pPr>
      <w:r w:rsidRPr="005516CD">
        <w:rPr>
          <w:rFonts w:asciiTheme="majorHAnsi" w:hAnsiTheme="majorHAnsi" w:cstheme="majorHAnsi"/>
          <w:b/>
          <w:sz w:val="22"/>
          <w:szCs w:val="22"/>
        </w:rPr>
        <w:t>COOPCAB, 17/5/2019</w:t>
      </w:r>
    </w:p>
    <w:p w14:paraId="7047B198" w14:textId="77777777" w:rsidR="007B437A" w:rsidRPr="005516CD" w:rsidRDefault="007B437A" w:rsidP="007B437A">
      <w:pPr>
        <w:pStyle w:val="Default"/>
        <w:rPr>
          <w:rFonts w:asciiTheme="majorHAnsi" w:hAnsiTheme="majorHAnsi" w:cstheme="majorHAnsi"/>
          <w:b/>
          <w:sz w:val="22"/>
          <w:szCs w:val="22"/>
        </w:rPr>
      </w:pPr>
      <w:r w:rsidRPr="005516CD">
        <w:rPr>
          <w:rFonts w:asciiTheme="majorHAnsi" w:hAnsiTheme="majorHAnsi" w:cstheme="majorHAnsi"/>
          <w:b/>
          <w:noProof/>
          <w:sz w:val="22"/>
          <w:szCs w:val="22"/>
        </w:rPr>
        <w:drawing>
          <wp:inline distT="0" distB="0" distL="0" distR="0" wp14:anchorId="5E2B264F" wp14:editId="38699C96">
            <wp:extent cx="5943600" cy="1909445"/>
            <wp:effectExtent l="0" t="0" r="0" b="0"/>
            <wp:docPr id="1073741855" name="Picture 1073741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943600" cy="1909445"/>
                    </a:xfrm>
                    <a:prstGeom prst="rect">
                      <a:avLst/>
                    </a:prstGeom>
                    <a:noFill/>
                    <a:ln>
                      <a:noFill/>
                    </a:ln>
                  </pic:spPr>
                </pic:pic>
              </a:graphicData>
            </a:graphic>
          </wp:inline>
        </w:drawing>
      </w:r>
    </w:p>
    <w:p w14:paraId="09750151" w14:textId="77777777" w:rsidR="007B437A" w:rsidRPr="005516CD" w:rsidRDefault="007B437A" w:rsidP="00FB5829">
      <w:pPr>
        <w:pStyle w:val="Default"/>
        <w:keepNext/>
        <w:numPr>
          <w:ilvl w:val="4"/>
          <w:numId w:val="63"/>
        </w:numPr>
        <w:spacing w:before="240"/>
        <w:ind w:left="425" w:hanging="357"/>
        <w:rPr>
          <w:rFonts w:asciiTheme="majorHAnsi" w:hAnsiTheme="majorHAnsi" w:cstheme="majorHAnsi"/>
          <w:b/>
          <w:sz w:val="22"/>
          <w:szCs w:val="22"/>
        </w:rPr>
      </w:pPr>
      <w:r w:rsidRPr="005516CD">
        <w:rPr>
          <w:rFonts w:asciiTheme="majorHAnsi" w:hAnsiTheme="majorHAnsi" w:cstheme="majorHAnsi"/>
          <w:b/>
          <w:sz w:val="22"/>
          <w:szCs w:val="22"/>
        </w:rPr>
        <w:t xml:space="preserve">COPCAB </w:t>
      </w:r>
      <w:proofErr w:type="spellStart"/>
      <w:r w:rsidRPr="005516CD">
        <w:rPr>
          <w:rFonts w:asciiTheme="majorHAnsi" w:hAnsiTheme="majorHAnsi" w:cstheme="majorHAnsi"/>
          <w:b/>
          <w:sz w:val="22"/>
          <w:szCs w:val="22"/>
        </w:rPr>
        <w:t>Thiotte</w:t>
      </w:r>
      <w:proofErr w:type="spellEnd"/>
      <w:r w:rsidRPr="005516CD">
        <w:rPr>
          <w:rFonts w:asciiTheme="majorHAnsi" w:hAnsiTheme="majorHAnsi" w:cstheme="majorHAnsi"/>
          <w:b/>
          <w:sz w:val="22"/>
          <w:szCs w:val="22"/>
        </w:rPr>
        <w:t>, 17/5/2018</w:t>
      </w:r>
    </w:p>
    <w:p w14:paraId="68C045E2" w14:textId="77777777" w:rsidR="007B437A" w:rsidRPr="005516CD" w:rsidRDefault="007B437A" w:rsidP="007B437A">
      <w:pPr>
        <w:pStyle w:val="Default"/>
        <w:rPr>
          <w:rFonts w:asciiTheme="majorHAnsi" w:hAnsiTheme="majorHAnsi" w:cstheme="majorHAnsi"/>
          <w:b/>
          <w:sz w:val="22"/>
          <w:szCs w:val="22"/>
        </w:rPr>
      </w:pPr>
      <w:r w:rsidRPr="005516CD">
        <w:rPr>
          <w:rFonts w:asciiTheme="majorHAnsi" w:hAnsiTheme="majorHAnsi" w:cstheme="majorHAnsi"/>
          <w:b/>
          <w:noProof/>
          <w:sz w:val="22"/>
          <w:szCs w:val="22"/>
        </w:rPr>
        <w:drawing>
          <wp:inline distT="0" distB="0" distL="0" distR="0" wp14:anchorId="46A8F1F2" wp14:editId="5A56A761">
            <wp:extent cx="5943600" cy="2574290"/>
            <wp:effectExtent l="0" t="0" r="0" b="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5943600" cy="2574290"/>
                    </a:xfrm>
                    <a:prstGeom prst="rect">
                      <a:avLst/>
                    </a:prstGeom>
                    <a:noFill/>
                    <a:ln>
                      <a:noFill/>
                    </a:ln>
                  </pic:spPr>
                </pic:pic>
              </a:graphicData>
            </a:graphic>
          </wp:inline>
        </w:drawing>
      </w:r>
    </w:p>
    <w:p w14:paraId="3345D78D" w14:textId="77777777" w:rsidR="007B437A" w:rsidRPr="005516CD" w:rsidRDefault="007B437A" w:rsidP="00FB5829">
      <w:pPr>
        <w:pStyle w:val="Default"/>
        <w:keepNext/>
        <w:numPr>
          <w:ilvl w:val="4"/>
          <w:numId w:val="63"/>
        </w:numPr>
        <w:spacing w:before="240"/>
        <w:ind w:left="425" w:hanging="357"/>
        <w:rPr>
          <w:rFonts w:asciiTheme="majorHAnsi" w:hAnsiTheme="majorHAnsi" w:cstheme="majorHAnsi"/>
          <w:b/>
          <w:sz w:val="22"/>
          <w:szCs w:val="22"/>
        </w:rPr>
      </w:pPr>
      <w:proofErr w:type="spellStart"/>
      <w:r w:rsidRPr="005516CD">
        <w:rPr>
          <w:rFonts w:asciiTheme="majorHAnsi" w:hAnsiTheme="majorHAnsi" w:cstheme="majorHAnsi"/>
          <w:b/>
          <w:sz w:val="22"/>
          <w:szCs w:val="22"/>
        </w:rPr>
        <w:t>Organizasyon</w:t>
      </w:r>
      <w:proofErr w:type="spellEnd"/>
      <w:r w:rsidRPr="005516CD">
        <w:rPr>
          <w:rFonts w:asciiTheme="majorHAnsi" w:hAnsiTheme="majorHAnsi" w:cstheme="majorHAnsi"/>
          <w:b/>
          <w:sz w:val="22"/>
          <w:szCs w:val="22"/>
        </w:rPr>
        <w:t xml:space="preserve"> </w:t>
      </w:r>
      <w:proofErr w:type="spellStart"/>
      <w:r w:rsidRPr="005516CD">
        <w:rPr>
          <w:rFonts w:asciiTheme="majorHAnsi" w:hAnsiTheme="majorHAnsi" w:cstheme="majorHAnsi"/>
          <w:b/>
          <w:sz w:val="22"/>
          <w:szCs w:val="22"/>
        </w:rPr>
        <w:t>Fanm</w:t>
      </w:r>
      <w:proofErr w:type="spellEnd"/>
      <w:r w:rsidRPr="005516CD">
        <w:rPr>
          <w:rFonts w:asciiTheme="majorHAnsi" w:hAnsiTheme="majorHAnsi" w:cstheme="majorHAnsi"/>
          <w:b/>
          <w:sz w:val="22"/>
          <w:szCs w:val="22"/>
        </w:rPr>
        <w:t xml:space="preserve"> </w:t>
      </w:r>
      <w:proofErr w:type="spellStart"/>
      <w:r w:rsidRPr="005516CD">
        <w:rPr>
          <w:rFonts w:asciiTheme="majorHAnsi" w:hAnsiTheme="majorHAnsi" w:cstheme="majorHAnsi"/>
          <w:b/>
          <w:sz w:val="22"/>
          <w:szCs w:val="22"/>
        </w:rPr>
        <w:t>Konsekan</w:t>
      </w:r>
      <w:proofErr w:type="spellEnd"/>
      <w:r w:rsidRPr="005516CD">
        <w:rPr>
          <w:rFonts w:asciiTheme="majorHAnsi" w:hAnsiTheme="majorHAnsi" w:cstheme="majorHAnsi"/>
          <w:b/>
          <w:sz w:val="22"/>
          <w:szCs w:val="22"/>
        </w:rPr>
        <w:t xml:space="preserve"> </w:t>
      </w:r>
      <w:proofErr w:type="spellStart"/>
      <w:r w:rsidRPr="005516CD">
        <w:rPr>
          <w:rFonts w:asciiTheme="majorHAnsi" w:hAnsiTheme="majorHAnsi" w:cstheme="majorHAnsi"/>
          <w:b/>
          <w:sz w:val="22"/>
          <w:szCs w:val="22"/>
        </w:rPr>
        <w:t>Mapon</w:t>
      </w:r>
      <w:proofErr w:type="spellEnd"/>
      <w:r w:rsidRPr="005516CD">
        <w:rPr>
          <w:rFonts w:asciiTheme="majorHAnsi" w:hAnsiTheme="majorHAnsi" w:cstheme="majorHAnsi"/>
          <w:b/>
          <w:sz w:val="22"/>
          <w:szCs w:val="22"/>
        </w:rPr>
        <w:t xml:space="preserve">, Belle </w:t>
      </w:r>
      <w:proofErr w:type="spellStart"/>
      <w:r w:rsidRPr="005516CD">
        <w:rPr>
          <w:rFonts w:asciiTheme="majorHAnsi" w:hAnsiTheme="majorHAnsi" w:cstheme="majorHAnsi"/>
          <w:b/>
          <w:sz w:val="22"/>
          <w:szCs w:val="22"/>
        </w:rPr>
        <w:t>Anse</w:t>
      </w:r>
      <w:proofErr w:type="spellEnd"/>
      <w:r w:rsidRPr="005516CD">
        <w:rPr>
          <w:rFonts w:asciiTheme="majorHAnsi" w:hAnsiTheme="majorHAnsi" w:cstheme="majorHAnsi"/>
          <w:b/>
          <w:sz w:val="22"/>
          <w:szCs w:val="22"/>
        </w:rPr>
        <w:t xml:space="preserve"> (Women’s Organization) 18/5/2018</w:t>
      </w:r>
    </w:p>
    <w:p w14:paraId="196B1E02" w14:textId="77777777" w:rsidR="00980FF9" w:rsidRPr="005516CD" w:rsidRDefault="007B437A" w:rsidP="007B437A">
      <w:pPr>
        <w:pStyle w:val="Default"/>
        <w:rPr>
          <w:rFonts w:asciiTheme="majorHAnsi" w:hAnsiTheme="majorHAnsi" w:cstheme="majorHAnsi"/>
          <w:b/>
          <w:sz w:val="22"/>
          <w:szCs w:val="22"/>
        </w:rPr>
      </w:pPr>
      <w:r w:rsidRPr="005516CD">
        <w:rPr>
          <w:rFonts w:asciiTheme="majorHAnsi" w:hAnsiTheme="majorHAnsi" w:cstheme="majorHAnsi"/>
          <w:b/>
          <w:noProof/>
          <w:sz w:val="22"/>
          <w:szCs w:val="22"/>
        </w:rPr>
        <w:drawing>
          <wp:inline distT="0" distB="0" distL="0" distR="0" wp14:anchorId="4960259B" wp14:editId="088F7E55">
            <wp:extent cx="5890260" cy="2768296"/>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897693" cy="2771789"/>
                    </a:xfrm>
                    <a:prstGeom prst="rect">
                      <a:avLst/>
                    </a:prstGeom>
                    <a:noFill/>
                    <a:ln>
                      <a:noFill/>
                    </a:ln>
                  </pic:spPr>
                </pic:pic>
              </a:graphicData>
            </a:graphic>
          </wp:inline>
        </w:drawing>
      </w:r>
    </w:p>
    <w:p w14:paraId="3D6AE7C7" w14:textId="77777777" w:rsidR="00980FF9" w:rsidRPr="005516CD" w:rsidRDefault="00980FF9" w:rsidP="00FB5829">
      <w:pPr>
        <w:pStyle w:val="Default"/>
        <w:keepNext/>
        <w:numPr>
          <w:ilvl w:val="4"/>
          <w:numId w:val="63"/>
        </w:numPr>
        <w:spacing w:before="240"/>
        <w:ind w:left="425" w:hanging="357"/>
        <w:rPr>
          <w:rFonts w:asciiTheme="majorHAnsi" w:hAnsiTheme="majorHAnsi" w:cstheme="majorHAnsi"/>
          <w:b/>
          <w:sz w:val="22"/>
          <w:szCs w:val="22"/>
          <w:lang w:val="fr-FR"/>
        </w:rPr>
      </w:pPr>
      <w:r w:rsidRPr="005516CD">
        <w:rPr>
          <w:rFonts w:asciiTheme="majorHAnsi" w:hAnsiTheme="majorHAnsi" w:cstheme="majorHAnsi"/>
          <w:b/>
          <w:sz w:val="22"/>
          <w:szCs w:val="22"/>
          <w:lang w:val="fr-FR"/>
        </w:rPr>
        <w:t xml:space="preserve">Cacao </w:t>
      </w:r>
      <w:proofErr w:type="spellStart"/>
      <w:r w:rsidRPr="005516CD">
        <w:rPr>
          <w:rFonts w:asciiTheme="majorHAnsi" w:hAnsiTheme="majorHAnsi" w:cstheme="majorHAnsi"/>
          <w:b/>
          <w:sz w:val="22"/>
          <w:szCs w:val="22"/>
          <w:lang w:val="fr-FR"/>
        </w:rPr>
        <w:t>Cooperative</w:t>
      </w:r>
      <w:proofErr w:type="spellEnd"/>
      <w:r w:rsidRPr="005516CD">
        <w:rPr>
          <w:rFonts w:asciiTheme="majorHAnsi" w:hAnsiTheme="majorHAnsi" w:cstheme="majorHAnsi"/>
          <w:b/>
          <w:sz w:val="22"/>
          <w:szCs w:val="22"/>
          <w:lang w:val="fr-FR"/>
        </w:rPr>
        <w:t>, Grande Rivière du Nord, 7/8/2018</w:t>
      </w:r>
    </w:p>
    <w:p w14:paraId="494A87D9" w14:textId="77777777" w:rsidR="00AE2885" w:rsidRPr="005516CD" w:rsidRDefault="00980FF9" w:rsidP="007B437A">
      <w:pPr>
        <w:pStyle w:val="Default"/>
        <w:rPr>
          <w:rFonts w:asciiTheme="majorHAnsi" w:hAnsiTheme="majorHAnsi" w:cstheme="majorHAnsi"/>
          <w:b/>
          <w:sz w:val="22"/>
          <w:szCs w:val="22"/>
        </w:rPr>
      </w:pPr>
      <w:r w:rsidRPr="005516CD">
        <w:rPr>
          <w:rFonts w:asciiTheme="majorHAnsi" w:hAnsiTheme="majorHAnsi" w:cstheme="majorHAnsi"/>
          <w:b/>
          <w:noProof/>
          <w:sz w:val="22"/>
          <w:szCs w:val="22"/>
        </w:rPr>
        <w:drawing>
          <wp:inline distT="0" distB="0" distL="0" distR="0" wp14:anchorId="03EE4040" wp14:editId="662381A8">
            <wp:extent cx="5943600" cy="2224405"/>
            <wp:effectExtent l="0" t="0" r="0" b="444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943600" cy="2224405"/>
                    </a:xfrm>
                    <a:prstGeom prst="rect">
                      <a:avLst/>
                    </a:prstGeom>
                    <a:noFill/>
                    <a:ln>
                      <a:noFill/>
                    </a:ln>
                  </pic:spPr>
                </pic:pic>
              </a:graphicData>
            </a:graphic>
          </wp:inline>
        </w:drawing>
      </w:r>
    </w:p>
    <w:p w14:paraId="4B4A5F68" w14:textId="77777777" w:rsidR="00980FF9" w:rsidRPr="005516CD" w:rsidRDefault="00980FF9" w:rsidP="00FB5829">
      <w:pPr>
        <w:pStyle w:val="Default"/>
        <w:keepNext/>
        <w:numPr>
          <w:ilvl w:val="4"/>
          <w:numId w:val="63"/>
        </w:numPr>
        <w:spacing w:before="240"/>
        <w:ind w:left="425" w:hanging="357"/>
        <w:rPr>
          <w:rFonts w:asciiTheme="majorHAnsi" w:hAnsiTheme="majorHAnsi" w:cstheme="majorHAnsi"/>
          <w:b/>
          <w:sz w:val="22"/>
          <w:szCs w:val="22"/>
        </w:rPr>
      </w:pPr>
      <w:r w:rsidRPr="005516CD">
        <w:rPr>
          <w:rFonts w:asciiTheme="majorHAnsi" w:hAnsiTheme="majorHAnsi" w:cstheme="majorHAnsi"/>
          <w:b/>
          <w:sz w:val="22"/>
          <w:szCs w:val="22"/>
        </w:rPr>
        <w:t xml:space="preserve">Consultation workshop, </w:t>
      </w:r>
      <w:proofErr w:type="spellStart"/>
      <w:r w:rsidRPr="005516CD">
        <w:rPr>
          <w:rFonts w:asciiTheme="majorHAnsi" w:hAnsiTheme="majorHAnsi" w:cstheme="majorHAnsi"/>
          <w:b/>
          <w:sz w:val="22"/>
          <w:szCs w:val="22"/>
        </w:rPr>
        <w:t>Vallière</w:t>
      </w:r>
      <w:proofErr w:type="spellEnd"/>
      <w:r w:rsidR="00DA36AE" w:rsidRPr="005516CD">
        <w:rPr>
          <w:rFonts w:asciiTheme="majorHAnsi" w:hAnsiTheme="majorHAnsi" w:cstheme="majorHAnsi"/>
          <w:b/>
          <w:sz w:val="22"/>
          <w:szCs w:val="22"/>
        </w:rPr>
        <w:t>, 10/8/2018</w:t>
      </w:r>
    </w:p>
    <w:p w14:paraId="7F3AEEDF" w14:textId="77777777" w:rsidR="00980FF9" w:rsidRPr="005516CD" w:rsidRDefault="00980FF9" w:rsidP="007B437A">
      <w:pPr>
        <w:pStyle w:val="Default"/>
        <w:rPr>
          <w:rFonts w:asciiTheme="majorHAnsi" w:hAnsiTheme="majorHAnsi" w:cstheme="majorHAnsi"/>
          <w:b/>
          <w:sz w:val="22"/>
          <w:szCs w:val="22"/>
        </w:rPr>
      </w:pPr>
      <w:r w:rsidRPr="005516CD">
        <w:rPr>
          <w:rFonts w:asciiTheme="majorHAnsi" w:hAnsiTheme="majorHAnsi" w:cstheme="majorHAnsi"/>
          <w:b/>
          <w:noProof/>
          <w:sz w:val="22"/>
          <w:szCs w:val="22"/>
        </w:rPr>
        <w:drawing>
          <wp:inline distT="0" distB="0" distL="0" distR="0" wp14:anchorId="7B3202E3" wp14:editId="48A5BE24">
            <wp:extent cx="5943600" cy="2677795"/>
            <wp:effectExtent l="0" t="0" r="0" b="825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943600" cy="2677795"/>
                    </a:xfrm>
                    <a:prstGeom prst="rect">
                      <a:avLst/>
                    </a:prstGeom>
                    <a:noFill/>
                    <a:ln>
                      <a:noFill/>
                    </a:ln>
                  </pic:spPr>
                </pic:pic>
              </a:graphicData>
            </a:graphic>
          </wp:inline>
        </w:drawing>
      </w:r>
    </w:p>
    <w:p w14:paraId="12EAD5E7" w14:textId="77777777" w:rsidR="00DA36AE" w:rsidRPr="005516CD" w:rsidRDefault="00DA36AE" w:rsidP="007B437A">
      <w:pPr>
        <w:pStyle w:val="Default"/>
        <w:rPr>
          <w:rFonts w:asciiTheme="majorHAnsi" w:hAnsiTheme="majorHAnsi" w:cstheme="majorHAnsi"/>
          <w:b/>
          <w:sz w:val="22"/>
          <w:szCs w:val="22"/>
        </w:rPr>
      </w:pPr>
      <w:r w:rsidRPr="005516CD">
        <w:rPr>
          <w:rFonts w:asciiTheme="majorHAnsi" w:hAnsiTheme="majorHAnsi" w:cstheme="majorHAnsi"/>
          <w:b/>
          <w:noProof/>
          <w:sz w:val="22"/>
          <w:szCs w:val="22"/>
        </w:rPr>
        <w:drawing>
          <wp:inline distT="0" distB="0" distL="0" distR="0" wp14:anchorId="197C58B3" wp14:editId="52639AE6">
            <wp:extent cx="5943600" cy="2295525"/>
            <wp:effectExtent l="0" t="0" r="0" b="9525"/>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943600" cy="2295525"/>
                    </a:xfrm>
                    <a:prstGeom prst="rect">
                      <a:avLst/>
                    </a:prstGeom>
                    <a:noFill/>
                    <a:ln>
                      <a:noFill/>
                    </a:ln>
                  </pic:spPr>
                </pic:pic>
              </a:graphicData>
            </a:graphic>
          </wp:inline>
        </w:drawing>
      </w:r>
    </w:p>
    <w:p w14:paraId="561CC02E" w14:textId="77777777" w:rsidR="00981571" w:rsidRPr="005516CD" w:rsidRDefault="00981571" w:rsidP="007B437A">
      <w:pPr>
        <w:pStyle w:val="Default"/>
        <w:rPr>
          <w:rFonts w:asciiTheme="majorHAnsi" w:hAnsiTheme="majorHAnsi" w:cstheme="majorHAnsi"/>
          <w:b/>
          <w:sz w:val="22"/>
          <w:szCs w:val="22"/>
        </w:rPr>
      </w:pPr>
    </w:p>
    <w:p w14:paraId="28058692" w14:textId="77777777" w:rsidR="00981571" w:rsidRPr="005516CD" w:rsidRDefault="00981571" w:rsidP="00FB5829">
      <w:pPr>
        <w:pStyle w:val="Default"/>
        <w:keepNext/>
        <w:numPr>
          <w:ilvl w:val="4"/>
          <w:numId w:val="63"/>
        </w:numPr>
        <w:spacing w:before="240"/>
        <w:ind w:left="425" w:hanging="357"/>
        <w:rPr>
          <w:rFonts w:asciiTheme="majorHAnsi" w:hAnsiTheme="majorHAnsi" w:cstheme="majorHAnsi"/>
          <w:b/>
          <w:sz w:val="22"/>
          <w:szCs w:val="22"/>
        </w:rPr>
      </w:pPr>
      <w:r w:rsidRPr="005516CD">
        <w:rPr>
          <w:rFonts w:asciiTheme="majorHAnsi" w:hAnsiTheme="majorHAnsi" w:cstheme="majorHAnsi"/>
          <w:b/>
          <w:sz w:val="22"/>
          <w:szCs w:val="22"/>
        </w:rPr>
        <w:t xml:space="preserve">Consultation workshop, </w:t>
      </w:r>
      <w:proofErr w:type="spellStart"/>
      <w:r w:rsidRPr="005516CD">
        <w:rPr>
          <w:rFonts w:asciiTheme="majorHAnsi" w:hAnsiTheme="majorHAnsi" w:cstheme="majorHAnsi"/>
          <w:b/>
          <w:sz w:val="22"/>
          <w:szCs w:val="22"/>
        </w:rPr>
        <w:t>Limbé</w:t>
      </w:r>
      <w:proofErr w:type="spellEnd"/>
      <w:r w:rsidRPr="005516CD">
        <w:rPr>
          <w:rFonts w:asciiTheme="majorHAnsi" w:hAnsiTheme="majorHAnsi" w:cstheme="majorHAnsi"/>
          <w:b/>
          <w:sz w:val="22"/>
          <w:szCs w:val="22"/>
        </w:rPr>
        <w:t>, 14/8/2018</w:t>
      </w:r>
    </w:p>
    <w:p w14:paraId="77084B0E" w14:textId="77777777" w:rsidR="00981571" w:rsidRPr="005516CD" w:rsidRDefault="00981571" w:rsidP="007B437A">
      <w:pPr>
        <w:pStyle w:val="Default"/>
        <w:rPr>
          <w:rFonts w:asciiTheme="majorHAnsi" w:hAnsiTheme="majorHAnsi" w:cstheme="majorHAnsi"/>
          <w:b/>
          <w:sz w:val="22"/>
          <w:szCs w:val="22"/>
        </w:rPr>
      </w:pPr>
    </w:p>
    <w:p w14:paraId="143444E3" w14:textId="77777777" w:rsidR="00FB5829" w:rsidRPr="005516CD" w:rsidRDefault="00981571" w:rsidP="00FB5829">
      <w:pPr>
        <w:pStyle w:val="Default"/>
        <w:rPr>
          <w:rFonts w:asciiTheme="majorHAnsi" w:hAnsiTheme="majorHAnsi" w:cstheme="majorHAnsi"/>
          <w:sz w:val="22"/>
          <w:szCs w:val="22"/>
        </w:rPr>
        <w:sectPr w:rsidR="00FB5829" w:rsidRPr="005516CD" w:rsidSect="00F91241">
          <w:headerReference w:type="even" r:id="rId100"/>
          <w:headerReference w:type="default" r:id="rId101"/>
          <w:footerReference w:type="default" r:id="rId102"/>
          <w:headerReference w:type="first" r:id="rId103"/>
          <w:pgSz w:w="12240" w:h="15840"/>
          <w:pgMar w:top="1440" w:right="1440" w:bottom="1440" w:left="1440" w:header="708" w:footer="432" w:gutter="0"/>
          <w:cols w:space="720"/>
          <w:docGrid w:linePitch="326"/>
        </w:sectPr>
      </w:pPr>
      <w:r w:rsidRPr="005516CD">
        <w:rPr>
          <w:rFonts w:asciiTheme="majorHAnsi" w:hAnsiTheme="majorHAnsi" w:cstheme="majorHAnsi"/>
          <w:b/>
          <w:noProof/>
          <w:sz w:val="22"/>
          <w:szCs w:val="22"/>
        </w:rPr>
        <w:drawing>
          <wp:inline distT="0" distB="0" distL="0" distR="0" wp14:anchorId="523A5B85" wp14:editId="23D5E1B9">
            <wp:extent cx="5943600" cy="3526790"/>
            <wp:effectExtent l="0" t="0" r="0" b="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43600" cy="3526790"/>
                    </a:xfrm>
                    <a:prstGeom prst="rect">
                      <a:avLst/>
                    </a:prstGeom>
                    <a:noFill/>
                    <a:ln>
                      <a:noFill/>
                    </a:ln>
                  </pic:spPr>
                </pic:pic>
              </a:graphicData>
            </a:graphic>
          </wp:inline>
        </w:drawing>
      </w:r>
      <w:r w:rsidRPr="005516CD">
        <w:rPr>
          <w:rFonts w:asciiTheme="majorHAnsi" w:hAnsiTheme="majorHAnsi" w:cstheme="majorHAnsi"/>
          <w:b/>
          <w:sz w:val="22"/>
          <w:szCs w:val="22"/>
        </w:rPr>
        <w:t xml:space="preserve"> </w:t>
      </w:r>
      <w:r w:rsidRPr="005516CD">
        <w:rPr>
          <w:rFonts w:asciiTheme="majorHAnsi" w:hAnsiTheme="majorHAnsi" w:cstheme="majorHAnsi"/>
          <w:b/>
          <w:noProof/>
          <w:sz w:val="22"/>
          <w:szCs w:val="22"/>
        </w:rPr>
        <w:drawing>
          <wp:inline distT="0" distB="0" distL="0" distR="0" wp14:anchorId="5F4138F7" wp14:editId="643355DD">
            <wp:extent cx="5772965" cy="3329940"/>
            <wp:effectExtent l="0" t="0" r="0" b="381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775683" cy="3331508"/>
                    </a:xfrm>
                    <a:prstGeom prst="rect">
                      <a:avLst/>
                    </a:prstGeom>
                    <a:noFill/>
                    <a:ln>
                      <a:noFill/>
                    </a:ln>
                  </pic:spPr>
                </pic:pic>
              </a:graphicData>
            </a:graphic>
          </wp:inline>
        </w:drawing>
      </w:r>
      <w:r w:rsidRPr="005516CD">
        <w:rPr>
          <w:rFonts w:asciiTheme="majorHAnsi" w:hAnsiTheme="majorHAnsi" w:cstheme="majorHAnsi"/>
          <w:b/>
          <w:sz w:val="22"/>
          <w:szCs w:val="22"/>
        </w:rPr>
        <w:t xml:space="preserve"> </w:t>
      </w:r>
      <w:r w:rsidRPr="005516CD">
        <w:rPr>
          <w:rFonts w:asciiTheme="majorHAnsi" w:hAnsiTheme="majorHAnsi" w:cstheme="majorHAnsi"/>
          <w:b/>
          <w:noProof/>
          <w:sz w:val="22"/>
          <w:szCs w:val="22"/>
        </w:rPr>
        <w:drawing>
          <wp:inline distT="0" distB="0" distL="0" distR="0" wp14:anchorId="2071DBF9" wp14:editId="4B10AD62">
            <wp:extent cx="5943600" cy="3493135"/>
            <wp:effectExtent l="0" t="0" r="0" b="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943600" cy="3493135"/>
                    </a:xfrm>
                    <a:prstGeom prst="rect">
                      <a:avLst/>
                    </a:prstGeom>
                    <a:noFill/>
                    <a:ln>
                      <a:noFill/>
                    </a:ln>
                  </pic:spPr>
                </pic:pic>
              </a:graphicData>
            </a:graphic>
          </wp:inline>
        </w:drawing>
      </w:r>
      <w:r w:rsidRPr="005516CD">
        <w:rPr>
          <w:rFonts w:asciiTheme="majorHAnsi" w:hAnsiTheme="majorHAnsi" w:cstheme="majorHAnsi"/>
          <w:b/>
          <w:sz w:val="22"/>
          <w:szCs w:val="22"/>
        </w:rPr>
        <w:t xml:space="preserve"> </w:t>
      </w:r>
      <w:r w:rsidRPr="005516CD">
        <w:rPr>
          <w:rFonts w:asciiTheme="majorHAnsi" w:hAnsiTheme="majorHAnsi" w:cstheme="majorHAnsi"/>
          <w:b/>
          <w:noProof/>
          <w:sz w:val="22"/>
          <w:szCs w:val="22"/>
        </w:rPr>
        <w:drawing>
          <wp:inline distT="0" distB="0" distL="0" distR="0" wp14:anchorId="59D85ED8" wp14:editId="5CBB60EE">
            <wp:extent cx="5943600" cy="2810510"/>
            <wp:effectExtent l="0" t="0" r="0" b="889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943600" cy="2810510"/>
                    </a:xfrm>
                    <a:prstGeom prst="rect">
                      <a:avLst/>
                    </a:prstGeom>
                    <a:noFill/>
                    <a:ln>
                      <a:noFill/>
                    </a:ln>
                  </pic:spPr>
                </pic:pic>
              </a:graphicData>
            </a:graphic>
          </wp:inline>
        </w:drawing>
      </w:r>
    </w:p>
    <w:p w14:paraId="3443620D" w14:textId="77777777" w:rsidR="00C25FA5" w:rsidRPr="005516CD" w:rsidRDefault="00C25FA5" w:rsidP="00C25FA5">
      <w:pPr>
        <w:pStyle w:val="Heading2"/>
        <w:numPr>
          <w:ilvl w:val="0"/>
          <w:numId w:val="33"/>
        </w:numPr>
        <w:spacing w:after="0"/>
        <w:ind w:left="0" w:firstLine="0"/>
        <w:rPr>
          <w:rStyle w:val="None"/>
          <w:rFonts w:eastAsia="Calibri"/>
          <w:sz w:val="22"/>
        </w:rPr>
      </w:pPr>
      <w:bookmarkStart w:id="454" w:name="_Ref485849109"/>
      <w:bookmarkStart w:id="455" w:name="_Toc8933119"/>
      <w:r w:rsidRPr="005516CD">
        <w:rPr>
          <w:rStyle w:val="None"/>
          <w:rFonts w:eastAsia="Calibri"/>
          <w:sz w:val="22"/>
        </w:rPr>
        <w:t>GENDER ANALYSIS AND STRATEGY</w:t>
      </w:r>
      <w:bookmarkEnd w:id="454"/>
      <w:bookmarkEnd w:id="455"/>
    </w:p>
    <w:p w14:paraId="18155F4C" w14:textId="77777777" w:rsidR="00C25FA5" w:rsidRPr="005516CD" w:rsidRDefault="00C25FA5" w:rsidP="00C25FA5">
      <w:pPr>
        <w:rPr>
          <w:rFonts w:asciiTheme="majorHAnsi" w:hAnsiTheme="majorHAnsi" w:cstheme="majorHAnsi"/>
          <w:sz w:val="20"/>
          <w:szCs w:val="20"/>
        </w:rPr>
      </w:pPr>
    </w:p>
    <w:p w14:paraId="06F5A088" w14:textId="77777777" w:rsidR="00C25FA5" w:rsidRPr="005516CD" w:rsidRDefault="00C25FA5" w:rsidP="006B27F4">
      <w:pPr>
        <w:pStyle w:val="ParagraphGenderAssessment"/>
        <w:numPr>
          <w:ilvl w:val="0"/>
          <w:numId w:val="135"/>
        </w:numPr>
        <w:ind w:left="284" w:hanging="284"/>
        <w:rPr>
          <w:rFonts w:cstheme="majorHAnsi"/>
          <w:b/>
          <w:color w:val="000000"/>
          <w:sz w:val="20"/>
          <w:szCs w:val="20"/>
        </w:rPr>
      </w:pPr>
      <w:r w:rsidRPr="005516CD">
        <w:rPr>
          <w:rFonts w:cstheme="majorHAnsi"/>
          <w:b/>
          <w:color w:val="000000"/>
          <w:sz w:val="20"/>
          <w:szCs w:val="20"/>
        </w:rPr>
        <w:t>Introduction</w:t>
      </w:r>
    </w:p>
    <w:p w14:paraId="181C448B" w14:textId="77777777" w:rsidR="00C25FA5" w:rsidRPr="005516CD" w:rsidRDefault="00C25FA5" w:rsidP="00C25FA5">
      <w:pPr>
        <w:pStyle w:val="ParagraphGenderAssessment"/>
        <w:rPr>
          <w:rFonts w:cstheme="majorHAnsi"/>
          <w:sz w:val="20"/>
          <w:szCs w:val="20"/>
        </w:rPr>
      </w:pPr>
      <w:r w:rsidRPr="005516CD">
        <w:rPr>
          <w:rFonts w:cstheme="majorHAnsi"/>
          <w:color w:val="000000"/>
          <w:sz w:val="20"/>
          <w:szCs w:val="20"/>
        </w:rPr>
        <w:t>The following Gender Assessment and Action Plan (GAAP) was undertaken to scope gender aspects relevant to the proposed GEF project “</w:t>
      </w:r>
      <w:r w:rsidRPr="005516CD">
        <w:rPr>
          <w:rFonts w:cstheme="majorHAnsi"/>
          <w:sz w:val="20"/>
          <w:szCs w:val="20"/>
        </w:rPr>
        <w:t xml:space="preserve">Sustainable management of wooded production landscapes for biodiversity conservation” which involves the generation of multiple environmental and social benefits through integrated and sustainable management of wooded production landscapes in the Massif du Nord and Grande </w:t>
      </w:r>
      <w:r w:rsidRPr="005516CD">
        <w:rPr>
          <w:rFonts w:cstheme="majorHAnsi"/>
          <w:sz w:val="20"/>
          <w:szCs w:val="20"/>
          <w:lang w:val="en-GB"/>
        </w:rPr>
        <w:t>Rivière</w:t>
      </w:r>
      <w:r w:rsidRPr="005516CD">
        <w:rPr>
          <w:rFonts w:cstheme="majorHAnsi"/>
          <w:sz w:val="20"/>
          <w:szCs w:val="20"/>
        </w:rPr>
        <w:t xml:space="preserve"> du Nord with globally significant biodiversity. The project takes a market-based and community –based approach to integrated environmental management through 1) Creating enabling conditions for landscape management, 2) Promoting conservation compatible tree-based production systems (including coffee and cacao) as part of sustainable landscape </w:t>
      </w:r>
      <w:proofErr w:type="gramStart"/>
      <w:r w:rsidRPr="005516CD">
        <w:rPr>
          <w:rFonts w:cstheme="majorHAnsi"/>
          <w:sz w:val="20"/>
          <w:szCs w:val="20"/>
        </w:rPr>
        <w:t>mosaics, and</w:t>
      </w:r>
      <w:proofErr w:type="gramEnd"/>
      <w:r w:rsidRPr="005516CD">
        <w:rPr>
          <w:rFonts w:cstheme="majorHAnsi"/>
          <w:sz w:val="20"/>
          <w:szCs w:val="20"/>
        </w:rPr>
        <w:t xml:space="preserve"> tying it together with 3) Knowledge management and sharing.</w:t>
      </w:r>
    </w:p>
    <w:p w14:paraId="0F7E58BF" w14:textId="77777777" w:rsidR="00C25FA5" w:rsidRPr="005516CD" w:rsidRDefault="00C25FA5" w:rsidP="00C25FA5">
      <w:pPr>
        <w:pStyle w:val="ParagraphGenderAssessment"/>
        <w:rPr>
          <w:rFonts w:cstheme="majorHAnsi"/>
          <w:sz w:val="20"/>
          <w:szCs w:val="20"/>
        </w:rPr>
      </w:pPr>
      <w:r w:rsidRPr="005516CD">
        <w:rPr>
          <w:rFonts w:cstheme="majorHAnsi"/>
          <w:color w:val="000000"/>
          <w:sz w:val="20"/>
          <w:szCs w:val="20"/>
        </w:rPr>
        <w:t xml:space="preserve">This GAAP therefore reviews the national context to analyze factors relevant to the inclusive and gender-responsive implementation of this project, including access to productive resources and services, and gendered roles in agriculture and participation in conservation/resource management. The analysis informs the gender action plan, which proposes strategies for strengthening the project’s gender responsive actions and highlight gender transformative opportunities. </w:t>
      </w:r>
    </w:p>
    <w:p w14:paraId="7D1F5F77" w14:textId="77777777" w:rsidR="00C25FA5" w:rsidRPr="005516CD" w:rsidRDefault="00C25FA5" w:rsidP="00C25FA5">
      <w:pPr>
        <w:pStyle w:val="ParagraphGenderAssessment"/>
        <w:rPr>
          <w:rFonts w:eastAsia="Calibri" w:cstheme="majorHAnsi"/>
          <w:color w:val="000000" w:themeColor="text1"/>
          <w:sz w:val="20"/>
          <w:szCs w:val="20"/>
        </w:rPr>
      </w:pPr>
      <w:r w:rsidRPr="005516CD">
        <w:rPr>
          <w:rFonts w:cstheme="majorHAnsi"/>
          <w:color w:val="000000"/>
          <w:sz w:val="20"/>
          <w:szCs w:val="20"/>
        </w:rPr>
        <w:t>This document is based upon available data and information retrieved from a review of literature and key documentation from the Government of Haiti, reports from multi-lateral institutions and development agencies, and interviews and field visits with relevant stakeholders during a field mission with the national team in April 2018, a national stakeholder consultation workshop held in May 2018, and extensive field visits held in September, by the project development team in Haiti</w:t>
      </w:r>
      <w:r w:rsidRPr="005516CD">
        <w:rPr>
          <w:rFonts w:cstheme="majorHAnsi"/>
          <w:color w:val="000000" w:themeColor="text1"/>
          <w:sz w:val="20"/>
          <w:szCs w:val="20"/>
        </w:rPr>
        <w:t>. It includes insight from national experts, representatives of cooperatives and special interest/community groups, as well as with direct community stakeholders at the local-level engaging especially women to understand potential impacts of the project and builds on lessons learned from past studies and assessments on gender in Haiti and other countries related to agroforestry and agricultural value-chains.</w:t>
      </w:r>
      <w:r w:rsidRPr="005516CD">
        <w:rPr>
          <w:rFonts w:eastAsia="Calibri" w:cstheme="majorHAnsi"/>
          <w:color w:val="000000" w:themeColor="text1"/>
          <w:sz w:val="20"/>
          <w:szCs w:val="20"/>
        </w:rPr>
        <w:t xml:space="preserve"> </w:t>
      </w:r>
    </w:p>
    <w:p w14:paraId="379E4E65" w14:textId="77777777" w:rsidR="00C25FA5" w:rsidRPr="005516CD" w:rsidRDefault="00C25FA5" w:rsidP="00C25FA5">
      <w:pPr>
        <w:pStyle w:val="ParagraphGenderAssessment"/>
        <w:rPr>
          <w:rFonts w:eastAsiaTheme="majorEastAsia" w:cstheme="majorHAnsi"/>
          <w:color w:val="000000" w:themeColor="text1"/>
          <w:sz w:val="20"/>
          <w:szCs w:val="20"/>
        </w:rPr>
      </w:pPr>
      <w:r w:rsidRPr="005516CD">
        <w:rPr>
          <w:rFonts w:eastAsiaTheme="majorEastAsia" w:cstheme="majorHAnsi"/>
          <w:sz w:val="20"/>
          <w:szCs w:val="20"/>
        </w:rPr>
        <w:t>Haiti is among the lowest in the HDI rankings (163/187 in 2016)</w:t>
      </w:r>
      <w:r w:rsidRPr="005516CD">
        <w:rPr>
          <w:rStyle w:val="FootnoteReference"/>
          <w:rFonts w:eastAsiaTheme="majorEastAsia" w:cstheme="majorHAnsi"/>
          <w:color w:val="000000" w:themeColor="text1"/>
          <w:sz w:val="20"/>
          <w:szCs w:val="20"/>
        </w:rPr>
        <w:footnoteReference w:id="89"/>
      </w:r>
      <w:r w:rsidRPr="005516CD">
        <w:rPr>
          <w:rFonts w:eastAsiaTheme="majorEastAsia" w:cstheme="majorHAnsi"/>
          <w:sz w:val="20"/>
          <w:szCs w:val="20"/>
        </w:rPr>
        <w:t xml:space="preserve"> and challenges are especially prevalent in the area of health and education, </w:t>
      </w:r>
      <w:r w:rsidRPr="005516CD">
        <w:rPr>
          <w:rFonts w:eastAsiaTheme="majorEastAsia" w:cstheme="majorHAnsi"/>
          <w:color w:val="000000" w:themeColor="text1"/>
          <w:sz w:val="20"/>
          <w:szCs w:val="20"/>
        </w:rPr>
        <w:t xml:space="preserve">political participation, and employment that by and large affect women and girls. Haiti also supports high biodiversity and levels of endemism, yet many species are endangered by extensive deforestation and landscape degradation. </w:t>
      </w:r>
    </w:p>
    <w:p w14:paraId="4F323D66" w14:textId="77777777" w:rsidR="00C25FA5" w:rsidRPr="005516CD" w:rsidRDefault="00C25FA5" w:rsidP="00C25FA5">
      <w:pPr>
        <w:pStyle w:val="ParagraphGenderAssessment"/>
        <w:rPr>
          <w:rFonts w:eastAsiaTheme="minorHAnsi" w:cstheme="majorHAnsi"/>
          <w:color w:val="000000" w:themeColor="text1"/>
          <w:sz w:val="20"/>
          <w:szCs w:val="20"/>
        </w:rPr>
      </w:pPr>
      <w:r w:rsidRPr="005516CD">
        <w:rPr>
          <w:rFonts w:eastAsiaTheme="majorEastAsia" w:cstheme="majorHAnsi"/>
          <w:color w:val="000000" w:themeColor="text1"/>
          <w:sz w:val="20"/>
          <w:szCs w:val="20"/>
        </w:rPr>
        <w:t xml:space="preserve">Understanding and addressing the persistent gender inequalities across the social, economic and political spheres within projects can enhance the development of interventions that generate equitable livelihood benefits </w:t>
      </w:r>
      <w:r w:rsidRPr="005516CD">
        <w:rPr>
          <w:rFonts w:eastAsiaTheme="minorHAnsi" w:cstheme="majorHAnsi"/>
          <w:color w:val="000000" w:themeColor="text1"/>
          <w:sz w:val="20"/>
          <w:szCs w:val="20"/>
        </w:rPr>
        <w:t xml:space="preserve">and </w:t>
      </w:r>
      <w:r w:rsidRPr="005516CD">
        <w:rPr>
          <w:rFonts w:eastAsiaTheme="majorEastAsia" w:cstheme="majorHAnsi"/>
          <w:color w:val="000000" w:themeColor="text1"/>
          <w:sz w:val="20"/>
          <w:szCs w:val="20"/>
        </w:rPr>
        <w:t>support effective conservation of biodiversity in productive landscapes, of which women are central actors and key beneficiaries.</w:t>
      </w:r>
      <w:r w:rsidRPr="005516CD">
        <w:rPr>
          <w:rFonts w:eastAsiaTheme="minorHAnsi" w:cstheme="majorHAnsi"/>
          <w:color w:val="000000" w:themeColor="text1"/>
          <w:sz w:val="20"/>
          <w:szCs w:val="20"/>
        </w:rPr>
        <w:t xml:space="preserve"> </w:t>
      </w:r>
      <w:r w:rsidRPr="005516CD">
        <w:rPr>
          <w:rFonts w:eastAsiaTheme="majorEastAsia" w:cstheme="majorHAnsi"/>
          <w:color w:val="000000" w:themeColor="text1"/>
          <w:sz w:val="20"/>
          <w:szCs w:val="20"/>
          <w:lang w:val="en-CA"/>
        </w:rPr>
        <w:t>Two-thirds of the rural population in Haiti are dependent on agriculture; among them, women make up the majority of labour force involved in all aspects of agricultural processes</w:t>
      </w:r>
      <w:r w:rsidRPr="005516CD">
        <w:rPr>
          <w:rStyle w:val="FootnoteReference"/>
          <w:rFonts w:eastAsiaTheme="majorEastAsia" w:cstheme="majorHAnsi"/>
          <w:color w:val="000000" w:themeColor="text1"/>
          <w:sz w:val="20"/>
          <w:szCs w:val="20"/>
          <w:lang w:val="en-CA"/>
        </w:rPr>
        <w:footnoteReference w:id="90"/>
      </w:r>
      <w:r w:rsidRPr="005516CD">
        <w:rPr>
          <w:rFonts w:eastAsiaTheme="majorEastAsia" w:cstheme="majorHAnsi"/>
          <w:color w:val="000000" w:themeColor="text1"/>
          <w:sz w:val="20"/>
          <w:szCs w:val="20"/>
          <w:lang w:val="en-CA"/>
        </w:rPr>
        <w:t>.</w:t>
      </w:r>
      <w:r w:rsidRPr="005516CD">
        <w:rPr>
          <w:rFonts w:cstheme="majorHAnsi"/>
          <w:sz w:val="20"/>
          <w:szCs w:val="20"/>
          <w:lang w:val="en"/>
        </w:rPr>
        <w:t xml:space="preserve"> Although both women and men participate in agricultural production, women are the primary actors in trade and commercialization of domestic produce, while men tend to engage in value chains of more valuable export commodities</w:t>
      </w:r>
      <w:r w:rsidRPr="005516CD">
        <w:rPr>
          <w:rStyle w:val="FootnoteReference"/>
          <w:rFonts w:cstheme="majorHAnsi"/>
          <w:sz w:val="20"/>
          <w:szCs w:val="20"/>
          <w:lang w:val="en"/>
        </w:rPr>
        <w:footnoteReference w:id="91"/>
      </w:r>
      <w:r w:rsidRPr="005516CD">
        <w:rPr>
          <w:rFonts w:cstheme="majorHAnsi"/>
          <w:sz w:val="20"/>
          <w:szCs w:val="20"/>
          <w:lang w:val="en"/>
        </w:rPr>
        <w:t>.</w:t>
      </w:r>
    </w:p>
    <w:p w14:paraId="556A618C" w14:textId="77777777" w:rsidR="00C25FA5" w:rsidRPr="005516CD" w:rsidRDefault="00C25FA5" w:rsidP="00C25FA5">
      <w:pPr>
        <w:pStyle w:val="ParagraphGenderAssessment"/>
        <w:rPr>
          <w:rFonts w:eastAsiaTheme="majorEastAsia" w:cstheme="majorHAnsi"/>
          <w:color w:val="000000" w:themeColor="text1"/>
          <w:sz w:val="20"/>
          <w:szCs w:val="20"/>
        </w:rPr>
      </w:pPr>
      <w:r w:rsidRPr="005516CD">
        <w:rPr>
          <w:rFonts w:cstheme="majorHAnsi"/>
          <w:color w:val="000000" w:themeColor="text1"/>
          <w:sz w:val="20"/>
          <w:szCs w:val="20"/>
        </w:rPr>
        <w:t xml:space="preserve">This document is organized as follows: First there is an analysis of existing gender inequalities and gender gaps across a number of thematic areas, including agriculture, productive resource access, and forest resources. This is followed by a review of the stakeholder consultations and field surveys carried out in the targeted interventions areas, where specific information on the local context and gender roles in cacao/coffee production systems is highlighted. Thirdly, there is a section on recommendations and lessons learned to improve gender mainstreaming of this project, drawing on the analysis of field survey data, consultations, desktop review, and other experiences in agroforestry in Haiti. Finally, a gender action plan is presented. </w:t>
      </w:r>
    </w:p>
    <w:p w14:paraId="6D2D1C7C" w14:textId="77777777" w:rsidR="00C25FA5" w:rsidRPr="005516CD" w:rsidRDefault="00C25FA5" w:rsidP="00FB5829">
      <w:pPr>
        <w:pStyle w:val="ParagraphGenderAssessment"/>
        <w:keepNext/>
        <w:numPr>
          <w:ilvl w:val="0"/>
          <w:numId w:val="135"/>
        </w:numPr>
        <w:ind w:left="284" w:hanging="284"/>
        <w:rPr>
          <w:rFonts w:cstheme="majorHAnsi"/>
          <w:b/>
          <w:color w:val="000000"/>
          <w:sz w:val="20"/>
          <w:szCs w:val="20"/>
        </w:rPr>
      </w:pPr>
      <w:r w:rsidRPr="005516CD">
        <w:rPr>
          <w:rFonts w:cstheme="majorHAnsi"/>
          <w:b/>
          <w:color w:val="000000"/>
          <w:sz w:val="20"/>
          <w:szCs w:val="20"/>
        </w:rPr>
        <w:t>Existing gender inequality in Haiti</w:t>
      </w:r>
    </w:p>
    <w:p w14:paraId="76AABF13" w14:textId="77777777" w:rsidR="00C25FA5" w:rsidRPr="005516CD" w:rsidRDefault="00C25FA5" w:rsidP="00C25FA5">
      <w:pPr>
        <w:pStyle w:val="ParagraphGenderAssessment"/>
        <w:rPr>
          <w:rFonts w:eastAsiaTheme="majorEastAsia" w:cstheme="majorHAnsi"/>
          <w:color w:val="000000" w:themeColor="text1"/>
          <w:sz w:val="20"/>
          <w:szCs w:val="20"/>
        </w:rPr>
      </w:pPr>
      <w:r w:rsidRPr="005516CD">
        <w:rPr>
          <w:rFonts w:eastAsiaTheme="majorEastAsia" w:cstheme="majorHAnsi"/>
          <w:color w:val="000000" w:themeColor="text1"/>
          <w:sz w:val="20"/>
          <w:szCs w:val="20"/>
        </w:rPr>
        <w:t>In Haiti, there are more women living under extreme poverty than men</w:t>
      </w:r>
      <w:r w:rsidRPr="005516CD">
        <w:rPr>
          <w:rStyle w:val="FootnoteReference"/>
          <w:rFonts w:eastAsiaTheme="majorEastAsia" w:cstheme="majorHAnsi"/>
          <w:color w:val="000000" w:themeColor="text1"/>
          <w:sz w:val="20"/>
          <w:szCs w:val="20"/>
        </w:rPr>
        <w:footnoteReference w:id="92"/>
      </w:r>
      <w:r w:rsidRPr="005516CD">
        <w:rPr>
          <w:rFonts w:eastAsiaTheme="majorEastAsia" w:cstheme="majorHAnsi"/>
          <w:color w:val="000000" w:themeColor="text1"/>
          <w:sz w:val="20"/>
          <w:szCs w:val="20"/>
        </w:rPr>
        <w:t xml:space="preserve">. </w:t>
      </w:r>
      <w:r w:rsidRPr="005516CD">
        <w:rPr>
          <w:rFonts w:eastAsiaTheme="majorEastAsia" w:cstheme="majorHAnsi"/>
          <w:sz w:val="20"/>
          <w:szCs w:val="20"/>
        </w:rPr>
        <w:t xml:space="preserve">Over 40% </w:t>
      </w:r>
      <w:r w:rsidRPr="005516CD">
        <w:rPr>
          <w:rFonts w:eastAsiaTheme="majorEastAsia" w:cstheme="majorHAnsi"/>
          <w:color w:val="000000" w:themeColor="text1"/>
          <w:sz w:val="20"/>
          <w:szCs w:val="20"/>
        </w:rPr>
        <w:t>of households are headed by women and in rural areas; this is even higher (55%)</w:t>
      </w:r>
      <w:r w:rsidRPr="005516CD">
        <w:rPr>
          <w:rStyle w:val="FootnoteReference"/>
          <w:rFonts w:eastAsiaTheme="majorEastAsia" w:cstheme="majorHAnsi"/>
          <w:color w:val="000000" w:themeColor="text1"/>
          <w:sz w:val="20"/>
          <w:szCs w:val="20"/>
        </w:rPr>
        <w:footnoteReference w:id="93"/>
      </w:r>
      <w:r w:rsidRPr="005516CD">
        <w:rPr>
          <w:rFonts w:eastAsiaTheme="majorEastAsia" w:cstheme="majorHAnsi"/>
          <w:color w:val="000000" w:themeColor="text1"/>
          <w:sz w:val="20"/>
          <w:szCs w:val="20"/>
          <w:vertAlign w:val="superscript"/>
        </w:rPr>
        <w:t>,</w:t>
      </w:r>
      <w:r w:rsidRPr="005516CD">
        <w:rPr>
          <w:rStyle w:val="FootnoteReference"/>
          <w:rFonts w:eastAsiaTheme="majorEastAsia" w:cstheme="majorHAnsi"/>
          <w:color w:val="000000" w:themeColor="text1"/>
          <w:sz w:val="20"/>
          <w:szCs w:val="20"/>
        </w:rPr>
        <w:footnoteReference w:id="94"/>
      </w:r>
      <w:r w:rsidRPr="005516CD">
        <w:rPr>
          <w:rFonts w:eastAsiaTheme="majorEastAsia" w:cstheme="majorHAnsi"/>
          <w:color w:val="000000" w:themeColor="text1"/>
          <w:sz w:val="20"/>
          <w:szCs w:val="20"/>
        </w:rPr>
        <w:t xml:space="preserve">. </w:t>
      </w:r>
      <w:r w:rsidRPr="005516CD">
        <w:rPr>
          <w:rFonts w:cstheme="majorHAnsi"/>
          <w:sz w:val="20"/>
          <w:szCs w:val="20"/>
          <w:lang w:val="en"/>
        </w:rPr>
        <w:t xml:space="preserve"> </w:t>
      </w:r>
      <w:r w:rsidRPr="005516CD">
        <w:rPr>
          <w:rFonts w:eastAsia="Arial" w:cstheme="majorHAnsi"/>
          <w:color w:val="000000" w:themeColor="text1"/>
          <w:sz w:val="20"/>
          <w:szCs w:val="20"/>
          <w:lang w:val="en-CA"/>
        </w:rPr>
        <w:t xml:space="preserve">While Haiti has indeed made advances to close gender gaps, persistent challenges remain. </w:t>
      </w:r>
      <w:r w:rsidRPr="005516CD">
        <w:rPr>
          <w:rFonts w:cstheme="majorHAnsi"/>
          <w:color w:val="000000" w:themeColor="text1"/>
          <w:sz w:val="20"/>
          <w:szCs w:val="20"/>
          <w:lang w:val="en-CA"/>
        </w:rPr>
        <w:t xml:space="preserve">Discriminatory attitudes and beliefs that permeate Haiti’s social fabric continue to limit women’s job opportunities and meaningful participation in public political life. Women are also socialized to be primary caretakers of the household and the burden of this unpaid, </w:t>
      </w:r>
      <w:proofErr w:type="spellStart"/>
      <w:r w:rsidRPr="005516CD">
        <w:rPr>
          <w:rFonts w:cstheme="majorHAnsi"/>
          <w:color w:val="000000" w:themeColor="text1"/>
          <w:sz w:val="20"/>
          <w:szCs w:val="20"/>
          <w:lang w:val="en-CA"/>
        </w:rPr>
        <w:t>invisibilized</w:t>
      </w:r>
      <w:proofErr w:type="spellEnd"/>
      <w:r w:rsidRPr="005516CD">
        <w:rPr>
          <w:rFonts w:cstheme="majorHAnsi"/>
          <w:color w:val="000000" w:themeColor="text1"/>
          <w:sz w:val="20"/>
          <w:szCs w:val="20"/>
          <w:lang w:val="en-CA"/>
        </w:rPr>
        <w:t xml:space="preserve"> labour is an additional obstacle. </w:t>
      </w:r>
    </w:p>
    <w:p w14:paraId="0F7129D3"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Gender Inequality Indices</w:t>
      </w:r>
    </w:p>
    <w:p w14:paraId="035E491D"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In Haiti, there is a lack of sex-disaggregated data, especially post-earthquake (2010) and subsequent disasters such as Hurricane Matthew (2015) that have seriously compromised the country’s institutional capacities and resources to oversee gender-specific monitoring and evaluations. Data is insufficient to calculate standard indicators such as the Global Gender Gap Index (GGGI) of the World Economic Forum</w:t>
      </w:r>
      <w:r w:rsidRPr="005516CD">
        <w:rPr>
          <w:rStyle w:val="FootnoteReference"/>
          <w:rFonts w:cstheme="majorHAnsi"/>
          <w:sz w:val="20"/>
          <w:szCs w:val="20"/>
        </w:rPr>
        <w:footnoteReference w:id="95"/>
      </w:r>
      <w:r w:rsidRPr="005516CD">
        <w:rPr>
          <w:rFonts w:cstheme="majorHAnsi"/>
          <w:sz w:val="20"/>
          <w:szCs w:val="20"/>
        </w:rPr>
        <w:t xml:space="preserve"> or the United Nations Development Programme (UNDP) Gender Development Index (GDI)</w:t>
      </w:r>
      <w:r w:rsidRPr="005516CD">
        <w:rPr>
          <w:rStyle w:val="FootnoteReference"/>
          <w:rFonts w:cstheme="majorHAnsi"/>
          <w:sz w:val="20"/>
          <w:szCs w:val="20"/>
        </w:rPr>
        <w:footnoteReference w:id="96"/>
      </w:r>
      <w:r w:rsidRPr="005516CD">
        <w:rPr>
          <w:rFonts w:cstheme="majorHAnsi"/>
          <w:sz w:val="20"/>
          <w:szCs w:val="20"/>
        </w:rPr>
        <w:t>. Among the indicators that have been calculated, the UNDP Gender Inequality Index (GII), which measures inequalities across three axes (reproductive health, empowerment, and economic status), ascribed Haiti a value of 0.593 in 2015, ranking it at 142 out of 187 countries assessed</w:t>
      </w:r>
      <w:r w:rsidRPr="005516CD">
        <w:rPr>
          <w:rStyle w:val="FootnoteReference"/>
          <w:rFonts w:cstheme="majorHAnsi"/>
          <w:sz w:val="20"/>
          <w:szCs w:val="20"/>
        </w:rPr>
        <w:footnoteReference w:id="97"/>
      </w:r>
      <w:r w:rsidRPr="005516CD">
        <w:rPr>
          <w:rFonts w:cstheme="majorHAnsi"/>
          <w:sz w:val="20"/>
          <w:szCs w:val="20"/>
        </w:rPr>
        <w:t>.  Similarly, the Social Institutions and Gender Index (SIGI) of the Organization for Economic Cooperation and Development (OECD) calculated a value for Haiti of 0.1466 in 2014, suggesting that discrimination against women is medium.</w:t>
      </w:r>
      <w:r w:rsidRPr="005516CD">
        <w:rPr>
          <w:rStyle w:val="FootnoteReference"/>
          <w:rFonts w:cstheme="majorHAnsi"/>
          <w:sz w:val="20"/>
          <w:szCs w:val="20"/>
        </w:rPr>
        <w:footnoteReference w:id="98"/>
      </w:r>
    </w:p>
    <w:p w14:paraId="53279F9F"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Gender roles, power, and decision-making</w:t>
      </w:r>
    </w:p>
    <w:p w14:paraId="3223788B"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In the household, Haitian women generally have decision-making independence, taking on the majority of household decisions related to budgeting and the allocation of financial resources (e.g., small expenses, food purchasing and preparation etc.)</w:t>
      </w:r>
      <w:r w:rsidRPr="005516CD">
        <w:rPr>
          <w:rStyle w:val="FootnoteReference"/>
          <w:rFonts w:cstheme="majorHAnsi"/>
          <w:sz w:val="20"/>
          <w:szCs w:val="20"/>
        </w:rPr>
        <w:footnoteReference w:id="99"/>
      </w:r>
      <w:r w:rsidRPr="005516CD">
        <w:rPr>
          <w:rFonts w:cstheme="majorHAnsi"/>
          <w:sz w:val="20"/>
          <w:szCs w:val="20"/>
        </w:rPr>
        <w:t xml:space="preserve">. In fact, some </w:t>
      </w:r>
      <w:r w:rsidRPr="005516CD">
        <w:rPr>
          <w:rFonts w:cstheme="majorHAnsi"/>
          <w:color w:val="000000" w:themeColor="text1"/>
          <w:sz w:val="20"/>
          <w:szCs w:val="20"/>
        </w:rPr>
        <w:t>78% of married women have sole or joint decision-making power for major household purchases</w:t>
      </w:r>
      <w:r w:rsidRPr="005516CD">
        <w:rPr>
          <w:rStyle w:val="FootnoteReference"/>
          <w:rFonts w:cstheme="majorHAnsi"/>
          <w:color w:val="000000" w:themeColor="text1"/>
          <w:sz w:val="20"/>
          <w:szCs w:val="20"/>
        </w:rPr>
        <w:footnoteReference w:id="100"/>
      </w:r>
      <w:r w:rsidRPr="005516CD">
        <w:rPr>
          <w:rFonts w:cstheme="majorHAnsi"/>
          <w:color w:val="000000" w:themeColor="text1"/>
          <w:sz w:val="20"/>
          <w:szCs w:val="20"/>
        </w:rPr>
        <w:t xml:space="preserve">. Nonetheless, </w:t>
      </w:r>
      <w:r w:rsidRPr="005516CD">
        <w:rPr>
          <w:rFonts w:cstheme="majorHAnsi"/>
          <w:sz w:val="20"/>
          <w:szCs w:val="20"/>
        </w:rPr>
        <w:t xml:space="preserve">prevailing sexist beliefs and </w:t>
      </w:r>
      <w:r w:rsidRPr="005516CD">
        <w:rPr>
          <w:rFonts w:eastAsia="Arial" w:cstheme="majorHAnsi"/>
          <w:sz w:val="20"/>
          <w:szCs w:val="20"/>
        </w:rPr>
        <w:t xml:space="preserve">social norms regarding men and women in Haitian society inform the “acceptable” gender roles at school, in the workforce and at home, such that overall, </w:t>
      </w:r>
      <w:r w:rsidRPr="005516CD">
        <w:rPr>
          <w:rFonts w:cstheme="majorHAnsi"/>
          <w:sz w:val="20"/>
          <w:szCs w:val="20"/>
        </w:rPr>
        <w:t>women do not uphold the social status as men, nor the same economic and political independence</w:t>
      </w:r>
      <w:r w:rsidRPr="005516CD">
        <w:rPr>
          <w:rStyle w:val="FootnoteReference"/>
          <w:rFonts w:cstheme="majorHAnsi"/>
          <w:sz w:val="20"/>
          <w:szCs w:val="20"/>
        </w:rPr>
        <w:footnoteReference w:id="101"/>
      </w:r>
      <w:r w:rsidRPr="005516CD">
        <w:rPr>
          <w:rFonts w:cstheme="majorHAnsi"/>
          <w:sz w:val="20"/>
          <w:szCs w:val="20"/>
        </w:rPr>
        <w:t>,</w:t>
      </w:r>
      <w:r w:rsidRPr="005516CD">
        <w:rPr>
          <w:rStyle w:val="FootnoteReference"/>
          <w:rFonts w:cstheme="majorHAnsi"/>
          <w:sz w:val="20"/>
          <w:szCs w:val="20"/>
        </w:rPr>
        <w:footnoteReference w:id="102"/>
      </w:r>
      <w:r w:rsidRPr="005516CD">
        <w:rPr>
          <w:rFonts w:cstheme="majorHAnsi"/>
          <w:sz w:val="20"/>
          <w:szCs w:val="20"/>
        </w:rPr>
        <w:t xml:space="preserve">. </w:t>
      </w:r>
      <w:r w:rsidRPr="005516CD">
        <w:rPr>
          <w:rFonts w:eastAsia="Arial" w:cstheme="majorHAnsi"/>
          <w:sz w:val="20"/>
          <w:szCs w:val="20"/>
        </w:rPr>
        <w:t>Manifested along geographic and class divides, the position and expectations of women in society are important barriers that reinforce existing gender inequalities in the country.</w:t>
      </w:r>
    </w:p>
    <w:p w14:paraId="15D447E9"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Traditionally, men hold social positions of importance and influence, namely as politicians, spiritual leaders, and school headmasters</w:t>
      </w:r>
      <w:r w:rsidRPr="005516CD">
        <w:rPr>
          <w:rStyle w:val="FootnoteReference"/>
          <w:rFonts w:cstheme="majorHAnsi"/>
          <w:sz w:val="20"/>
          <w:szCs w:val="20"/>
        </w:rPr>
        <w:footnoteReference w:id="103"/>
      </w:r>
      <w:r w:rsidRPr="005516CD">
        <w:rPr>
          <w:rFonts w:cstheme="majorHAnsi"/>
          <w:sz w:val="20"/>
          <w:szCs w:val="20"/>
        </w:rPr>
        <w:t xml:space="preserve">, while </w:t>
      </w:r>
      <w:r w:rsidRPr="005516CD">
        <w:rPr>
          <w:rFonts w:eastAsiaTheme="majorEastAsia" w:cstheme="majorHAnsi"/>
          <w:sz w:val="20"/>
          <w:szCs w:val="20"/>
        </w:rPr>
        <w:t xml:space="preserve">women and girls assume the responsibility of primary caretakers of the household and family </w:t>
      </w:r>
      <w:proofErr w:type="spellStart"/>
      <w:r w:rsidRPr="005516CD">
        <w:rPr>
          <w:rFonts w:eastAsiaTheme="majorEastAsia" w:cstheme="majorHAnsi"/>
          <w:sz w:val="20"/>
          <w:szCs w:val="20"/>
        </w:rPr>
        <w:t>well being</w:t>
      </w:r>
      <w:proofErr w:type="spellEnd"/>
      <w:r w:rsidRPr="005516CD">
        <w:rPr>
          <w:rStyle w:val="FootnoteReference"/>
          <w:rFonts w:cstheme="majorHAnsi"/>
          <w:sz w:val="20"/>
          <w:szCs w:val="20"/>
        </w:rPr>
        <w:footnoteReference w:id="104"/>
      </w:r>
      <w:r w:rsidRPr="005516CD">
        <w:rPr>
          <w:rFonts w:cstheme="majorHAnsi"/>
          <w:sz w:val="20"/>
          <w:szCs w:val="20"/>
          <w:vertAlign w:val="superscript"/>
        </w:rPr>
        <w:t>,</w:t>
      </w:r>
      <w:r w:rsidRPr="005516CD">
        <w:rPr>
          <w:rStyle w:val="FootnoteReference"/>
          <w:rFonts w:cstheme="majorHAnsi"/>
          <w:sz w:val="20"/>
          <w:szCs w:val="20"/>
        </w:rPr>
        <w:footnoteReference w:id="105"/>
      </w:r>
      <w:r w:rsidRPr="005516CD">
        <w:rPr>
          <w:rFonts w:cstheme="majorHAnsi"/>
          <w:sz w:val="20"/>
          <w:szCs w:val="20"/>
          <w:vertAlign w:val="superscript"/>
        </w:rPr>
        <w:t>.</w:t>
      </w:r>
      <w:r w:rsidRPr="005516CD">
        <w:rPr>
          <w:rFonts w:cstheme="majorHAnsi"/>
          <w:sz w:val="20"/>
          <w:szCs w:val="20"/>
        </w:rPr>
        <w:t xml:space="preserve"> </w:t>
      </w:r>
      <w:r w:rsidRPr="005516CD">
        <w:rPr>
          <w:rFonts w:eastAsiaTheme="majorEastAsia" w:cstheme="majorHAnsi"/>
          <w:sz w:val="20"/>
          <w:szCs w:val="20"/>
        </w:rPr>
        <w:t xml:space="preserve">Women </w:t>
      </w:r>
      <w:r w:rsidRPr="005516CD">
        <w:rPr>
          <w:rFonts w:cstheme="majorHAnsi"/>
          <w:sz w:val="20"/>
          <w:szCs w:val="20"/>
        </w:rPr>
        <w:t xml:space="preserve">spend twice as much time on domestic tasks compared to men </w:t>
      </w:r>
      <w:r w:rsidRPr="005516CD">
        <w:rPr>
          <w:rFonts w:eastAsiaTheme="majorEastAsia" w:cstheme="majorHAnsi"/>
          <w:sz w:val="20"/>
          <w:szCs w:val="20"/>
        </w:rPr>
        <w:t>(15.4 h/week, vs. to 7h/week)</w:t>
      </w:r>
      <w:r w:rsidRPr="005516CD">
        <w:rPr>
          <w:rStyle w:val="FootnoteReference"/>
          <w:rFonts w:cstheme="majorHAnsi"/>
          <w:sz w:val="20"/>
          <w:szCs w:val="20"/>
        </w:rPr>
        <w:footnoteReference w:id="106"/>
      </w:r>
      <w:r w:rsidRPr="005516CD">
        <w:rPr>
          <w:rFonts w:cstheme="majorHAnsi"/>
          <w:sz w:val="20"/>
          <w:szCs w:val="20"/>
        </w:rPr>
        <w:t xml:space="preserve">, </w:t>
      </w:r>
      <w:r w:rsidRPr="005516CD">
        <w:rPr>
          <w:rFonts w:eastAsiaTheme="majorEastAsia" w:cstheme="majorHAnsi"/>
          <w:sz w:val="20"/>
          <w:szCs w:val="20"/>
        </w:rPr>
        <w:t>and this difference is more pronounced in rural areas</w:t>
      </w:r>
      <w:r w:rsidRPr="005516CD">
        <w:rPr>
          <w:rStyle w:val="FootnoteReference"/>
          <w:rFonts w:eastAsiaTheme="majorEastAsia" w:cstheme="majorHAnsi"/>
          <w:sz w:val="20"/>
          <w:szCs w:val="20"/>
        </w:rPr>
        <w:footnoteReference w:id="107"/>
      </w:r>
      <w:r w:rsidRPr="005516CD">
        <w:rPr>
          <w:rFonts w:eastAsiaTheme="majorEastAsia" w:cstheme="majorHAnsi"/>
          <w:sz w:val="20"/>
          <w:szCs w:val="20"/>
        </w:rPr>
        <w:t>.</w:t>
      </w:r>
      <w:r w:rsidRPr="005516CD">
        <w:rPr>
          <w:rFonts w:cstheme="majorHAnsi"/>
          <w:sz w:val="20"/>
          <w:szCs w:val="20"/>
        </w:rPr>
        <w:t xml:space="preserve"> Cooking, cleaning, child rearing are burdensome tasks, and women may additionally spend up to five hours per day collecting firewood and numerous hours per day collecting water</w:t>
      </w:r>
      <w:r w:rsidRPr="005516CD">
        <w:rPr>
          <w:rStyle w:val="FootnoteReference"/>
          <w:rFonts w:cstheme="majorHAnsi"/>
          <w:color w:val="000000" w:themeColor="text1"/>
          <w:sz w:val="20"/>
          <w:szCs w:val="20"/>
        </w:rPr>
        <w:footnoteReference w:id="108"/>
      </w:r>
      <w:r w:rsidRPr="005516CD">
        <w:rPr>
          <w:rFonts w:cstheme="majorHAnsi"/>
          <w:color w:val="000000" w:themeColor="text1"/>
          <w:sz w:val="20"/>
          <w:szCs w:val="20"/>
        </w:rPr>
        <w:t>. In fact, over a third of households must travel 30 minutes or more to access potable water supplies</w:t>
      </w:r>
      <w:r w:rsidRPr="005516CD">
        <w:rPr>
          <w:rStyle w:val="FootnoteReference"/>
          <w:rFonts w:cstheme="majorHAnsi"/>
          <w:color w:val="000000" w:themeColor="text1"/>
          <w:sz w:val="20"/>
          <w:szCs w:val="20"/>
        </w:rPr>
        <w:footnoteReference w:id="109"/>
      </w:r>
      <w:r w:rsidRPr="005516CD">
        <w:rPr>
          <w:rFonts w:cstheme="majorHAnsi"/>
          <w:color w:val="000000" w:themeColor="text1"/>
          <w:sz w:val="20"/>
          <w:szCs w:val="20"/>
        </w:rPr>
        <w:t xml:space="preserve">. </w:t>
      </w:r>
      <w:r w:rsidRPr="005516CD">
        <w:rPr>
          <w:rFonts w:cstheme="majorHAnsi"/>
          <w:sz w:val="20"/>
          <w:szCs w:val="20"/>
        </w:rPr>
        <w:t>Moreover, not only are women expected to manage social relations and conflict in the home, but they are also called upon to do so at the community-level</w:t>
      </w:r>
      <w:r w:rsidRPr="005516CD">
        <w:rPr>
          <w:rStyle w:val="FootnoteReference"/>
          <w:rFonts w:cstheme="majorHAnsi"/>
          <w:sz w:val="20"/>
          <w:szCs w:val="20"/>
        </w:rPr>
        <w:footnoteReference w:id="110"/>
      </w:r>
      <w:r w:rsidRPr="005516CD">
        <w:rPr>
          <w:rFonts w:cstheme="majorHAnsi"/>
          <w:sz w:val="20"/>
          <w:szCs w:val="20"/>
        </w:rPr>
        <w:t xml:space="preserve">. Although a main thread in the social fabric and primordial to the daily functioning of Haitian life, this work is typically undervalued, </w:t>
      </w:r>
      <w:proofErr w:type="spellStart"/>
      <w:r w:rsidRPr="005516CD">
        <w:rPr>
          <w:rFonts w:cstheme="majorHAnsi"/>
          <w:sz w:val="20"/>
          <w:szCs w:val="20"/>
        </w:rPr>
        <w:t>invisibilized</w:t>
      </w:r>
      <w:proofErr w:type="spellEnd"/>
      <w:r w:rsidRPr="005516CD">
        <w:rPr>
          <w:rFonts w:cstheme="majorHAnsi"/>
          <w:sz w:val="20"/>
          <w:szCs w:val="20"/>
        </w:rPr>
        <w:t xml:space="preserve"> and non-remunerated.</w:t>
      </w:r>
    </w:p>
    <w:p w14:paraId="0BD78034" w14:textId="77777777" w:rsidR="00C25FA5" w:rsidRPr="005516CD" w:rsidRDefault="00C25FA5" w:rsidP="00C25FA5">
      <w:pPr>
        <w:pStyle w:val="ParagraphGenderAssessment"/>
        <w:rPr>
          <w:rFonts w:cstheme="majorHAnsi"/>
          <w:color w:val="000000" w:themeColor="text1"/>
          <w:sz w:val="20"/>
          <w:szCs w:val="20"/>
        </w:rPr>
      </w:pPr>
      <w:r w:rsidRPr="005516CD">
        <w:rPr>
          <w:rFonts w:cstheme="majorHAnsi"/>
          <w:color w:val="000000" w:themeColor="text1"/>
          <w:sz w:val="20"/>
          <w:szCs w:val="20"/>
        </w:rPr>
        <w:t>Women also play a key role in the rural economy. They are the main actors in the commercialization, processing, and transformation of agricultural products for local markets, they also plant and weed crops, ensure household food security, and the supply of drinking water</w:t>
      </w:r>
      <w:r w:rsidRPr="005516CD">
        <w:rPr>
          <w:rStyle w:val="FootnoteReference"/>
          <w:rFonts w:cstheme="majorHAnsi"/>
          <w:color w:val="000000" w:themeColor="text1"/>
          <w:sz w:val="20"/>
          <w:szCs w:val="20"/>
        </w:rPr>
        <w:footnoteReference w:id="111"/>
      </w:r>
      <w:r w:rsidRPr="005516CD">
        <w:rPr>
          <w:rFonts w:cstheme="majorHAnsi"/>
          <w:color w:val="000000" w:themeColor="text1"/>
          <w:sz w:val="20"/>
          <w:szCs w:val="20"/>
        </w:rPr>
        <w:t>. Men on the other hand, engage in the heavier labor activities, animal husbandry, and production of export crops (coffee, mangoes, etc.)</w:t>
      </w:r>
      <w:r w:rsidRPr="005516CD">
        <w:rPr>
          <w:rStyle w:val="FootnoteReference"/>
          <w:rFonts w:cstheme="majorHAnsi"/>
          <w:color w:val="000000" w:themeColor="text1"/>
          <w:sz w:val="20"/>
          <w:szCs w:val="20"/>
        </w:rPr>
        <w:footnoteReference w:id="112"/>
      </w:r>
      <w:r w:rsidRPr="005516CD">
        <w:rPr>
          <w:rFonts w:cstheme="majorHAnsi"/>
          <w:color w:val="000000" w:themeColor="text1"/>
          <w:sz w:val="20"/>
          <w:szCs w:val="20"/>
        </w:rPr>
        <w:t>.</w:t>
      </w:r>
    </w:p>
    <w:p w14:paraId="655DF419"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Poverty</w:t>
      </w:r>
    </w:p>
    <w:p w14:paraId="606A5F89" w14:textId="77777777" w:rsidR="00C25FA5" w:rsidRPr="005516CD" w:rsidRDefault="00C25FA5" w:rsidP="00C25FA5">
      <w:pPr>
        <w:pStyle w:val="ParagraphGenderAssessment"/>
        <w:rPr>
          <w:rFonts w:eastAsia="Calibri" w:cstheme="majorHAnsi"/>
          <w:sz w:val="20"/>
          <w:szCs w:val="20"/>
        </w:rPr>
      </w:pPr>
      <w:r w:rsidRPr="005516CD">
        <w:rPr>
          <w:rFonts w:eastAsia="Calibri" w:cstheme="majorHAnsi"/>
          <w:sz w:val="20"/>
          <w:szCs w:val="20"/>
        </w:rPr>
        <w:t xml:space="preserve">Haiti is one of the poorest countries in the world, with 59% of </w:t>
      </w:r>
      <w:r w:rsidRPr="005516CD">
        <w:rPr>
          <w:rFonts w:cstheme="majorHAnsi"/>
          <w:sz w:val="20"/>
          <w:szCs w:val="20"/>
          <w:lang w:val="en"/>
        </w:rPr>
        <w:t>the population living on less than 2.5 USD per day (equivalent to about 162.5 gourds)</w:t>
      </w:r>
      <w:r w:rsidRPr="005516CD">
        <w:rPr>
          <w:rFonts w:eastAsia="Calibri" w:cstheme="majorHAnsi"/>
          <w:sz w:val="20"/>
          <w:szCs w:val="20"/>
          <w:vertAlign w:val="superscript"/>
        </w:rPr>
        <w:footnoteReference w:id="113"/>
      </w:r>
      <w:r w:rsidRPr="005516CD">
        <w:rPr>
          <w:rFonts w:eastAsia="Calibri" w:cstheme="majorHAnsi"/>
          <w:sz w:val="20"/>
          <w:szCs w:val="20"/>
        </w:rPr>
        <w:t xml:space="preserve">. </w:t>
      </w:r>
      <w:r w:rsidRPr="005516CD">
        <w:rPr>
          <w:rFonts w:cstheme="majorHAnsi"/>
          <w:sz w:val="20"/>
          <w:szCs w:val="20"/>
          <w:lang w:val="en"/>
        </w:rPr>
        <w:t>Over the last thirty years, there has been a “feminization” of poverty</w:t>
      </w:r>
      <w:r w:rsidRPr="005516CD">
        <w:rPr>
          <w:rStyle w:val="FootnoteReference"/>
          <w:rFonts w:cstheme="majorHAnsi"/>
          <w:sz w:val="20"/>
          <w:szCs w:val="20"/>
          <w:lang w:val="en"/>
        </w:rPr>
        <w:footnoteReference w:id="114"/>
      </w:r>
      <w:r w:rsidRPr="005516CD">
        <w:rPr>
          <w:rFonts w:cstheme="majorHAnsi"/>
          <w:sz w:val="20"/>
          <w:szCs w:val="20"/>
          <w:lang w:val="en"/>
        </w:rPr>
        <w:t xml:space="preserve"> and today </w:t>
      </w:r>
      <w:r w:rsidRPr="005516CD">
        <w:rPr>
          <w:rFonts w:eastAsiaTheme="majorEastAsia" w:cstheme="majorHAnsi"/>
          <w:sz w:val="20"/>
          <w:szCs w:val="20"/>
        </w:rPr>
        <w:t xml:space="preserve">are more women in extreme poverty than men, living on under </w:t>
      </w:r>
      <w:r w:rsidRPr="005516CD">
        <w:rPr>
          <w:rFonts w:eastAsia="Calibri" w:cstheme="majorHAnsi"/>
          <w:sz w:val="20"/>
          <w:szCs w:val="20"/>
        </w:rPr>
        <w:t>USD 1.23 per day</w:t>
      </w:r>
      <w:r w:rsidRPr="005516CD">
        <w:rPr>
          <w:rFonts w:eastAsia="Calibri" w:cstheme="majorHAnsi"/>
          <w:sz w:val="20"/>
          <w:szCs w:val="20"/>
          <w:vertAlign w:val="superscript"/>
        </w:rPr>
        <w:footnoteReference w:id="115"/>
      </w:r>
      <w:r w:rsidRPr="005516CD">
        <w:rPr>
          <w:rFonts w:eastAsia="Calibri" w:cstheme="majorHAnsi"/>
          <w:sz w:val="20"/>
          <w:szCs w:val="20"/>
        </w:rPr>
        <w:t xml:space="preserve">. </w:t>
      </w:r>
      <w:r w:rsidRPr="005516CD">
        <w:rPr>
          <w:rFonts w:eastAsiaTheme="minorHAnsi" w:cstheme="majorHAnsi"/>
          <w:sz w:val="20"/>
          <w:szCs w:val="20"/>
        </w:rPr>
        <w:t>Overall women earn less than half of what men earn, and most women are employed in the informal sector, making them vulnerable to labor exploitation.</w:t>
      </w:r>
    </w:p>
    <w:p w14:paraId="6BDFFFA8" w14:textId="77777777" w:rsidR="00C25FA5" w:rsidRPr="005516CD" w:rsidRDefault="00C25FA5" w:rsidP="00C25FA5">
      <w:pPr>
        <w:pStyle w:val="ParagraphGenderAssessment"/>
        <w:rPr>
          <w:rFonts w:cstheme="majorHAnsi"/>
          <w:color w:val="000000" w:themeColor="text1"/>
          <w:sz w:val="20"/>
          <w:szCs w:val="20"/>
        </w:rPr>
      </w:pPr>
      <w:r w:rsidRPr="005516CD">
        <w:rPr>
          <w:rFonts w:eastAsia="Calibri" w:cstheme="majorHAnsi"/>
          <w:sz w:val="20"/>
          <w:szCs w:val="20"/>
        </w:rPr>
        <w:t xml:space="preserve">The </w:t>
      </w:r>
      <w:r w:rsidRPr="005516CD">
        <w:rPr>
          <w:rFonts w:cstheme="majorHAnsi"/>
          <w:color w:val="000000" w:themeColor="text1"/>
          <w:sz w:val="20"/>
          <w:szCs w:val="20"/>
        </w:rPr>
        <w:t xml:space="preserve">incidence of poverty is much higher among the rural population (75% compared to 41% in urban areas), especially with </w:t>
      </w:r>
      <w:r w:rsidRPr="005516CD">
        <w:rPr>
          <w:rFonts w:cstheme="majorHAnsi"/>
          <w:sz w:val="20"/>
          <w:szCs w:val="20"/>
          <w:lang w:val="en"/>
        </w:rPr>
        <w:t xml:space="preserve">a high rate of unemployment and precariousness of production. In fact, </w:t>
      </w:r>
      <w:r w:rsidRPr="005516CD">
        <w:rPr>
          <w:rFonts w:cstheme="majorHAnsi"/>
          <w:color w:val="000000" w:themeColor="text1"/>
          <w:sz w:val="20"/>
          <w:szCs w:val="20"/>
        </w:rPr>
        <w:t>the highest poverty headcount index is highest in the Northeast (84%) and Northwest (72%) departments</w:t>
      </w:r>
      <w:r w:rsidRPr="005516CD">
        <w:rPr>
          <w:rStyle w:val="FootnoteReference"/>
          <w:rFonts w:cstheme="majorHAnsi"/>
          <w:color w:val="000000" w:themeColor="text1"/>
          <w:sz w:val="20"/>
          <w:szCs w:val="20"/>
        </w:rPr>
        <w:footnoteReference w:id="116"/>
      </w:r>
      <w:r w:rsidRPr="005516CD">
        <w:rPr>
          <w:rFonts w:cstheme="majorHAnsi"/>
          <w:color w:val="000000" w:themeColor="text1"/>
          <w:sz w:val="20"/>
          <w:szCs w:val="20"/>
        </w:rPr>
        <w:t>, where part of this GEF project will take place. Poverty affects all aspects of life, including housing, nutrition, education, and human and environmental health. In fact, these spatial disparities closely parallel the geographic distribution of health outcomes and access to basic services</w:t>
      </w:r>
      <w:r w:rsidRPr="005516CD">
        <w:rPr>
          <w:rStyle w:val="FootnoteReference"/>
          <w:rFonts w:cstheme="majorHAnsi"/>
          <w:color w:val="000000" w:themeColor="text1"/>
          <w:sz w:val="20"/>
          <w:szCs w:val="20"/>
        </w:rPr>
        <w:footnoteReference w:id="117"/>
      </w:r>
      <w:r w:rsidRPr="005516CD">
        <w:rPr>
          <w:rFonts w:cstheme="majorHAnsi"/>
          <w:color w:val="000000" w:themeColor="text1"/>
          <w:sz w:val="20"/>
          <w:szCs w:val="20"/>
        </w:rPr>
        <w:t>.</w:t>
      </w:r>
    </w:p>
    <w:p w14:paraId="0B5FB7A9" w14:textId="77777777" w:rsidR="00C25FA5" w:rsidRPr="005516CD" w:rsidRDefault="00C25FA5" w:rsidP="00C25FA5">
      <w:pPr>
        <w:pStyle w:val="ParagraphGenderAssessment"/>
        <w:rPr>
          <w:rFonts w:eastAsia="Calibri" w:cstheme="majorHAnsi"/>
          <w:sz w:val="20"/>
          <w:szCs w:val="20"/>
        </w:rPr>
      </w:pPr>
      <w:r w:rsidRPr="005516CD">
        <w:rPr>
          <w:rFonts w:eastAsia="Calibri" w:cstheme="majorHAnsi"/>
          <w:sz w:val="20"/>
          <w:szCs w:val="20"/>
        </w:rPr>
        <w:t xml:space="preserve">Almost half of the households in Haiti are women-led, yet the </w:t>
      </w:r>
      <w:r w:rsidRPr="005516CD">
        <w:rPr>
          <w:rFonts w:eastAsiaTheme="majorEastAsia" w:cstheme="majorHAnsi"/>
          <w:sz w:val="20"/>
          <w:szCs w:val="20"/>
        </w:rPr>
        <w:t>per capita income in these households is 7% less than those headed by men</w:t>
      </w:r>
      <w:r w:rsidRPr="005516CD">
        <w:rPr>
          <w:rStyle w:val="FootnoteReference"/>
          <w:rFonts w:eastAsiaTheme="majorEastAsia" w:cstheme="majorHAnsi"/>
          <w:sz w:val="20"/>
          <w:szCs w:val="20"/>
        </w:rPr>
        <w:footnoteReference w:id="118"/>
      </w:r>
      <w:r w:rsidRPr="005516CD">
        <w:rPr>
          <w:rFonts w:eastAsiaTheme="majorEastAsia" w:cstheme="majorHAnsi"/>
          <w:sz w:val="20"/>
          <w:szCs w:val="20"/>
        </w:rPr>
        <w:t xml:space="preserve">. </w:t>
      </w:r>
    </w:p>
    <w:p w14:paraId="721589F6"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Education</w:t>
      </w:r>
    </w:p>
    <w:p w14:paraId="3F5A8BB7" w14:textId="77777777" w:rsidR="00C25FA5" w:rsidRPr="005516CD" w:rsidRDefault="00C25FA5" w:rsidP="00C25FA5">
      <w:pPr>
        <w:pStyle w:val="ParagraphGenderAssessment"/>
        <w:rPr>
          <w:rFonts w:cstheme="majorHAnsi"/>
          <w:sz w:val="20"/>
          <w:szCs w:val="20"/>
          <w:shd w:val="clear" w:color="auto" w:fill="FFFFFF"/>
        </w:rPr>
      </w:pPr>
      <w:r w:rsidRPr="005516CD">
        <w:rPr>
          <w:rFonts w:cstheme="majorHAnsi"/>
          <w:sz w:val="20"/>
          <w:szCs w:val="20"/>
          <w:shd w:val="clear" w:color="auto" w:fill="FFFFFF"/>
        </w:rPr>
        <w:t>Nearly half of all Haitian children do not attend school</w:t>
      </w:r>
      <w:r w:rsidRPr="005516CD">
        <w:rPr>
          <w:rStyle w:val="FootnoteReference"/>
          <w:rFonts w:cstheme="majorHAnsi"/>
          <w:sz w:val="20"/>
          <w:szCs w:val="20"/>
          <w:shd w:val="clear" w:color="auto" w:fill="FFFFFF"/>
        </w:rPr>
        <w:footnoteReference w:id="119"/>
      </w:r>
      <w:r w:rsidRPr="005516CD">
        <w:rPr>
          <w:rFonts w:cstheme="majorHAnsi"/>
          <w:sz w:val="20"/>
          <w:szCs w:val="20"/>
          <w:shd w:val="clear" w:color="auto" w:fill="FFFFFF"/>
        </w:rPr>
        <w:t>, highlighting the myriad challenges both girls and boys face in accessing free, quality education - especially those from poor and rural households. The public education system faces shortages of qualified teachers, limited supplies and a lack of infrastructure. The bulk of functioning schools (85%) are run by private entities, many of the elite operated by Canada, France or the United States</w:t>
      </w:r>
      <w:r w:rsidRPr="005516CD">
        <w:rPr>
          <w:rStyle w:val="FootnoteReference"/>
          <w:rFonts w:cstheme="majorHAnsi"/>
          <w:sz w:val="20"/>
          <w:szCs w:val="20"/>
          <w:shd w:val="clear" w:color="auto" w:fill="FFFFFF"/>
        </w:rPr>
        <w:footnoteReference w:id="120"/>
      </w:r>
      <w:r w:rsidRPr="005516CD">
        <w:rPr>
          <w:rFonts w:cstheme="majorHAnsi"/>
          <w:sz w:val="20"/>
          <w:szCs w:val="20"/>
          <w:shd w:val="clear" w:color="auto" w:fill="FFFFFF"/>
        </w:rPr>
        <w:t>, with school fees that are prohibitively unaffordable for low-income families</w:t>
      </w:r>
      <w:r w:rsidRPr="005516CD">
        <w:rPr>
          <w:rStyle w:val="FootnoteReference"/>
          <w:rFonts w:cstheme="majorHAnsi"/>
          <w:sz w:val="20"/>
          <w:szCs w:val="20"/>
          <w:shd w:val="clear" w:color="auto" w:fill="FFFFFF"/>
        </w:rPr>
        <w:footnoteReference w:id="121"/>
      </w:r>
      <w:r w:rsidRPr="005516CD">
        <w:rPr>
          <w:rFonts w:cstheme="majorHAnsi"/>
          <w:sz w:val="20"/>
          <w:szCs w:val="20"/>
          <w:shd w:val="clear" w:color="auto" w:fill="FFFFFF"/>
        </w:rPr>
        <w:t>. Consequently, more than 500,000 children and youth remain out of primary and secondary school</w:t>
      </w:r>
      <w:r w:rsidRPr="005516CD">
        <w:rPr>
          <w:rStyle w:val="FootnoteReference"/>
          <w:rFonts w:cstheme="majorHAnsi"/>
          <w:sz w:val="20"/>
          <w:szCs w:val="20"/>
          <w:shd w:val="clear" w:color="auto" w:fill="FFFFFF"/>
        </w:rPr>
        <w:footnoteReference w:id="122"/>
      </w:r>
      <w:r w:rsidRPr="005516CD">
        <w:rPr>
          <w:rFonts w:cstheme="majorHAnsi"/>
          <w:sz w:val="20"/>
          <w:szCs w:val="20"/>
          <w:shd w:val="clear" w:color="auto" w:fill="FFFFFF"/>
        </w:rPr>
        <w:t xml:space="preserve">, which has created and reinforces an educational divide </w:t>
      </w:r>
      <w:r w:rsidRPr="005516CD">
        <w:rPr>
          <w:rFonts w:cstheme="majorHAnsi"/>
          <w:color w:val="000000" w:themeColor="text1"/>
          <w:sz w:val="20"/>
          <w:szCs w:val="20"/>
          <w:shd w:val="clear" w:color="auto" w:fill="FFFFFF"/>
        </w:rPr>
        <w:t>and continual poverty gap that exists in Haiti.</w:t>
      </w:r>
    </w:p>
    <w:p w14:paraId="0FAED44F" w14:textId="77777777" w:rsidR="00C25FA5" w:rsidRPr="005516CD" w:rsidRDefault="00C25FA5" w:rsidP="00C25FA5">
      <w:pPr>
        <w:pStyle w:val="ParagraphGenderAssessment"/>
        <w:rPr>
          <w:rFonts w:eastAsiaTheme="majorEastAsia" w:cstheme="majorHAnsi"/>
          <w:sz w:val="20"/>
          <w:szCs w:val="20"/>
        </w:rPr>
      </w:pPr>
      <w:r w:rsidRPr="005516CD">
        <w:rPr>
          <w:rFonts w:eastAsiaTheme="majorEastAsia" w:cstheme="majorHAnsi"/>
          <w:sz w:val="20"/>
          <w:szCs w:val="20"/>
        </w:rPr>
        <w:t>Although the available data suggests that both boys and girls have equal access to education - with a near gender parity in terms of education levels and similar illiteracy rates among men and women</w:t>
      </w:r>
      <w:r w:rsidRPr="005516CD">
        <w:rPr>
          <w:rStyle w:val="FootnoteReference"/>
          <w:rFonts w:eastAsiaTheme="majorEastAsia" w:cstheme="majorHAnsi"/>
          <w:sz w:val="20"/>
          <w:szCs w:val="20"/>
        </w:rPr>
        <w:footnoteReference w:id="123"/>
      </w:r>
      <w:r w:rsidRPr="005516CD">
        <w:rPr>
          <w:rFonts w:eastAsiaTheme="majorEastAsia" w:cstheme="majorHAnsi"/>
          <w:sz w:val="20"/>
          <w:szCs w:val="20"/>
        </w:rPr>
        <w:t xml:space="preserve"> - discriminatory attitudes and gender stereotypes are prevalent. Consequently, education tends to favor the advancement of boys, while young girls face numerous obstacles</w:t>
      </w:r>
      <w:r w:rsidRPr="005516CD">
        <w:rPr>
          <w:rStyle w:val="FootnoteReference"/>
          <w:rFonts w:eastAsiaTheme="majorEastAsia" w:cstheme="majorHAnsi"/>
          <w:sz w:val="20"/>
          <w:szCs w:val="20"/>
        </w:rPr>
        <w:footnoteReference w:id="124"/>
      </w:r>
      <w:r w:rsidRPr="005516CD">
        <w:rPr>
          <w:rFonts w:eastAsiaTheme="majorEastAsia" w:cstheme="majorHAnsi"/>
          <w:sz w:val="20"/>
          <w:szCs w:val="20"/>
        </w:rPr>
        <w:t>. Indeed, in post-secondary institutions, women students are underrepresented compared to men</w:t>
      </w:r>
      <w:r w:rsidRPr="005516CD">
        <w:rPr>
          <w:rStyle w:val="FootnoteReference"/>
          <w:rFonts w:eastAsiaTheme="majorEastAsia" w:cstheme="majorHAnsi"/>
          <w:sz w:val="20"/>
          <w:szCs w:val="20"/>
        </w:rPr>
        <w:footnoteReference w:id="125"/>
      </w:r>
      <w:r w:rsidRPr="005516CD">
        <w:rPr>
          <w:rFonts w:eastAsiaTheme="majorEastAsia" w:cstheme="majorHAnsi"/>
          <w:sz w:val="20"/>
          <w:szCs w:val="20"/>
        </w:rPr>
        <w:t>, and in the job market they tend to get lower paying jobs in more “feminized” niches</w:t>
      </w:r>
      <w:r w:rsidRPr="005516CD">
        <w:rPr>
          <w:rStyle w:val="FootnoteReference"/>
          <w:rFonts w:eastAsiaTheme="majorEastAsia" w:cstheme="majorHAnsi"/>
          <w:sz w:val="20"/>
          <w:szCs w:val="20"/>
        </w:rPr>
        <w:footnoteReference w:id="126"/>
      </w:r>
      <w:r w:rsidRPr="005516CD">
        <w:rPr>
          <w:rFonts w:eastAsiaTheme="majorEastAsia" w:cstheme="majorHAnsi"/>
          <w:sz w:val="20"/>
          <w:szCs w:val="20"/>
          <w:vertAlign w:val="superscript"/>
        </w:rPr>
        <w:t>,</w:t>
      </w:r>
      <w:r w:rsidRPr="005516CD">
        <w:rPr>
          <w:rStyle w:val="FootnoteReference"/>
          <w:rFonts w:eastAsiaTheme="majorEastAsia" w:cstheme="majorHAnsi"/>
          <w:sz w:val="20"/>
          <w:szCs w:val="20"/>
        </w:rPr>
        <w:footnoteReference w:id="127"/>
      </w:r>
      <w:r w:rsidRPr="005516CD">
        <w:rPr>
          <w:rFonts w:eastAsiaTheme="majorEastAsia" w:cstheme="majorHAnsi"/>
          <w:sz w:val="20"/>
          <w:szCs w:val="20"/>
        </w:rPr>
        <w:t>. Gaps among rural and urban areas also highlight the geographic and class distribution of education, where only about 64% of women in rural areas are literate, compared to 84% in urban areas, and this is most acute among poor households</w:t>
      </w:r>
      <w:r w:rsidRPr="005516CD">
        <w:rPr>
          <w:rStyle w:val="FootnoteReference"/>
          <w:rFonts w:eastAsiaTheme="majorEastAsia" w:cstheme="majorHAnsi"/>
          <w:sz w:val="20"/>
          <w:szCs w:val="20"/>
        </w:rPr>
        <w:footnoteReference w:id="128"/>
      </w:r>
      <w:r w:rsidRPr="005516CD">
        <w:rPr>
          <w:rFonts w:eastAsiaTheme="majorEastAsia" w:cstheme="majorHAnsi"/>
          <w:sz w:val="20"/>
          <w:szCs w:val="20"/>
        </w:rPr>
        <w:t xml:space="preserve">. </w:t>
      </w:r>
    </w:p>
    <w:p w14:paraId="41139299" w14:textId="77777777" w:rsidR="00C25FA5" w:rsidRPr="005516CD" w:rsidRDefault="00C25FA5" w:rsidP="00C25FA5">
      <w:pPr>
        <w:pStyle w:val="ParagraphGenderAssessment"/>
        <w:rPr>
          <w:rFonts w:cstheme="majorHAnsi"/>
          <w:color w:val="000000" w:themeColor="text1"/>
          <w:sz w:val="20"/>
          <w:szCs w:val="20"/>
          <w:lang w:val="en"/>
        </w:rPr>
      </w:pPr>
      <w:r w:rsidRPr="005516CD">
        <w:rPr>
          <w:rFonts w:eastAsiaTheme="majorEastAsia" w:cstheme="majorHAnsi"/>
          <w:sz w:val="20"/>
          <w:szCs w:val="20"/>
        </w:rPr>
        <w:t>To counteract the gender stereotypes that shape women’s life options, the M</w:t>
      </w:r>
      <w:r w:rsidR="00C83C9F" w:rsidRPr="005516CD">
        <w:rPr>
          <w:rFonts w:eastAsiaTheme="majorEastAsia" w:cstheme="majorHAnsi"/>
          <w:sz w:val="20"/>
          <w:szCs w:val="20"/>
        </w:rPr>
        <w:t>inistry of the Feminine Condition and Women’s Rights (M</w:t>
      </w:r>
      <w:r w:rsidRPr="005516CD">
        <w:rPr>
          <w:rFonts w:eastAsiaTheme="majorEastAsia" w:cstheme="majorHAnsi"/>
          <w:sz w:val="20"/>
          <w:szCs w:val="20"/>
        </w:rPr>
        <w:t>CFDF</w:t>
      </w:r>
      <w:r w:rsidR="00C83C9F" w:rsidRPr="005516CD">
        <w:rPr>
          <w:rFonts w:eastAsiaTheme="majorEastAsia" w:cstheme="majorHAnsi"/>
          <w:sz w:val="20"/>
          <w:szCs w:val="20"/>
        </w:rPr>
        <w:t>)</w:t>
      </w:r>
      <w:r w:rsidRPr="005516CD">
        <w:rPr>
          <w:rFonts w:eastAsiaTheme="majorEastAsia" w:cstheme="majorHAnsi"/>
          <w:sz w:val="20"/>
          <w:szCs w:val="20"/>
        </w:rPr>
        <w:t xml:space="preserve"> signed a </w:t>
      </w:r>
      <w:proofErr w:type="spellStart"/>
      <w:r w:rsidRPr="005516CD">
        <w:rPr>
          <w:rFonts w:eastAsiaTheme="majorEastAsia" w:cstheme="majorHAnsi"/>
          <w:i/>
          <w:sz w:val="20"/>
          <w:szCs w:val="20"/>
        </w:rPr>
        <w:t>protocole</w:t>
      </w:r>
      <w:proofErr w:type="spellEnd"/>
      <w:r w:rsidRPr="005516CD">
        <w:rPr>
          <w:rFonts w:eastAsiaTheme="majorEastAsia" w:cstheme="majorHAnsi"/>
          <w:i/>
          <w:sz w:val="20"/>
          <w:szCs w:val="20"/>
        </w:rPr>
        <w:t xml:space="preserve"> </w:t>
      </w:r>
      <w:proofErr w:type="spellStart"/>
      <w:r w:rsidRPr="005516CD">
        <w:rPr>
          <w:rFonts w:eastAsiaTheme="majorEastAsia" w:cstheme="majorHAnsi"/>
          <w:i/>
          <w:sz w:val="20"/>
          <w:szCs w:val="20"/>
        </w:rPr>
        <w:t>d'accord</w:t>
      </w:r>
      <w:proofErr w:type="spellEnd"/>
      <w:r w:rsidRPr="005516CD">
        <w:rPr>
          <w:rFonts w:eastAsiaTheme="majorEastAsia" w:cstheme="majorHAnsi"/>
          <w:sz w:val="20"/>
          <w:szCs w:val="20"/>
        </w:rPr>
        <w:t xml:space="preserve"> in 2007 with the Ministry of Education, focusing on the issue of the exclusion of girls in the education system. </w:t>
      </w:r>
      <w:r w:rsidRPr="005516CD">
        <w:rPr>
          <w:rFonts w:cstheme="majorHAnsi"/>
          <w:color w:val="000000" w:themeColor="text1"/>
          <w:sz w:val="20"/>
          <w:szCs w:val="20"/>
          <w:shd w:val="clear" w:color="auto" w:fill="FFFFFF"/>
        </w:rPr>
        <w:t xml:space="preserve">Nonetheless, gender roles and the unequal division of unpaid labor </w:t>
      </w:r>
      <w:r w:rsidRPr="005516CD">
        <w:rPr>
          <w:rFonts w:cstheme="majorHAnsi"/>
          <w:color w:val="000000" w:themeColor="text1"/>
          <w:sz w:val="20"/>
          <w:szCs w:val="20"/>
          <w:lang w:val="en"/>
        </w:rPr>
        <w:t xml:space="preserve">continues to </w:t>
      </w:r>
      <w:r w:rsidRPr="005516CD">
        <w:rPr>
          <w:rFonts w:cstheme="majorHAnsi"/>
          <w:color w:val="000000" w:themeColor="text1"/>
          <w:sz w:val="20"/>
          <w:szCs w:val="20"/>
          <w:shd w:val="clear" w:color="auto" w:fill="FFFFFF"/>
        </w:rPr>
        <w:t>limit the</w:t>
      </w:r>
      <w:r w:rsidRPr="005516CD">
        <w:rPr>
          <w:rFonts w:cstheme="majorHAnsi"/>
          <w:sz w:val="20"/>
          <w:szCs w:val="20"/>
          <w:shd w:val="clear" w:color="auto" w:fill="FFFFFF"/>
        </w:rPr>
        <w:t xml:space="preserve"> opportunities of girls receiving a quality education</w:t>
      </w:r>
      <w:r w:rsidRPr="005516CD">
        <w:rPr>
          <w:rFonts w:cstheme="majorHAnsi"/>
          <w:color w:val="000000" w:themeColor="text1"/>
          <w:sz w:val="20"/>
          <w:szCs w:val="20"/>
          <w:shd w:val="clear" w:color="auto" w:fill="FFFFFF"/>
        </w:rPr>
        <w:t xml:space="preserve">, by </w:t>
      </w:r>
      <w:r w:rsidRPr="005516CD">
        <w:rPr>
          <w:rFonts w:cstheme="majorHAnsi"/>
          <w:color w:val="000000" w:themeColor="text1"/>
          <w:sz w:val="20"/>
          <w:szCs w:val="20"/>
          <w:lang w:val="en"/>
        </w:rPr>
        <w:t xml:space="preserve">confining them to the household and burdening them with domestic chores. </w:t>
      </w:r>
    </w:p>
    <w:p w14:paraId="26EBBE64" w14:textId="77777777" w:rsidR="00C25FA5" w:rsidRPr="005516CD" w:rsidRDefault="00C25FA5" w:rsidP="00C25FA5">
      <w:pPr>
        <w:pStyle w:val="ParagraphGenderAssessment"/>
        <w:rPr>
          <w:rFonts w:eastAsiaTheme="majorEastAsia" w:cstheme="majorHAnsi"/>
          <w:sz w:val="20"/>
          <w:szCs w:val="20"/>
        </w:rPr>
      </w:pPr>
      <w:r w:rsidRPr="005516CD">
        <w:rPr>
          <w:rFonts w:cstheme="majorHAnsi"/>
          <w:sz w:val="20"/>
          <w:szCs w:val="20"/>
          <w:shd w:val="clear" w:color="auto" w:fill="FFFFFF"/>
        </w:rPr>
        <w:t>Enforced child labor is already a prevailing risk in Haiti, especially among uneducated girls from low-income families</w:t>
      </w:r>
      <w:r w:rsidRPr="005516CD">
        <w:rPr>
          <w:rStyle w:val="FootnoteReference"/>
          <w:rFonts w:cstheme="majorHAnsi"/>
          <w:sz w:val="20"/>
          <w:szCs w:val="20"/>
          <w:shd w:val="clear" w:color="auto" w:fill="FFFFFF"/>
        </w:rPr>
        <w:footnoteReference w:id="129"/>
      </w:r>
      <w:r w:rsidRPr="005516CD">
        <w:rPr>
          <w:rFonts w:cstheme="majorHAnsi"/>
          <w:sz w:val="20"/>
          <w:szCs w:val="20"/>
          <w:shd w:val="clear" w:color="auto" w:fill="FFFFFF"/>
        </w:rPr>
        <w:t xml:space="preserve"> who may be sold to more affluent families to work as “</w:t>
      </w:r>
      <w:proofErr w:type="spellStart"/>
      <w:r w:rsidRPr="005516CD">
        <w:rPr>
          <w:rFonts w:cstheme="majorHAnsi"/>
          <w:sz w:val="20"/>
          <w:szCs w:val="20"/>
        </w:rPr>
        <w:t>restavèks</w:t>
      </w:r>
      <w:proofErr w:type="spellEnd"/>
      <w:r w:rsidRPr="005516CD">
        <w:rPr>
          <w:rFonts w:cstheme="majorHAnsi"/>
          <w:sz w:val="20"/>
          <w:szCs w:val="20"/>
          <w:shd w:val="clear" w:color="auto" w:fill="FFFFFF"/>
        </w:rPr>
        <w:t>” under unregulated and often abject conditions</w:t>
      </w:r>
      <w:r w:rsidRPr="005516CD">
        <w:rPr>
          <w:rStyle w:val="FootnoteReference"/>
          <w:rFonts w:cstheme="majorHAnsi"/>
          <w:sz w:val="20"/>
          <w:szCs w:val="20"/>
          <w:shd w:val="clear" w:color="auto" w:fill="FFFFFF"/>
        </w:rPr>
        <w:footnoteReference w:id="130"/>
      </w:r>
      <w:r w:rsidRPr="005516CD">
        <w:rPr>
          <w:rFonts w:cstheme="majorHAnsi"/>
          <w:sz w:val="20"/>
          <w:szCs w:val="20"/>
          <w:shd w:val="clear" w:color="auto" w:fill="FFFFFF"/>
        </w:rPr>
        <w:t xml:space="preserve">. </w:t>
      </w:r>
    </w:p>
    <w:p w14:paraId="3CF3CEC1"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Political participation</w:t>
      </w:r>
    </w:p>
    <w:p w14:paraId="704FA671" w14:textId="77777777" w:rsidR="00C25FA5" w:rsidRPr="005516CD" w:rsidRDefault="00C25FA5" w:rsidP="00C25FA5">
      <w:pPr>
        <w:pStyle w:val="ParagraphGenderAssessment"/>
        <w:rPr>
          <w:rFonts w:cstheme="majorHAnsi"/>
          <w:color w:val="000000" w:themeColor="text1"/>
          <w:sz w:val="20"/>
          <w:szCs w:val="20"/>
        </w:rPr>
      </w:pPr>
      <w:r w:rsidRPr="005516CD">
        <w:rPr>
          <w:rFonts w:eastAsiaTheme="minorHAnsi" w:cstheme="majorHAnsi"/>
          <w:sz w:val="20"/>
          <w:szCs w:val="20"/>
        </w:rPr>
        <w:t xml:space="preserve">Rural women are insufficiently informed, consulted, or </w:t>
      </w:r>
      <w:r w:rsidRPr="005516CD">
        <w:rPr>
          <w:rFonts w:eastAsia="MS Gothic" w:cstheme="majorHAnsi"/>
          <w:sz w:val="20"/>
          <w:szCs w:val="20"/>
        </w:rPr>
        <w:t>included in the design of public policies</w:t>
      </w:r>
      <w:r w:rsidRPr="005516CD">
        <w:rPr>
          <w:rFonts w:cstheme="majorHAnsi"/>
          <w:sz w:val="20"/>
          <w:szCs w:val="20"/>
        </w:rPr>
        <w:t xml:space="preserve"> and, at the national level, few actions have been taken to create a space where women can fully and meaningfully participate </w:t>
      </w:r>
      <w:r w:rsidRPr="005516CD">
        <w:rPr>
          <w:rFonts w:cstheme="majorHAnsi"/>
          <w:color w:val="000000" w:themeColor="text1"/>
          <w:sz w:val="20"/>
          <w:szCs w:val="20"/>
        </w:rPr>
        <w:t>in environmental management</w:t>
      </w:r>
      <w:r w:rsidRPr="005516CD">
        <w:rPr>
          <w:rStyle w:val="FootnoteReference"/>
          <w:rFonts w:eastAsia="MS Gothic" w:cstheme="majorHAnsi"/>
          <w:color w:val="000000" w:themeColor="text1"/>
          <w:sz w:val="20"/>
          <w:szCs w:val="20"/>
        </w:rPr>
        <w:footnoteReference w:id="131"/>
      </w:r>
      <w:r w:rsidRPr="005516CD">
        <w:rPr>
          <w:rFonts w:eastAsia="MS Gothic" w:cstheme="majorHAnsi"/>
          <w:color w:val="000000" w:themeColor="text1"/>
          <w:sz w:val="20"/>
          <w:szCs w:val="20"/>
        </w:rPr>
        <w:t xml:space="preserve">.  </w:t>
      </w:r>
      <w:r w:rsidRPr="005516CD">
        <w:rPr>
          <w:rFonts w:cstheme="majorHAnsi"/>
          <w:color w:val="000000" w:themeColor="text1"/>
          <w:sz w:val="20"/>
          <w:szCs w:val="20"/>
        </w:rPr>
        <w:t>This is even more pronounced in in areas outside the capital and in the target ​​regions of this project</w:t>
      </w:r>
      <w:r w:rsidRPr="005516CD">
        <w:rPr>
          <w:rStyle w:val="FootnoteReference"/>
          <w:rFonts w:cstheme="majorHAnsi"/>
          <w:color w:val="000000" w:themeColor="text1"/>
          <w:sz w:val="20"/>
          <w:szCs w:val="20"/>
        </w:rPr>
        <w:footnoteReference w:id="132"/>
      </w:r>
      <w:r w:rsidRPr="005516CD">
        <w:rPr>
          <w:rFonts w:cstheme="majorHAnsi"/>
          <w:color w:val="000000" w:themeColor="text1"/>
          <w:sz w:val="20"/>
          <w:szCs w:val="20"/>
        </w:rPr>
        <w:t xml:space="preserve">. </w:t>
      </w:r>
    </w:p>
    <w:p w14:paraId="3AB11F35" w14:textId="77777777" w:rsidR="00C25FA5" w:rsidRPr="005516CD" w:rsidRDefault="00C25FA5" w:rsidP="00C25FA5">
      <w:pPr>
        <w:pStyle w:val="ParagraphGenderAssessment"/>
        <w:rPr>
          <w:rFonts w:cstheme="majorHAnsi"/>
          <w:sz w:val="20"/>
          <w:szCs w:val="20"/>
        </w:rPr>
      </w:pPr>
      <w:r w:rsidRPr="005516CD">
        <w:rPr>
          <w:rFonts w:eastAsiaTheme="minorHAnsi" w:cstheme="majorHAnsi"/>
          <w:sz w:val="20"/>
          <w:szCs w:val="20"/>
        </w:rPr>
        <w:t>While women face no legal obstacles to vote and stand for election,</w:t>
      </w:r>
      <w:r w:rsidRPr="005516CD">
        <w:rPr>
          <w:rFonts w:cstheme="majorHAnsi"/>
          <w:b/>
          <w:sz w:val="20"/>
          <w:szCs w:val="20"/>
        </w:rPr>
        <w:t xml:space="preserve"> </w:t>
      </w:r>
      <w:r w:rsidRPr="005516CD">
        <w:rPr>
          <w:rFonts w:cstheme="majorHAnsi"/>
          <w:sz w:val="20"/>
          <w:szCs w:val="20"/>
        </w:rPr>
        <w:t>in the 2015 presidential and legislative elections, over 90% of the candidates were men</w:t>
      </w:r>
      <w:r w:rsidRPr="005516CD">
        <w:rPr>
          <w:rStyle w:val="FootnoteReference"/>
          <w:rFonts w:eastAsiaTheme="majorEastAsia" w:cstheme="majorHAnsi"/>
          <w:sz w:val="20"/>
          <w:szCs w:val="20"/>
        </w:rPr>
        <w:footnoteReference w:id="133"/>
      </w:r>
      <w:r w:rsidRPr="005516CD">
        <w:rPr>
          <w:rFonts w:cstheme="majorHAnsi"/>
          <w:sz w:val="20"/>
          <w:szCs w:val="20"/>
        </w:rPr>
        <w:t>. While a constitutional amendment in 1987, decreed a 30-percent quota for women’s participation in all levels of public office, gender inequalities continue to exist, and tis especially evident among the positions of power that are dominated by men</w:t>
      </w:r>
      <w:r w:rsidRPr="005516CD">
        <w:rPr>
          <w:rStyle w:val="FootnoteReference"/>
          <w:rFonts w:eastAsiaTheme="majorEastAsia" w:cstheme="majorHAnsi"/>
          <w:sz w:val="20"/>
          <w:szCs w:val="20"/>
        </w:rPr>
        <w:footnoteReference w:id="134"/>
      </w:r>
      <w:r w:rsidRPr="005516CD">
        <w:rPr>
          <w:rFonts w:cstheme="majorHAnsi"/>
          <w:sz w:val="20"/>
          <w:szCs w:val="20"/>
        </w:rPr>
        <w:t xml:space="preserve">. Furthermore, </w:t>
      </w:r>
      <w:r w:rsidRPr="005516CD">
        <w:rPr>
          <w:rFonts w:eastAsiaTheme="minorHAnsi" w:cstheme="majorHAnsi"/>
          <w:sz w:val="20"/>
          <w:szCs w:val="20"/>
        </w:rPr>
        <w:t>representation is regressing, with currently only 3% of women in the Haitian parliament (2017), while in 2003 there were 9% of women</w:t>
      </w:r>
      <w:r w:rsidRPr="005516CD">
        <w:rPr>
          <w:rStyle w:val="FootnoteReference"/>
          <w:rFonts w:eastAsiaTheme="majorEastAsia" w:cstheme="majorHAnsi"/>
          <w:color w:val="000000" w:themeColor="text1"/>
          <w:sz w:val="20"/>
          <w:szCs w:val="20"/>
        </w:rPr>
        <w:footnoteReference w:id="135"/>
      </w:r>
      <w:r w:rsidRPr="005516CD">
        <w:rPr>
          <w:rFonts w:eastAsiaTheme="minorHAnsi" w:cstheme="majorHAnsi"/>
          <w:sz w:val="20"/>
          <w:szCs w:val="20"/>
        </w:rPr>
        <w:t xml:space="preserve">. </w:t>
      </w:r>
      <w:r w:rsidRPr="005516CD">
        <w:rPr>
          <w:rFonts w:cstheme="majorHAnsi"/>
          <w:sz w:val="20"/>
          <w:szCs w:val="20"/>
        </w:rPr>
        <w:t>T</w:t>
      </w:r>
      <w:r w:rsidRPr="005516CD">
        <w:rPr>
          <w:rFonts w:eastAsiaTheme="minorHAnsi" w:cstheme="majorHAnsi"/>
          <w:sz w:val="20"/>
          <w:szCs w:val="20"/>
        </w:rPr>
        <w:t xml:space="preserve">his gender gap is evident at all levels and branches of the government. At the local level, only 3% of </w:t>
      </w:r>
      <w:r w:rsidRPr="005516CD">
        <w:rPr>
          <w:rFonts w:eastAsiaTheme="minorHAnsi" w:cstheme="majorHAnsi"/>
          <w:bCs/>
          <w:sz w:val="20"/>
          <w:szCs w:val="20"/>
        </w:rPr>
        <w:t>CASEC</w:t>
      </w:r>
      <w:r w:rsidRPr="005516CD">
        <w:rPr>
          <w:rFonts w:eastAsiaTheme="minorHAnsi" w:cstheme="majorHAnsi"/>
          <w:sz w:val="20"/>
          <w:szCs w:val="20"/>
        </w:rPr>
        <w:t xml:space="preserve"> (</w:t>
      </w:r>
      <w:r w:rsidRPr="005516CD">
        <w:rPr>
          <w:rFonts w:eastAsiaTheme="minorHAnsi" w:cstheme="majorHAnsi"/>
          <w:i/>
          <w:sz w:val="20"/>
          <w:szCs w:val="20"/>
        </w:rPr>
        <w:t xml:space="preserve">Conseil </w:t>
      </w:r>
      <w:proofErr w:type="spellStart"/>
      <w:r w:rsidRPr="005516CD">
        <w:rPr>
          <w:rFonts w:eastAsiaTheme="minorHAnsi" w:cstheme="majorHAnsi"/>
          <w:i/>
          <w:sz w:val="20"/>
          <w:szCs w:val="20"/>
        </w:rPr>
        <w:t>d'Administration</w:t>
      </w:r>
      <w:proofErr w:type="spellEnd"/>
      <w:r w:rsidRPr="005516CD">
        <w:rPr>
          <w:rFonts w:eastAsiaTheme="minorHAnsi" w:cstheme="majorHAnsi"/>
          <w:i/>
          <w:sz w:val="20"/>
          <w:szCs w:val="20"/>
        </w:rPr>
        <w:t xml:space="preserve"> de la Section </w:t>
      </w:r>
      <w:proofErr w:type="spellStart"/>
      <w:r w:rsidRPr="005516CD">
        <w:rPr>
          <w:rFonts w:eastAsiaTheme="minorHAnsi" w:cstheme="majorHAnsi"/>
          <w:i/>
          <w:sz w:val="20"/>
          <w:szCs w:val="20"/>
        </w:rPr>
        <w:t>Communale</w:t>
      </w:r>
      <w:proofErr w:type="spellEnd"/>
      <w:r w:rsidRPr="005516CD">
        <w:rPr>
          <w:rFonts w:eastAsiaTheme="minorHAnsi" w:cstheme="majorHAnsi"/>
          <w:sz w:val="20"/>
          <w:szCs w:val="20"/>
        </w:rPr>
        <w:t>) representatives are women, and 11% of mayors are women (data from 2012)</w:t>
      </w:r>
      <w:r w:rsidRPr="005516CD">
        <w:rPr>
          <w:rStyle w:val="FootnoteReference"/>
          <w:rFonts w:eastAsiaTheme="majorEastAsia" w:cstheme="majorHAnsi"/>
          <w:sz w:val="20"/>
          <w:szCs w:val="20"/>
        </w:rPr>
        <w:t xml:space="preserve"> </w:t>
      </w:r>
      <w:r w:rsidRPr="005516CD">
        <w:rPr>
          <w:rStyle w:val="FootnoteReference"/>
          <w:rFonts w:eastAsiaTheme="majorEastAsia" w:cstheme="majorHAnsi"/>
          <w:sz w:val="20"/>
          <w:szCs w:val="20"/>
        </w:rPr>
        <w:footnoteReference w:id="136"/>
      </w:r>
      <w:r w:rsidRPr="005516CD">
        <w:rPr>
          <w:rFonts w:eastAsiaTheme="minorHAnsi" w:cstheme="majorHAnsi"/>
          <w:sz w:val="20"/>
          <w:szCs w:val="20"/>
        </w:rPr>
        <w:t xml:space="preserve">. </w:t>
      </w:r>
      <w:r w:rsidRPr="005516CD">
        <w:rPr>
          <w:rFonts w:cstheme="majorHAnsi"/>
          <w:sz w:val="20"/>
          <w:szCs w:val="20"/>
          <w:lang w:val="en"/>
        </w:rPr>
        <w:t>Each municipality is governed by a board of 3 members. There is a limited number of cities that have a woman at the board level and often does not occupy the first place</w:t>
      </w:r>
      <w:r w:rsidRPr="005516CD">
        <w:rPr>
          <w:rStyle w:val="FootnoteReference"/>
          <w:rFonts w:cstheme="majorHAnsi"/>
          <w:sz w:val="20"/>
          <w:szCs w:val="20"/>
          <w:lang w:val="en"/>
        </w:rPr>
        <w:footnoteReference w:id="137"/>
      </w:r>
      <w:r w:rsidRPr="005516CD">
        <w:rPr>
          <w:rFonts w:cstheme="majorHAnsi"/>
          <w:sz w:val="20"/>
          <w:szCs w:val="20"/>
          <w:lang w:val="en"/>
        </w:rPr>
        <w:t>.</w:t>
      </w:r>
    </w:p>
    <w:p w14:paraId="38070C4C" w14:textId="77777777" w:rsidR="00C25FA5" w:rsidRPr="005516CD" w:rsidRDefault="00C25FA5" w:rsidP="00C25FA5">
      <w:pPr>
        <w:pStyle w:val="ParagraphGenderAssessment"/>
        <w:rPr>
          <w:rFonts w:cstheme="majorHAnsi"/>
          <w:sz w:val="20"/>
          <w:szCs w:val="20"/>
          <w:lang w:val="en"/>
        </w:rPr>
      </w:pPr>
      <w:r w:rsidRPr="005516CD">
        <w:rPr>
          <w:rFonts w:cstheme="majorHAnsi"/>
          <w:color w:val="000000" w:themeColor="text1"/>
          <w:sz w:val="20"/>
          <w:szCs w:val="20"/>
        </w:rPr>
        <w:t>MCFDF’s recent inquiry into women’s low rates of political participation</w:t>
      </w:r>
      <w:r w:rsidRPr="005516CD">
        <w:rPr>
          <w:rStyle w:val="FootnoteReference"/>
          <w:rFonts w:cstheme="majorHAnsi"/>
          <w:sz w:val="20"/>
          <w:szCs w:val="20"/>
        </w:rPr>
        <w:footnoteReference w:id="138"/>
      </w:r>
      <w:r w:rsidRPr="005516CD">
        <w:rPr>
          <w:rFonts w:cstheme="majorHAnsi"/>
          <w:sz w:val="20"/>
          <w:szCs w:val="20"/>
        </w:rPr>
        <w:t xml:space="preserve"> indicates </w:t>
      </w:r>
      <w:r w:rsidRPr="005516CD">
        <w:rPr>
          <w:rFonts w:cstheme="majorHAnsi"/>
          <w:sz w:val="20"/>
          <w:szCs w:val="20"/>
          <w:lang w:val="en"/>
        </w:rPr>
        <w:t>that primary barrier to wider engagement is the burden of family responsibilities that mostly (sometimes exclusively) concern women. Lack of financial resources and sexist stereotypes are additional obstacles that are especially relevant for poor rural women. While women have historically been highly involved in social and political demonstrations</w:t>
      </w:r>
      <w:r w:rsidRPr="005516CD">
        <w:rPr>
          <w:rStyle w:val="FootnoteReference"/>
          <w:rFonts w:cstheme="majorHAnsi"/>
          <w:sz w:val="20"/>
          <w:szCs w:val="20"/>
          <w:lang w:val="en"/>
        </w:rPr>
        <w:footnoteReference w:id="139"/>
      </w:r>
      <w:r w:rsidRPr="005516CD">
        <w:rPr>
          <w:rFonts w:cstheme="majorHAnsi"/>
          <w:sz w:val="20"/>
          <w:szCs w:val="20"/>
          <w:lang w:val="en"/>
        </w:rPr>
        <w:t>, the danger linked to these activities is also noted as a limitation, notably the fear of losing one's life and leaving children behind</w:t>
      </w:r>
      <w:r w:rsidRPr="005516CD">
        <w:rPr>
          <w:rStyle w:val="FootnoteReference"/>
          <w:rFonts w:cstheme="majorHAnsi"/>
          <w:sz w:val="20"/>
          <w:szCs w:val="20"/>
          <w:lang w:val="en"/>
        </w:rPr>
        <w:footnoteReference w:id="140"/>
      </w:r>
      <w:r w:rsidRPr="005516CD">
        <w:rPr>
          <w:rFonts w:cstheme="majorHAnsi"/>
          <w:sz w:val="20"/>
          <w:szCs w:val="20"/>
          <w:lang w:val="en"/>
        </w:rPr>
        <w:t>.</w:t>
      </w:r>
    </w:p>
    <w:p w14:paraId="016F8380" w14:textId="77777777" w:rsidR="00C25FA5" w:rsidRPr="005516CD" w:rsidRDefault="00C25FA5" w:rsidP="00C25FA5">
      <w:pPr>
        <w:pStyle w:val="ParagraphGenderAssessment"/>
        <w:rPr>
          <w:rFonts w:eastAsia="MS Gothic" w:cstheme="majorHAnsi"/>
          <w:sz w:val="20"/>
          <w:szCs w:val="20"/>
        </w:rPr>
      </w:pPr>
      <w:r w:rsidRPr="005516CD">
        <w:rPr>
          <w:rFonts w:cstheme="majorHAnsi"/>
          <w:sz w:val="20"/>
          <w:szCs w:val="20"/>
        </w:rPr>
        <w:t>Recognizing that women have been historically excluded from political debates and decisions on the direction of society, the</w:t>
      </w:r>
      <w:r w:rsidRPr="005516CD">
        <w:rPr>
          <w:rFonts w:eastAsiaTheme="minorHAnsi" w:cstheme="majorHAnsi"/>
          <w:sz w:val="20"/>
          <w:szCs w:val="20"/>
        </w:rPr>
        <w:t xml:space="preserve"> Government has introduced gender aspects to their projects “to reinforce the capacity of women... and their participation in development projects”</w:t>
      </w:r>
      <w:r w:rsidRPr="005516CD">
        <w:rPr>
          <w:rStyle w:val="FootnoteReference"/>
          <w:rFonts w:eastAsiaTheme="minorHAnsi" w:cstheme="majorHAnsi"/>
          <w:sz w:val="20"/>
          <w:szCs w:val="20"/>
        </w:rPr>
        <w:footnoteReference w:id="141"/>
      </w:r>
      <w:r w:rsidRPr="005516CD">
        <w:rPr>
          <w:rFonts w:eastAsia="MS Gothic" w:cstheme="majorHAnsi"/>
          <w:sz w:val="20"/>
          <w:szCs w:val="20"/>
        </w:rPr>
        <w:t xml:space="preserve">, and </w:t>
      </w:r>
      <w:r w:rsidRPr="005516CD">
        <w:rPr>
          <w:rFonts w:cstheme="majorHAnsi"/>
          <w:sz w:val="20"/>
          <w:szCs w:val="20"/>
        </w:rPr>
        <w:t>four priority areas have been identified in relation to gender mainstreaming: Agriculture and Food Security, Water Resources Management, Disaster and Risk Management, and Health</w:t>
      </w:r>
      <w:r w:rsidRPr="005516CD">
        <w:rPr>
          <w:rStyle w:val="FootnoteReference"/>
          <w:rFonts w:cstheme="majorHAnsi"/>
          <w:sz w:val="20"/>
          <w:szCs w:val="20"/>
        </w:rPr>
        <w:footnoteReference w:id="142"/>
      </w:r>
      <w:r w:rsidRPr="005516CD">
        <w:rPr>
          <w:rFonts w:cstheme="majorHAnsi"/>
          <w:sz w:val="20"/>
          <w:szCs w:val="20"/>
        </w:rPr>
        <w:t xml:space="preserve">. However, policy decisions and practices are still being implemented, and women are still largely </w:t>
      </w:r>
      <w:r w:rsidRPr="005516CD">
        <w:rPr>
          <w:rFonts w:eastAsia="MS Gothic" w:cstheme="majorHAnsi"/>
          <w:sz w:val="20"/>
          <w:szCs w:val="20"/>
        </w:rPr>
        <w:t>excluded from in policymaking and decisions, especially with respect to disaster risk reduction and agriculture</w:t>
      </w:r>
      <w:r w:rsidRPr="005516CD">
        <w:rPr>
          <w:rStyle w:val="FootnoteReference"/>
          <w:rFonts w:eastAsia="MS Gothic" w:cstheme="majorHAnsi"/>
          <w:sz w:val="20"/>
          <w:szCs w:val="20"/>
        </w:rPr>
        <w:footnoteReference w:id="143"/>
      </w:r>
      <w:r w:rsidRPr="005516CD">
        <w:rPr>
          <w:rFonts w:eastAsia="MS Gothic" w:cstheme="majorHAnsi"/>
          <w:sz w:val="20"/>
          <w:szCs w:val="20"/>
        </w:rPr>
        <w:t>.</w:t>
      </w:r>
      <w:r w:rsidRPr="005516CD">
        <w:rPr>
          <w:rFonts w:cstheme="majorHAnsi"/>
          <w:sz w:val="20"/>
          <w:szCs w:val="20"/>
        </w:rPr>
        <w:t xml:space="preserve"> </w:t>
      </w:r>
    </w:p>
    <w:p w14:paraId="2E146858"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Labor force</w:t>
      </w:r>
    </w:p>
    <w:p w14:paraId="5FF3BD34" w14:textId="77777777" w:rsidR="00C25FA5" w:rsidRPr="005516CD" w:rsidRDefault="00C25FA5" w:rsidP="00C25FA5">
      <w:pPr>
        <w:pStyle w:val="ParagraphGenderAssessment"/>
        <w:rPr>
          <w:rFonts w:cstheme="majorHAnsi"/>
          <w:sz w:val="20"/>
          <w:szCs w:val="20"/>
          <w:lang w:val="en"/>
        </w:rPr>
      </w:pPr>
      <w:r w:rsidRPr="005516CD">
        <w:rPr>
          <w:rFonts w:cstheme="majorHAnsi"/>
          <w:sz w:val="20"/>
          <w:szCs w:val="20"/>
          <w:lang w:val="en"/>
        </w:rPr>
        <w:t xml:space="preserve">The work force is segregated by gender, and women have considerably fewer employment </w:t>
      </w:r>
      <w:r w:rsidRPr="005516CD">
        <w:rPr>
          <w:rFonts w:cstheme="majorHAnsi"/>
          <w:color w:val="000000" w:themeColor="text1"/>
          <w:sz w:val="20"/>
          <w:szCs w:val="20"/>
          <w:lang w:val="en"/>
        </w:rPr>
        <w:t>opportunities than men across all age groups</w:t>
      </w:r>
      <w:r w:rsidRPr="005516CD">
        <w:rPr>
          <w:rStyle w:val="FootnoteReference"/>
          <w:rFonts w:cstheme="majorHAnsi"/>
          <w:color w:val="000000" w:themeColor="text1"/>
          <w:sz w:val="20"/>
          <w:szCs w:val="20"/>
          <w:lang w:val="en"/>
        </w:rPr>
        <w:footnoteReference w:id="144"/>
      </w:r>
      <w:r w:rsidRPr="005516CD">
        <w:rPr>
          <w:rFonts w:cstheme="majorHAnsi"/>
          <w:color w:val="000000" w:themeColor="text1"/>
          <w:sz w:val="20"/>
          <w:szCs w:val="20"/>
          <w:lang w:val="en"/>
        </w:rPr>
        <w:t>. The most recent available data shows that women make up only 38.4% of the active population</w:t>
      </w:r>
      <w:r w:rsidRPr="005516CD">
        <w:rPr>
          <w:rStyle w:val="FootnoteReference"/>
          <w:rFonts w:cstheme="majorHAnsi"/>
          <w:color w:val="000000" w:themeColor="text1"/>
          <w:sz w:val="20"/>
          <w:szCs w:val="20"/>
          <w:lang w:val="en"/>
        </w:rPr>
        <w:footnoteReference w:id="145"/>
      </w:r>
      <w:r w:rsidRPr="005516CD">
        <w:rPr>
          <w:rFonts w:cstheme="majorHAnsi"/>
          <w:color w:val="000000" w:themeColor="text1"/>
          <w:sz w:val="20"/>
          <w:szCs w:val="20"/>
          <w:lang w:val="en"/>
        </w:rPr>
        <w:t xml:space="preserve">, although </w:t>
      </w:r>
      <w:r w:rsidRPr="005516CD">
        <w:rPr>
          <w:rFonts w:eastAsiaTheme="minorHAnsi" w:cstheme="majorHAnsi"/>
          <w:color w:val="000000" w:themeColor="text1"/>
          <w:sz w:val="20"/>
          <w:szCs w:val="20"/>
        </w:rPr>
        <w:t>women earn less than half of what men earn</w:t>
      </w:r>
      <w:r w:rsidRPr="005516CD">
        <w:rPr>
          <w:rStyle w:val="FootnoteReference"/>
          <w:rFonts w:eastAsiaTheme="minorHAnsi" w:cstheme="majorHAnsi"/>
          <w:color w:val="000000" w:themeColor="text1"/>
          <w:sz w:val="20"/>
          <w:szCs w:val="20"/>
        </w:rPr>
        <w:footnoteReference w:id="146"/>
      </w:r>
      <w:r w:rsidRPr="005516CD">
        <w:rPr>
          <w:rFonts w:cstheme="majorHAnsi"/>
          <w:color w:val="000000" w:themeColor="text1"/>
          <w:sz w:val="20"/>
          <w:szCs w:val="20"/>
          <w:lang w:val="en"/>
        </w:rPr>
        <w:t>. While equal salary policies have been adopted in the public administrative positions, women are unrepresented in the higher paying, more influential positions in this sector</w:t>
      </w:r>
      <w:r w:rsidRPr="005516CD">
        <w:rPr>
          <w:rStyle w:val="FootnoteReference"/>
          <w:rFonts w:cstheme="majorHAnsi"/>
          <w:color w:val="000000" w:themeColor="text1"/>
          <w:sz w:val="20"/>
          <w:szCs w:val="20"/>
          <w:lang w:val="en"/>
        </w:rPr>
        <w:footnoteReference w:id="147"/>
      </w:r>
      <w:r w:rsidRPr="005516CD">
        <w:rPr>
          <w:rFonts w:cstheme="majorHAnsi"/>
          <w:color w:val="000000" w:themeColor="text1"/>
          <w:sz w:val="20"/>
          <w:szCs w:val="20"/>
          <w:lang w:val="en"/>
        </w:rPr>
        <w:t>. In fact, this is echoed across all sectors, where women tend to have the lowest paying jobs, with particularly high disparities in private sector salary</w:t>
      </w:r>
      <w:r w:rsidRPr="005516CD">
        <w:rPr>
          <w:rStyle w:val="FootnoteReference"/>
          <w:rFonts w:cstheme="majorHAnsi"/>
          <w:color w:val="000000" w:themeColor="text1"/>
          <w:sz w:val="20"/>
          <w:szCs w:val="20"/>
          <w:lang w:val="en"/>
        </w:rPr>
        <w:footnoteReference w:id="148"/>
      </w:r>
      <w:r w:rsidRPr="005516CD">
        <w:rPr>
          <w:rFonts w:cstheme="majorHAnsi"/>
          <w:color w:val="000000" w:themeColor="text1"/>
          <w:sz w:val="20"/>
          <w:szCs w:val="20"/>
          <w:lang w:val="en"/>
        </w:rPr>
        <w:t>, and they are underrepresented among professional jobs such as engineering, agronomy, and law</w:t>
      </w:r>
      <w:r w:rsidRPr="005516CD">
        <w:rPr>
          <w:rStyle w:val="FootnoteReference"/>
          <w:rFonts w:cstheme="majorHAnsi"/>
          <w:color w:val="000000" w:themeColor="text1"/>
          <w:sz w:val="20"/>
          <w:szCs w:val="20"/>
          <w:lang w:val="en"/>
        </w:rPr>
        <w:footnoteReference w:id="149"/>
      </w:r>
      <w:r w:rsidRPr="005516CD">
        <w:rPr>
          <w:rFonts w:cstheme="majorHAnsi"/>
          <w:color w:val="000000" w:themeColor="text1"/>
          <w:sz w:val="20"/>
          <w:szCs w:val="20"/>
          <w:lang w:val="en"/>
        </w:rPr>
        <w:t>. In the project’s region of application, the level of employment is especially low, with an unemployment rate of more than 42% (REF). This, among other influences, promotes out-migration, particularly of young people looking for opportunities to other countries, namely in Dominican Republic or North America – many working as illegal immigrants.</w:t>
      </w:r>
    </w:p>
    <w:p w14:paraId="24AE52F0" w14:textId="77777777" w:rsidR="00C25FA5" w:rsidRPr="005516CD" w:rsidRDefault="00C25FA5" w:rsidP="00C25FA5">
      <w:pPr>
        <w:pStyle w:val="ParagraphGenderAssessment"/>
        <w:rPr>
          <w:rFonts w:cstheme="majorHAnsi"/>
          <w:sz w:val="20"/>
          <w:szCs w:val="20"/>
        </w:rPr>
      </w:pPr>
      <w:r w:rsidRPr="005516CD">
        <w:rPr>
          <w:rFonts w:cstheme="majorHAnsi"/>
          <w:sz w:val="20"/>
          <w:szCs w:val="20"/>
          <w:lang w:val="en"/>
        </w:rPr>
        <w:t>Women predominate in the informal sector (75.1%), where work conditions are unregulated and undocumented, so exploitation and income stability are relevant gender concerns</w:t>
      </w:r>
      <w:r w:rsidRPr="005516CD">
        <w:rPr>
          <w:rStyle w:val="FootnoteReference"/>
          <w:rFonts w:eastAsiaTheme="majorEastAsia" w:cstheme="majorHAnsi"/>
          <w:sz w:val="20"/>
          <w:szCs w:val="20"/>
        </w:rPr>
        <w:footnoteReference w:id="150"/>
      </w:r>
      <w:r w:rsidRPr="005516CD">
        <w:rPr>
          <w:rFonts w:cstheme="majorHAnsi"/>
          <w:sz w:val="20"/>
          <w:szCs w:val="20"/>
          <w:lang w:val="en"/>
        </w:rPr>
        <w:t xml:space="preserve">. This also means that, in socio-economic crises, women will be the primary victims and it will be largely undetectable or unreportable as this work is </w:t>
      </w:r>
      <w:proofErr w:type="spellStart"/>
      <w:r w:rsidRPr="005516CD">
        <w:rPr>
          <w:rFonts w:cstheme="majorHAnsi"/>
          <w:sz w:val="20"/>
          <w:szCs w:val="20"/>
          <w:lang w:val="en"/>
        </w:rPr>
        <w:t>invisibilized</w:t>
      </w:r>
      <w:proofErr w:type="spellEnd"/>
      <w:r w:rsidRPr="005516CD">
        <w:rPr>
          <w:rStyle w:val="FootnoteReference"/>
          <w:rFonts w:cstheme="majorHAnsi"/>
          <w:sz w:val="20"/>
          <w:szCs w:val="20"/>
          <w:lang w:val="en"/>
        </w:rPr>
        <w:footnoteReference w:id="151"/>
      </w:r>
      <w:r w:rsidRPr="005516CD">
        <w:rPr>
          <w:rFonts w:cstheme="majorHAnsi"/>
          <w:sz w:val="20"/>
          <w:szCs w:val="20"/>
          <w:lang w:val="en"/>
        </w:rPr>
        <w:t xml:space="preserve">. </w:t>
      </w:r>
      <w:r w:rsidRPr="005516CD">
        <w:rPr>
          <w:rFonts w:cstheme="majorHAnsi"/>
          <w:color w:val="000000" w:themeColor="text1"/>
          <w:sz w:val="20"/>
          <w:szCs w:val="20"/>
          <w:lang w:val="en"/>
        </w:rPr>
        <w:t>The prevalence of child domestic workers is also common; i</w:t>
      </w:r>
      <w:r w:rsidRPr="005516CD">
        <w:rPr>
          <w:rFonts w:cstheme="majorHAnsi"/>
          <w:sz w:val="20"/>
          <w:szCs w:val="20"/>
          <w:lang w:val="en"/>
        </w:rPr>
        <w:t xml:space="preserve">n fact, </w:t>
      </w:r>
      <w:r w:rsidRPr="005516CD">
        <w:rPr>
          <w:rFonts w:cstheme="majorHAnsi"/>
          <w:sz w:val="20"/>
          <w:szCs w:val="20"/>
          <w:shd w:val="clear" w:color="auto" w:fill="FFFFFF"/>
        </w:rPr>
        <w:t>pre-earthquake data indicates that almost all Haitian girls between the ages of 5 and 9 work in the informal market</w:t>
      </w:r>
      <w:r w:rsidRPr="005516CD">
        <w:rPr>
          <w:rStyle w:val="FootnoteReference"/>
          <w:rFonts w:cstheme="majorHAnsi"/>
          <w:sz w:val="20"/>
          <w:szCs w:val="20"/>
          <w:shd w:val="clear" w:color="auto" w:fill="FFFFFF"/>
        </w:rPr>
        <w:footnoteReference w:id="152"/>
      </w:r>
      <w:r w:rsidRPr="005516CD">
        <w:rPr>
          <w:rFonts w:cstheme="majorHAnsi"/>
          <w:sz w:val="20"/>
          <w:szCs w:val="20"/>
          <w:shd w:val="clear" w:color="auto" w:fill="FFFFFF"/>
        </w:rPr>
        <w:t>. Often, this is to help low-income families with domestic tasks, however, the prevalence of “</w:t>
      </w:r>
      <w:proofErr w:type="spellStart"/>
      <w:r w:rsidRPr="005516CD">
        <w:rPr>
          <w:rFonts w:cstheme="majorHAnsi"/>
          <w:sz w:val="20"/>
          <w:szCs w:val="20"/>
        </w:rPr>
        <w:t>restavèks</w:t>
      </w:r>
      <w:proofErr w:type="spellEnd"/>
      <w:r w:rsidRPr="005516CD">
        <w:rPr>
          <w:rFonts w:cstheme="majorHAnsi"/>
          <w:sz w:val="20"/>
          <w:szCs w:val="20"/>
        </w:rPr>
        <w:t>” – children sent/sold to wealthier families to perform chores in exchange for room and board - is a major concern, especially for the rights of young girls</w:t>
      </w:r>
      <w:r w:rsidRPr="005516CD">
        <w:rPr>
          <w:rStyle w:val="FootnoteReference"/>
          <w:rFonts w:cstheme="majorHAnsi"/>
          <w:sz w:val="20"/>
          <w:szCs w:val="20"/>
        </w:rPr>
        <w:footnoteReference w:id="153"/>
      </w:r>
      <w:r w:rsidRPr="005516CD">
        <w:rPr>
          <w:rFonts w:cstheme="majorHAnsi"/>
          <w:sz w:val="20"/>
          <w:szCs w:val="20"/>
        </w:rPr>
        <w:t xml:space="preserve">. According to some estimates, there may be as many as 300,000 children working as </w:t>
      </w:r>
      <w:proofErr w:type="spellStart"/>
      <w:r w:rsidRPr="005516CD">
        <w:rPr>
          <w:rFonts w:cstheme="majorHAnsi"/>
          <w:sz w:val="20"/>
          <w:szCs w:val="20"/>
        </w:rPr>
        <w:t>restavèks</w:t>
      </w:r>
      <w:proofErr w:type="spellEnd"/>
      <w:r w:rsidRPr="005516CD">
        <w:rPr>
          <w:rFonts w:cstheme="majorHAnsi"/>
          <w:sz w:val="20"/>
          <w:szCs w:val="20"/>
        </w:rPr>
        <w:t xml:space="preserve"> in Haiti</w:t>
      </w:r>
      <w:r w:rsidRPr="005516CD">
        <w:rPr>
          <w:rStyle w:val="FootnoteReference"/>
          <w:rFonts w:cstheme="majorHAnsi"/>
          <w:sz w:val="20"/>
          <w:szCs w:val="20"/>
        </w:rPr>
        <w:footnoteReference w:id="154"/>
      </w:r>
      <w:r w:rsidRPr="005516CD">
        <w:rPr>
          <w:rFonts w:cstheme="majorHAnsi"/>
          <w:sz w:val="20"/>
          <w:szCs w:val="20"/>
        </w:rPr>
        <w:t>. Although the minimum age is set to 15 for work in industrial, agricultural, and commercial enterprises, there is currently no labor code that sets a minimum age domestic work</w:t>
      </w:r>
      <w:r w:rsidRPr="005516CD">
        <w:rPr>
          <w:rStyle w:val="FootnoteReference"/>
          <w:rFonts w:cstheme="majorHAnsi"/>
          <w:sz w:val="20"/>
          <w:szCs w:val="20"/>
        </w:rPr>
        <w:footnoteReference w:id="155"/>
      </w:r>
      <w:r w:rsidRPr="005516CD">
        <w:rPr>
          <w:rFonts w:cstheme="majorHAnsi"/>
          <w:sz w:val="20"/>
          <w:szCs w:val="20"/>
        </w:rPr>
        <w:t xml:space="preserve">. </w:t>
      </w:r>
    </w:p>
    <w:p w14:paraId="4EB097A7" w14:textId="77777777" w:rsidR="00C25FA5" w:rsidRPr="005516CD" w:rsidRDefault="00C25FA5" w:rsidP="00C25FA5">
      <w:pPr>
        <w:pStyle w:val="ParagraphGenderAssessment"/>
        <w:rPr>
          <w:rFonts w:cstheme="majorHAnsi"/>
          <w:b/>
          <w:color w:val="FF0000"/>
          <w:sz w:val="20"/>
          <w:szCs w:val="20"/>
        </w:rPr>
      </w:pPr>
      <w:r w:rsidRPr="005516CD">
        <w:rPr>
          <w:rFonts w:cstheme="majorHAnsi"/>
          <w:sz w:val="20"/>
          <w:szCs w:val="20"/>
        </w:rPr>
        <w:t xml:space="preserve">Women also hold a majority (70%) of jobs in trade in the primary sector, especially in agriculture where they </w:t>
      </w:r>
      <w:r w:rsidRPr="005516CD">
        <w:rPr>
          <w:rFonts w:cstheme="majorHAnsi"/>
          <w:color w:val="000000" w:themeColor="text1"/>
          <w:sz w:val="20"/>
          <w:szCs w:val="20"/>
          <w:lang w:val="en"/>
        </w:rPr>
        <w:t>are the primary actors working in commercialization as well as processing and transformation</w:t>
      </w:r>
      <w:r w:rsidRPr="005516CD">
        <w:rPr>
          <w:rStyle w:val="FootnoteReference"/>
          <w:rFonts w:cstheme="majorHAnsi"/>
          <w:color w:val="000000" w:themeColor="text1"/>
          <w:sz w:val="20"/>
          <w:szCs w:val="20"/>
          <w:lang w:val="en"/>
        </w:rPr>
        <w:footnoteReference w:id="156"/>
      </w:r>
      <w:r w:rsidRPr="005516CD">
        <w:rPr>
          <w:rFonts w:cstheme="majorHAnsi"/>
          <w:color w:val="000000" w:themeColor="text1"/>
          <w:sz w:val="20"/>
          <w:szCs w:val="20"/>
          <w:lang w:val="en"/>
        </w:rPr>
        <w:t xml:space="preserve">. </w:t>
      </w:r>
      <w:r w:rsidRPr="005516CD">
        <w:rPr>
          <w:rFonts w:cstheme="majorHAnsi"/>
          <w:color w:val="000000" w:themeColor="text1"/>
          <w:sz w:val="20"/>
          <w:szCs w:val="20"/>
        </w:rPr>
        <w:t>The work of women farmworkers is often undervalued, and they tend to suffer wage discrimination</w:t>
      </w:r>
      <w:r w:rsidRPr="005516CD">
        <w:rPr>
          <w:rStyle w:val="FootnoteReference"/>
          <w:rFonts w:cstheme="majorHAnsi"/>
          <w:color w:val="000000" w:themeColor="text1"/>
          <w:sz w:val="20"/>
          <w:szCs w:val="20"/>
        </w:rPr>
        <w:footnoteReference w:id="157"/>
      </w:r>
      <w:r w:rsidRPr="005516CD">
        <w:rPr>
          <w:rFonts w:cstheme="majorHAnsi"/>
          <w:color w:val="000000" w:themeColor="text1"/>
          <w:sz w:val="20"/>
          <w:szCs w:val="20"/>
        </w:rPr>
        <w:t>.</w:t>
      </w:r>
      <w:r w:rsidRPr="005516CD">
        <w:rPr>
          <w:rFonts w:cstheme="majorHAnsi"/>
          <w:b/>
          <w:color w:val="000000" w:themeColor="text1"/>
          <w:sz w:val="20"/>
          <w:szCs w:val="20"/>
        </w:rPr>
        <w:t xml:space="preserve"> </w:t>
      </w:r>
      <w:r w:rsidRPr="005516CD">
        <w:rPr>
          <w:rFonts w:cstheme="majorHAnsi"/>
          <w:color w:val="000000" w:themeColor="text1"/>
          <w:sz w:val="20"/>
          <w:szCs w:val="20"/>
          <w:lang w:val="en"/>
        </w:rPr>
        <w:t>This means that they have little access to stable income sources, that are dependent on the changing environmental conditions, contributing to gender-specific vulnerabilities. This also indicates that there is a lot of potential for projects to support women’s role in agriculture and to benefit women</w:t>
      </w:r>
      <w:r w:rsidRPr="005516CD">
        <w:rPr>
          <w:rFonts w:cstheme="majorHAnsi"/>
          <w:sz w:val="20"/>
          <w:szCs w:val="20"/>
          <w:lang w:val="en"/>
        </w:rPr>
        <w:t>.</w:t>
      </w:r>
    </w:p>
    <w:p w14:paraId="67B6D308"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Agriculture and food security</w:t>
      </w:r>
    </w:p>
    <w:p w14:paraId="6BCAD34A" w14:textId="77777777" w:rsidR="00C25FA5" w:rsidRPr="005516CD" w:rsidRDefault="00C25FA5" w:rsidP="00C25FA5">
      <w:pPr>
        <w:pStyle w:val="ParagraphGenderAssessment"/>
        <w:rPr>
          <w:rFonts w:cstheme="majorHAnsi"/>
          <w:sz w:val="20"/>
          <w:szCs w:val="20"/>
          <w:lang w:val="en-CA"/>
        </w:rPr>
      </w:pPr>
      <w:r w:rsidRPr="005516CD">
        <w:rPr>
          <w:rFonts w:cstheme="majorHAnsi"/>
          <w:sz w:val="20"/>
          <w:szCs w:val="20"/>
          <w:lang w:val="en-CA"/>
        </w:rPr>
        <w:t>Agriculture has been the backbone of Haiti’s economy and an architect of Haitian society since the colonial area. Today, a majority of agricultural production occurs on small farms, primarily oriented towards subsistence production in a variety of microclimates and altitudes</w:t>
      </w:r>
      <w:r w:rsidRPr="005516CD">
        <w:rPr>
          <w:rStyle w:val="FootnoteReference"/>
          <w:rFonts w:cstheme="majorHAnsi"/>
          <w:sz w:val="20"/>
          <w:szCs w:val="20"/>
          <w:lang w:val="en-CA"/>
        </w:rPr>
        <w:footnoteReference w:id="158"/>
      </w:r>
      <w:r w:rsidRPr="005516CD">
        <w:rPr>
          <w:rFonts w:cstheme="majorHAnsi"/>
          <w:sz w:val="20"/>
          <w:szCs w:val="20"/>
          <w:lang w:val="en-CA"/>
        </w:rPr>
        <w:t>. Both women and men participate in the cultivation of subsistence crops (namely of tubers and beans) as well as staple crop production that is marketed nationally (such as maize and rice)</w:t>
      </w:r>
      <w:r w:rsidRPr="005516CD">
        <w:rPr>
          <w:rStyle w:val="FootnoteReference"/>
          <w:rFonts w:cstheme="majorHAnsi"/>
          <w:sz w:val="20"/>
          <w:szCs w:val="20"/>
          <w:lang w:val="en-CA"/>
        </w:rPr>
        <w:footnoteReference w:id="159"/>
      </w:r>
      <w:r w:rsidRPr="005516CD">
        <w:rPr>
          <w:rFonts w:cstheme="majorHAnsi"/>
          <w:sz w:val="20"/>
          <w:szCs w:val="20"/>
          <w:vertAlign w:val="superscript"/>
          <w:lang w:val="en-CA"/>
        </w:rPr>
        <w:t>,</w:t>
      </w:r>
      <w:r w:rsidRPr="005516CD">
        <w:rPr>
          <w:rStyle w:val="FootnoteReference"/>
          <w:rFonts w:cstheme="majorHAnsi"/>
          <w:sz w:val="20"/>
          <w:szCs w:val="20"/>
          <w:lang w:val="en-CA"/>
        </w:rPr>
        <w:footnoteReference w:id="160"/>
      </w:r>
      <w:r w:rsidRPr="005516CD">
        <w:rPr>
          <w:rFonts w:cstheme="majorHAnsi"/>
          <w:sz w:val="20"/>
          <w:szCs w:val="20"/>
          <w:lang w:val="en-CA"/>
        </w:rPr>
        <w:t>. Although these crops (beans, rice, corn) are most vulnerable to crop loss from climate change</w:t>
      </w:r>
      <w:r w:rsidRPr="005516CD">
        <w:rPr>
          <w:rStyle w:val="FootnoteReference"/>
          <w:rFonts w:cstheme="majorHAnsi"/>
          <w:sz w:val="20"/>
          <w:szCs w:val="20"/>
          <w:lang w:val="en-CA"/>
        </w:rPr>
        <w:footnoteReference w:id="161"/>
      </w:r>
      <w:r w:rsidRPr="005516CD">
        <w:rPr>
          <w:rFonts w:cstheme="majorHAnsi"/>
          <w:sz w:val="20"/>
          <w:szCs w:val="20"/>
          <w:lang w:val="en-CA"/>
        </w:rPr>
        <w:t xml:space="preserve">, demonstrating the disproportionate impacts incurred by women and rural, low-income households. </w:t>
      </w:r>
    </w:p>
    <w:p w14:paraId="5F18A19C" w14:textId="77777777" w:rsidR="00C25FA5" w:rsidRPr="005516CD" w:rsidRDefault="00C25FA5" w:rsidP="00C25FA5">
      <w:pPr>
        <w:pStyle w:val="ParagraphGenderAssessment"/>
        <w:rPr>
          <w:rFonts w:cstheme="majorHAnsi"/>
          <w:sz w:val="20"/>
          <w:szCs w:val="20"/>
          <w:lang w:val="en-CA"/>
        </w:rPr>
      </w:pPr>
      <w:r w:rsidRPr="005516CD">
        <w:rPr>
          <w:rFonts w:cstheme="majorHAnsi"/>
          <w:sz w:val="20"/>
          <w:szCs w:val="20"/>
          <w:lang w:val="en-CA"/>
        </w:rPr>
        <w:t>Women make up a majority of the labour force in agriculture, yet income-generating activities in this sector are skewed by gender. While women primarily work with domestic trade and commerce</w:t>
      </w:r>
      <w:r w:rsidRPr="005516CD">
        <w:rPr>
          <w:rStyle w:val="FootnoteReference"/>
          <w:rFonts w:cstheme="majorHAnsi"/>
          <w:sz w:val="20"/>
          <w:szCs w:val="20"/>
          <w:lang w:val="en-CA"/>
        </w:rPr>
        <w:footnoteReference w:id="162"/>
      </w:r>
      <w:r w:rsidRPr="005516CD">
        <w:rPr>
          <w:rFonts w:cstheme="majorHAnsi"/>
          <w:sz w:val="20"/>
          <w:szCs w:val="20"/>
          <w:lang w:val="en-CA"/>
        </w:rPr>
        <w:t>, the lucrative export commodities, such as essential oils, mango, cacao and coffee, tend to be controlled by men</w:t>
      </w:r>
      <w:r w:rsidRPr="005516CD">
        <w:rPr>
          <w:rStyle w:val="FootnoteReference"/>
          <w:rFonts w:cstheme="majorHAnsi"/>
          <w:sz w:val="20"/>
          <w:szCs w:val="20"/>
          <w:lang w:val="en-CA"/>
        </w:rPr>
        <w:footnoteReference w:id="163"/>
      </w:r>
      <w:r w:rsidRPr="005516CD">
        <w:rPr>
          <w:rFonts w:cstheme="majorHAnsi"/>
          <w:sz w:val="20"/>
          <w:szCs w:val="20"/>
          <w:lang w:val="en-CA"/>
        </w:rPr>
        <w:t>.  Women face additional income generating obstacles in this sector: with limited access to private transportation they are more likely to use public services to undergo transactions</w:t>
      </w:r>
      <w:r w:rsidRPr="005516CD">
        <w:rPr>
          <w:rStyle w:val="FootnoteReference"/>
          <w:rFonts w:cstheme="majorHAnsi"/>
          <w:sz w:val="20"/>
          <w:szCs w:val="20"/>
          <w:lang w:val="en-CA"/>
        </w:rPr>
        <w:footnoteReference w:id="164"/>
      </w:r>
      <w:r w:rsidRPr="005516CD">
        <w:rPr>
          <w:rFonts w:cstheme="majorHAnsi"/>
          <w:sz w:val="20"/>
          <w:szCs w:val="20"/>
          <w:lang w:val="en-CA"/>
        </w:rPr>
        <w:t>. This not only contributes to the time poverty Haitian women already face, but also highlights their livelihood vulnerability to extreme flooding, which decreases transportation options and limits their ability to actively engage in the commercial transactions that many depend on.</w:t>
      </w:r>
    </w:p>
    <w:p w14:paraId="4EFCD4E2" w14:textId="77777777" w:rsidR="00C25FA5" w:rsidRPr="005516CD" w:rsidRDefault="00C25FA5" w:rsidP="00C25FA5">
      <w:pPr>
        <w:pStyle w:val="ParagraphGenderAssessment"/>
        <w:rPr>
          <w:rFonts w:eastAsiaTheme="majorEastAsia" w:cstheme="majorHAnsi"/>
          <w:color w:val="000000" w:themeColor="text1"/>
          <w:sz w:val="20"/>
          <w:szCs w:val="20"/>
          <w:lang w:val="en-CA"/>
        </w:rPr>
      </w:pPr>
      <w:r w:rsidRPr="005516CD">
        <w:rPr>
          <w:rFonts w:cstheme="majorHAnsi"/>
          <w:sz w:val="20"/>
          <w:szCs w:val="20"/>
          <w:lang w:val="en-CA"/>
        </w:rPr>
        <w:t xml:space="preserve">Not only do domestically consumed crops generate less </w:t>
      </w:r>
      <w:r w:rsidRPr="005516CD">
        <w:rPr>
          <w:rFonts w:cstheme="majorHAnsi"/>
          <w:color w:val="000000" w:themeColor="text1"/>
          <w:sz w:val="20"/>
          <w:szCs w:val="20"/>
          <w:lang w:val="en-CA"/>
        </w:rPr>
        <w:t>income, but they also receive</w:t>
      </w:r>
      <w:r w:rsidRPr="005516CD">
        <w:rPr>
          <w:rFonts w:eastAsiaTheme="minorHAnsi" w:cstheme="majorHAnsi"/>
          <w:color w:val="000000" w:themeColor="text1"/>
          <w:sz w:val="20"/>
          <w:szCs w:val="20"/>
          <w:lang w:val="en-CA"/>
        </w:rPr>
        <w:t xml:space="preserve"> less attention in agrarian development agendas compared to cash crops of coffee, cacao and mango</w:t>
      </w:r>
      <w:r w:rsidRPr="005516CD">
        <w:rPr>
          <w:rStyle w:val="FootnoteReference"/>
          <w:rFonts w:eastAsiaTheme="minorHAnsi" w:cstheme="majorHAnsi"/>
          <w:color w:val="000000" w:themeColor="text1"/>
          <w:sz w:val="20"/>
          <w:szCs w:val="20"/>
          <w:lang w:val="en-CA"/>
        </w:rPr>
        <w:footnoteReference w:id="165"/>
      </w:r>
      <w:r w:rsidRPr="005516CD">
        <w:rPr>
          <w:rFonts w:eastAsiaTheme="minorHAnsi" w:cstheme="majorHAnsi"/>
          <w:color w:val="000000" w:themeColor="text1"/>
          <w:sz w:val="20"/>
          <w:szCs w:val="20"/>
          <w:lang w:val="en-CA"/>
        </w:rPr>
        <w:t xml:space="preserve">. Given the gender distribution of agricultural production and sales, a prioritization of cash crops risks directly excluding women and their access to development program benefits. Indeed, </w:t>
      </w:r>
      <w:r w:rsidRPr="005516CD">
        <w:rPr>
          <w:rFonts w:eastAsiaTheme="majorEastAsia" w:cstheme="majorHAnsi"/>
          <w:color w:val="000000" w:themeColor="text1"/>
          <w:sz w:val="20"/>
          <w:szCs w:val="20"/>
          <w:lang w:val="en-CA"/>
        </w:rPr>
        <w:t>export commodity value chains are often promoted a favourable pathway to generating more income in the country, however, over-investment in export crops may ultimately widen the economic gap between men and women, unless explicit action are taken to integrate women in these value chains</w:t>
      </w:r>
      <w:r w:rsidRPr="005516CD">
        <w:rPr>
          <w:rStyle w:val="FootnoteReference"/>
          <w:rFonts w:eastAsiaTheme="majorEastAsia" w:cstheme="majorHAnsi"/>
          <w:color w:val="000000" w:themeColor="text1"/>
          <w:sz w:val="20"/>
          <w:szCs w:val="20"/>
          <w:lang w:val="en-CA"/>
        </w:rPr>
        <w:footnoteReference w:id="166"/>
      </w:r>
      <w:r w:rsidRPr="005516CD">
        <w:rPr>
          <w:rFonts w:eastAsiaTheme="majorEastAsia" w:cstheme="majorHAnsi"/>
          <w:color w:val="000000" w:themeColor="text1"/>
          <w:sz w:val="20"/>
          <w:szCs w:val="20"/>
          <w:lang w:val="en-CA"/>
        </w:rPr>
        <w:t>.</w:t>
      </w:r>
    </w:p>
    <w:p w14:paraId="547FBB91" w14:textId="77777777" w:rsidR="00C25FA5" w:rsidRPr="005516CD" w:rsidRDefault="00C25FA5" w:rsidP="00C25FA5">
      <w:pPr>
        <w:pStyle w:val="ParagraphGenderAssessment"/>
        <w:rPr>
          <w:rFonts w:cstheme="majorHAnsi"/>
          <w:sz w:val="20"/>
          <w:szCs w:val="20"/>
          <w:lang w:val="en-CA"/>
        </w:rPr>
      </w:pPr>
      <w:r w:rsidRPr="005516CD">
        <w:rPr>
          <w:rFonts w:cstheme="majorHAnsi"/>
          <w:sz w:val="20"/>
          <w:szCs w:val="20"/>
          <w:lang w:val="en-CA"/>
        </w:rPr>
        <w:t xml:space="preserve">Up until now, there has been minimal support and regulation from the state for women in agricultural value chains; nonetheless women have innovated by establishing expansive information and trade networks </w:t>
      </w:r>
      <w:r w:rsidRPr="005516CD">
        <w:rPr>
          <w:rStyle w:val="FootnoteReference"/>
          <w:rFonts w:cstheme="majorHAnsi"/>
          <w:sz w:val="20"/>
          <w:szCs w:val="20"/>
          <w:lang w:val="en-CA"/>
        </w:rPr>
        <w:footnoteReference w:id="167"/>
      </w:r>
      <w:r w:rsidRPr="005516CD">
        <w:rPr>
          <w:rFonts w:cstheme="majorHAnsi"/>
          <w:sz w:val="20"/>
          <w:szCs w:val="20"/>
          <w:lang w:val="en-CA"/>
        </w:rPr>
        <w:t>. In the fields, men are often responsible for large livestock (cattle, horses, etc.) and heavier, machine labour, while women assist with tasks such as harvesting and weeding or tending to smaller livestock (chickens, goats, etc.)</w:t>
      </w:r>
      <w:r w:rsidRPr="005516CD">
        <w:rPr>
          <w:rStyle w:val="FootnoteReference"/>
          <w:rFonts w:cstheme="majorHAnsi"/>
          <w:sz w:val="20"/>
          <w:szCs w:val="20"/>
          <w:lang w:val="en-CA"/>
        </w:rPr>
        <w:footnoteReference w:id="168"/>
      </w:r>
      <w:r w:rsidRPr="005516CD">
        <w:rPr>
          <w:rFonts w:cstheme="majorHAnsi"/>
          <w:sz w:val="20"/>
          <w:szCs w:val="20"/>
          <w:lang w:val="en-CA"/>
        </w:rPr>
        <w:t xml:space="preserve">. </w:t>
      </w:r>
    </w:p>
    <w:p w14:paraId="434B7EDF"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Over the last 50 years, agricultural </w:t>
      </w:r>
      <w:r w:rsidRPr="005516CD">
        <w:rPr>
          <w:rFonts w:eastAsiaTheme="minorHAnsi" w:cstheme="majorHAnsi"/>
          <w:sz w:val="20"/>
          <w:szCs w:val="20"/>
        </w:rPr>
        <w:t>production</w:t>
      </w:r>
      <w:r w:rsidRPr="005516CD">
        <w:rPr>
          <w:rFonts w:cstheme="majorHAnsi"/>
          <w:sz w:val="20"/>
          <w:szCs w:val="20"/>
        </w:rPr>
        <w:t>, processing and marketing have decreased, and today it accounts for about 25% of gross national product</w:t>
      </w:r>
      <w:r w:rsidRPr="005516CD">
        <w:rPr>
          <w:rStyle w:val="FootnoteReference"/>
          <w:rFonts w:cstheme="majorHAnsi"/>
          <w:sz w:val="20"/>
          <w:szCs w:val="20"/>
        </w:rPr>
        <w:footnoteReference w:id="169"/>
      </w:r>
      <w:r w:rsidRPr="005516CD">
        <w:rPr>
          <w:rFonts w:cstheme="majorHAnsi"/>
          <w:sz w:val="20"/>
          <w:szCs w:val="20"/>
        </w:rPr>
        <w:t>; given women’s central role in agricultural this has implications for their well-being and livelihoods. With continual land degradation, productivity is often low on farms; compounded by population growth and climate change, Haiti’s agricultural sector is struggling to meet the national food demand</w:t>
      </w:r>
      <w:r w:rsidRPr="005516CD">
        <w:rPr>
          <w:rStyle w:val="FootnoteReference"/>
          <w:rFonts w:cstheme="majorHAnsi"/>
          <w:sz w:val="20"/>
          <w:szCs w:val="20"/>
        </w:rPr>
        <w:footnoteReference w:id="170"/>
      </w:r>
      <w:r w:rsidRPr="005516CD">
        <w:rPr>
          <w:rFonts w:cstheme="majorHAnsi"/>
          <w:sz w:val="20"/>
          <w:szCs w:val="20"/>
        </w:rPr>
        <w:t xml:space="preserve">. </w:t>
      </w:r>
    </w:p>
    <w:p w14:paraId="424EF8A5"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For rural farming </w:t>
      </w:r>
      <w:r w:rsidRPr="005516CD">
        <w:rPr>
          <w:rFonts w:cstheme="majorHAnsi"/>
          <w:color w:val="000000" w:themeColor="text1"/>
          <w:sz w:val="20"/>
          <w:szCs w:val="20"/>
        </w:rPr>
        <w:t xml:space="preserve">families, production does </w:t>
      </w:r>
      <w:r w:rsidRPr="005516CD">
        <w:rPr>
          <w:rFonts w:eastAsiaTheme="minorHAnsi" w:cstheme="majorHAnsi"/>
          <w:color w:val="000000" w:themeColor="text1"/>
          <w:sz w:val="20"/>
          <w:szCs w:val="20"/>
        </w:rPr>
        <w:t>not often generate enough income to meet basic dietary and household needs. In fact</w:t>
      </w:r>
      <w:r w:rsidRPr="005516CD">
        <w:rPr>
          <w:rFonts w:cstheme="majorHAnsi"/>
          <w:color w:val="000000" w:themeColor="text1"/>
          <w:sz w:val="20"/>
          <w:szCs w:val="20"/>
        </w:rPr>
        <w:t>, only a quarter of their cash income originates from farming, so livelihoods must be supplemented by additional income sources</w:t>
      </w:r>
      <w:r w:rsidRPr="005516CD">
        <w:rPr>
          <w:rStyle w:val="FootnoteReference"/>
          <w:rFonts w:eastAsiaTheme="majorEastAsia" w:cstheme="majorHAnsi"/>
          <w:color w:val="000000" w:themeColor="text1"/>
          <w:sz w:val="20"/>
          <w:szCs w:val="20"/>
        </w:rPr>
        <w:footnoteReference w:id="171"/>
      </w:r>
      <w:r w:rsidRPr="005516CD">
        <w:rPr>
          <w:rFonts w:cstheme="majorHAnsi"/>
          <w:color w:val="000000" w:themeColor="text1"/>
          <w:sz w:val="20"/>
          <w:szCs w:val="20"/>
        </w:rPr>
        <w:t xml:space="preserve">. At the same time, </w:t>
      </w:r>
      <w:r w:rsidRPr="005516CD">
        <w:rPr>
          <w:rFonts w:eastAsiaTheme="majorEastAsia" w:cstheme="majorHAnsi"/>
          <w:color w:val="000000" w:themeColor="text1"/>
          <w:sz w:val="20"/>
          <w:szCs w:val="20"/>
        </w:rPr>
        <w:t>malnutrition affects over half the population, while Haiti imports as much as 60% of its food, making it especially vulnerable to global economic and food crisis</w:t>
      </w:r>
      <w:r w:rsidRPr="005516CD">
        <w:rPr>
          <w:rStyle w:val="FootnoteReference"/>
          <w:rFonts w:eastAsiaTheme="majorEastAsia" w:cstheme="majorHAnsi"/>
          <w:color w:val="000000" w:themeColor="text1"/>
          <w:sz w:val="20"/>
          <w:szCs w:val="20"/>
        </w:rPr>
        <w:footnoteReference w:id="172"/>
      </w:r>
      <w:r w:rsidRPr="005516CD">
        <w:rPr>
          <w:rFonts w:eastAsiaTheme="majorEastAsia" w:cstheme="majorHAnsi"/>
          <w:color w:val="000000" w:themeColor="text1"/>
          <w:sz w:val="20"/>
          <w:szCs w:val="20"/>
        </w:rPr>
        <w:t>. Trade liberalization has exposed farmers to competition from subsidized U.S. rice exports and made consumers vulnerable to volatile global food prices. Food aid has also disrupted local markets and agriculture</w:t>
      </w:r>
      <w:r w:rsidRPr="005516CD">
        <w:rPr>
          <w:rStyle w:val="FootnoteReference"/>
          <w:rFonts w:eastAsiaTheme="majorEastAsia" w:cstheme="majorHAnsi"/>
          <w:color w:val="000000" w:themeColor="text1"/>
          <w:sz w:val="20"/>
          <w:szCs w:val="20"/>
        </w:rPr>
        <w:footnoteReference w:id="173"/>
      </w:r>
      <w:r w:rsidRPr="005516CD">
        <w:rPr>
          <w:rFonts w:eastAsiaTheme="majorEastAsia" w:cstheme="majorHAnsi"/>
          <w:color w:val="000000" w:themeColor="text1"/>
          <w:sz w:val="20"/>
          <w:szCs w:val="20"/>
        </w:rPr>
        <w:t xml:space="preserve">. As such, access to nutritious and stable food supplies depends more on household purchasing power than on household farm production. </w:t>
      </w:r>
      <w:r w:rsidRPr="005516CD">
        <w:rPr>
          <w:rFonts w:eastAsiaTheme="majorEastAsia" w:cstheme="majorHAnsi"/>
          <w:sz w:val="20"/>
          <w:szCs w:val="20"/>
        </w:rPr>
        <w:t>Food security is a thus a central, crosscutting component that is relevant to the proposed GEF interventions. Given women’s role in the production, distribution, and provision of food to their communities and families, it is an opportunity ripe for gender-transformative actions.</w:t>
      </w:r>
    </w:p>
    <w:p w14:paraId="6AA59E4B" w14:textId="77777777" w:rsidR="00C25FA5" w:rsidRPr="005516CD" w:rsidRDefault="00C25FA5" w:rsidP="00C25FA5">
      <w:pPr>
        <w:pStyle w:val="ParagraphGenderAssessment"/>
        <w:rPr>
          <w:rFonts w:eastAsiaTheme="majorEastAsia" w:cstheme="majorHAnsi"/>
          <w:color w:val="000000" w:themeColor="text1"/>
          <w:sz w:val="20"/>
          <w:szCs w:val="20"/>
        </w:rPr>
      </w:pPr>
      <w:r w:rsidRPr="005516CD">
        <w:rPr>
          <w:rFonts w:cstheme="majorHAnsi"/>
          <w:sz w:val="20"/>
          <w:szCs w:val="20"/>
        </w:rPr>
        <w:t>Notwithstanding their central role in agriculture and food security, women’s access to and rights over productive land remain limiting factors that contribute to gender gaps and poverty</w:t>
      </w:r>
      <w:r w:rsidRPr="005516CD">
        <w:rPr>
          <w:rStyle w:val="FootnoteReference"/>
          <w:rFonts w:cstheme="majorHAnsi"/>
          <w:sz w:val="20"/>
          <w:szCs w:val="20"/>
          <w:lang w:val="en"/>
        </w:rPr>
        <w:footnoteReference w:id="174"/>
      </w:r>
      <w:r w:rsidRPr="005516CD">
        <w:rPr>
          <w:rFonts w:cstheme="majorHAnsi"/>
          <w:sz w:val="20"/>
          <w:szCs w:val="20"/>
        </w:rPr>
        <w:t xml:space="preserve">. Women often face difficulties </w:t>
      </w:r>
      <w:r w:rsidRPr="005516CD">
        <w:rPr>
          <w:rFonts w:eastAsiaTheme="majorEastAsia" w:cstheme="majorHAnsi"/>
          <w:sz w:val="20"/>
          <w:szCs w:val="20"/>
        </w:rPr>
        <w:t>obtaining legal titles and do not often gain equal land inheritance; as such, they rarely own land or tend farm on land that belongs to their male relatives</w:t>
      </w:r>
      <w:r w:rsidRPr="005516CD">
        <w:rPr>
          <w:rStyle w:val="FootnoteReference"/>
          <w:rFonts w:eastAsiaTheme="majorEastAsia" w:cstheme="majorHAnsi"/>
          <w:sz w:val="20"/>
          <w:szCs w:val="20"/>
        </w:rPr>
        <w:footnoteReference w:id="175"/>
      </w:r>
      <w:r w:rsidRPr="005516CD">
        <w:rPr>
          <w:rFonts w:eastAsiaTheme="majorEastAsia" w:cstheme="majorHAnsi"/>
          <w:sz w:val="20"/>
          <w:szCs w:val="20"/>
          <w:vertAlign w:val="superscript"/>
        </w:rPr>
        <w:t>,</w:t>
      </w:r>
      <w:r w:rsidRPr="005516CD">
        <w:rPr>
          <w:rStyle w:val="FootnoteReference"/>
          <w:rFonts w:eastAsiaTheme="majorEastAsia" w:cstheme="majorHAnsi"/>
          <w:sz w:val="20"/>
          <w:szCs w:val="20"/>
        </w:rPr>
        <w:footnoteReference w:id="176"/>
      </w:r>
      <w:r w:rsidRPr="005516CD">
        <w:rPr>
          <w:rFonts w:eastAsiaTheme="majorEastAsia" w:cstheme="majorHAnsi"/>
          <w:sz w:val="20"/>
          <w:szCs w:val="20"/>
        </w:rPr>
        <w:t xml:space="preserve">. </w:t>
      </w:r>
      <w:r w:rsidRPr="005516CD">
        <w:rPr>
          <w:rFonts w:eastAsiaTheme="majorEastAsia" w:cstheme="majorHAnsi"/>
          <w:color w:val="000000" w:themeColor="text1"/>
          <w:sz w:val="20"/>
          <w:szCs w:val="20"/>
        </w:rPr>
        <w:t xml:space="preserve">Low-income families and women-led households are thus often relegated to farming on </w:t>
      </w:r>
      <w:r w:rsidRPr="005516CD">
        <w:rPr>
          <w:rFonts w:eastAsiaTheme="majorEastAsia" w:cstheme="majorHAnsi"/>
          <w:sz w:val="20"/>
          <w:szCs w:val="20"/>
        </w:rPr>
        <w:t>the most unproductive, infertile lands</w:t>
      </w:r>
      <w:r w:rsidRPr="005516CD">
        <w:rPr>
          <w:rFonts w:eastAsiaTheme="majorEastAsia" w:cstheme="majorHAnsi"/>
          <w:color w:val="000000" w:themeColor="text1"/>
          <w:sz w:val="20"/>
          <w:szCs w:val="20"/>
        </w:rPr>
        <w:t xml:space="preserve"> for subsistence production</w:t>
      </w:r>
      <w:r w:rsidRPr="005516CD">
        <w:rPr>
          <w:rFonts w:eastAsiaTheme="majorEastAsia" w:cstheme="majorHAnsi"/>
          <w:sz w:val="20"/>
          <w:szCs w:val="20"/>
        </w:rPr>
        <w:t xml:space="preserve">, namely </w:t>
      </w:r>
      <w:r w:rsidRPr="005516CD">
        <w:rPr>
          <w:rFonts w:eastAsiaTheme="majorEastAsia" w:cstheme="majorHAnsi"/>
          <w:color w:val="000000" w:themeColor="text1"/>
          <w:sz w:val="20"/>
          <w:szCs w:val="20"/>
        </w:rPr>
        <w:t>denuded, steep sloping terrains</w:t>
      </w:r>
      <w:r w:rsidRPr="005516CD">
        <w:rPr>
          <w:rStyle w:val="FootnoteReference"/>
          <w:rFonts w:eastAsiaTheme="majorEastAsia" w:cstheme="majorHAnsi"/>
          <w:color w:val="000000" w:themeColor="text1"/>
          <w:sz w:val="20"/>
          <w:szCs w:val="20"/>
        </w:rPr>
        <w:footnoteReference w:id="177"/>
      </w:r>
      <w:r w:rsidRPr="005516CD">
        <w:rPr>
          <w:rFonts w:eastAsiaTheme="majorEastAsia" w:cstheme="majorHAnsi"/>
          <w:color w:val="000000" w:themeColor="text1"/>
          <w:sz w:val="20"/>
          <w:szCs w:val="20"/>
        </w:rPr>
        <w:t>.</w:t>
      </w:r>
    </w:p>
    <w:p w14:paraId="6EB6809B"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Forest resources and charcoal production</w:t>
      </w:r>
    </w:p>
    <w:p w14:paraId="6A70A095" w14:textId="77777777" w:rsidR="00C25FA5" w:rsidRPr="005516CD" w:rsidRDefault="00C25FA5" w:rsidP="00C25FA5">
      <w:pPr>
        <w:pStyle w:val="ParagraphGenderAssessment"/>
        <w:rPr>
          <w:rFonts w:cstheme="majorHAnsi"/>
          <w:sz w:val="20"/>
          <w:szCs w:val="20"/>
          <w:lang w:val="en-CA"/>
        </w:rPr>
      </w:pPr>
      <w:r w:rsidRPr="005516CD">
        <w:rPr>
          <w:rFonts w:cstheme="majorHAnsi"/>
          <w:sz w:val="20"/>
          <w:szCs w:val="20"/>
          <w:lang w:val="en-CA"/>
        </w:rPr>
        <w:t>Haiti is infamously known as one of the most deforested areas in the world, with poor governance, population growth, and growing demands for energy and arable land being commonly cited as direct drivers of extreme forest loss and degradation over the last century. While the FAO statistics of 2% - 4% forest cover are often used as a reference</w:t>
      </w:r>
      <w:r w:rsidRPr="005516CD">
        <w:rPr>
          <w:rStyle w:val="FootnoteReference"/>
          <w:rFonts w:cstheme="majorHAnsi"/>
          <w:color w:val="000000" w:themeColor="text1"/>
          <w:sz w:val="20"/>
          <w:szCs w:val="20"/>
          <w:lang w:val="en-CA"/>
        </w:rPr>
        <w:footnoteReference w:id="178"/>
      </w:r>
      <w:r w:rsidRPr="005516CD">
        <w:rPr>
          <w:rFonts w:cstheme="majorHAnsi"/>
          <w:sz w:val="20"/>
          <w:szCs w:val="20"/>
          <w:vertAlign w:val="superscript"/>
          <w:lang w:val="en-CA"/>
        </w:rPr>
        <w:t>,</w:t>
      </w:r>
      <w:r w:rsidRPr="005516CD">
        <w:rPr>
          <w:rStyle w:val="FootnoteReference"/>
          <w:rFonts w:cstheme="majorHAnsi"/>
          <w:color w:val="000000" w:themeColor="text1"/>
          <w:sz w:val="20"/>
          <w:szCs w:val="20"/>
          <w:lang w:val="en-CA"/>
        </w:rPr>
        <w:footnoteReference w:id="179"/>
      </w:r>
      <w:r w:rsidRPr="005516CD">
        <w:rPr>
          <w:rFonts w:cstheme="majorHAnsi"/>
          <w:sz w:val="20"/>
          <w:szCs w:val="20"/>
          <w:lang w:val="en-CA"/>
        </w:rPr>
        <w:t>, more rigorous, local land cover classifications show that forested area is between 19.5% - 32.4%, depending on the data and methods used</w:t>
      </w:r>
      <w:r w:rsidRPr="005516CD">
        <w:rPr>
          <w:rStyle w:val="FootnoteReference"/>
          <w:rFonts w:cstheme="majorHAnsi"/>
          <w:color w:val="000000" w:themeColor="text1"/>
          <w:sz w:val="20"/>
          <w:szCs w:val="20"/>
          <w:lang w:val="en-CA"/>
        </w:rPr>
        <w:footnoteReference w:id="180"/>
      </w:r>
      <w:r w:rsidRPr="005516CD">
        <w:rPr>
          <w:rFonts w:cstheme="majorHAnsi"/>
          <w:sz w:val="20"/>
          <w:szCs w:val="20"/>
          <w:lang w:val="en-CA"/>
        </w:rPr>
        <w:t>. This incites a re-evaluation of the predominant narrative about environmental degradation and the use of forest resources in the country. Of the forested areas, coffee and cacao plantations represent a large portion of this cover (50% in the case of coffee)</w:t>
      </w:r>
      <w:r w:rsidRPr="005516CD">
        <w:rPr>
          <w:rStyle w:val="FootnoteReference"/>
          <w:rFonts w:cstheme="majorHAnsi"/>
          <w:color w:val="000000" w:themeColor="text1"/>
          <w:sz w:val="20"/>
          <w:szCs w:val="20"/>
          <w:lang w:val="en-CA"/>
        </w:rPr>
        <w:footnoteReference w:id="181"/>
      </w:r>
      <w:r w:rsidRPr="005516CD">
        <w:rPr>
          <w:rFonts w:cstheme="majorHAnsi"/>
          <w:sz w:val="20"/>
          <w:szCs w:val="20"/>
          <w:lang w:val="en-CA"/>
        </w:rPr>
        <w:t>.</w:t>
      </w:r>
    </w:p>
    <w:p w14:paraId="7DCD7214" w14:textId="6A8FD14C" w:rsidR="00C25FA5" w:rsidRPr="005516CD" w:rsidRDefault="00C25FA5" w:rsidP="00C25FA5">
      <w:pPr>
        <w:pStyle w:val="ParagraphGenderAssessment"/>
        <w:rPr>
          <w:rFonts w:cstheme="majorHAnsi"/>
          <w:sz w:val="20"/>
          <w:szCs w:val="20"/>
          <w:lang w:val="en-CA"/>
        </w:rPr>
      </w:pPr>
      <w:r w:rsidRPr="005516CD">
        <w:rPr>
          <w:rFonts w:cstheme="majorHAnsi"/>
          <w:sz w:val="20"/>
          <w:szCs w:val="20"/>
          <w:lang w:val="en-CA"/>
        </w:rPr>
        <w:t>The majority (over 90%) of Haitian households meet their energy needs by charcoal and firewood, as only about a third have access to electricity – primarily in urban areas</w:t>
      </w:r>
      <w:r w:rsidRPr="005516CD">
        <w:rPr>
          <w:rStyle w:val="FootnoteReference"/>
          <w:rFonts w:cstheme="majorHAnsi"/>
          <w:color w:val="000000" w:themeColor="text1"/>
          <w:sz w:val="20"/>
          <w:szCs w:val="20"/>
          <w:lang w:val="en-CA"/>
        </w:rPr>
        <w:footnoteReference w:id="182"/>
      </w:r>
      <w:r w:rsidRPr="005516CD">
        <w:rPr>
          <w:rFonts w:cstheme="majorHAnsi"/>
          <w:sz w:val="20"/>
          <w:szCs w:val="20"/>
          <w:lang w:val="en-CA"/>
        </w:rPr>
        <w:t>. In fact, about 10,000 sacs of charcoal are used a day</w:t>
      </w:r>
      <w:r w:rsidRPr="005516CD">
        <w:rPr>
          <w:rStyle w:val="FootnoteReference"/>
          <w:rFonts w:cstheme="majorHAnsi"/>
          <w:sz w:val="20"/>
          <w:szCs w:val="20"/>
          <w:lang w:val="en-CA"/>
        </w:rPr>
        <w:footnoteReference w:id="183"/>
      </w:r>
      <w:r w:rsidRPr="005516CD">
        <w:rPr>
          <w:rFonts w:cstheme="majorHAnsi"/>
          <w:sz w:val="20"/>
          <w:szCs w:val="20"/>
          <w:lang w:val="en-CA"/>
        </w:rPr>
        <w:t>. Both men and women are actively involved in the production of charcoal, while women are the main traders and users of this wood-based energy source (for cooking and cleaning)</w:t>
      </w:r>
      <w:r w:rsidRPr="005516CD">
        <w:rPr>
          <w:rStyle w:val="FootnoteReference"/>
          <w:rFonts w:cstheme="majorHAnsi"/>
          <w:sz w:val="20"/>
          <w:szCs w:val="20"/>
          <w:lang w:val="en-CA"/>
        </w:rPr>
        <w:footnoteReference w:id="184"/>
      </w:r>
      <w:r w:rsidRPr="005516CD">
        <w:rPr>
          <w:rFonts w:cstheme="majorHAnsi"/>
          <w:sz w:val="20"/>
          <w:szCs w:val="20"/>
          <w:lang w:val="en-CA"/>
        </w:rPr>
        <w:t xml:space="preserve">. As such, this is an issue of relevance to both gender and environmental management. </w:t>
      </w:r>
      <w:r w:rsidRPr="005516CD">
        <w:rPr>
          <w:rFonts w:cstheme="majorHAnsi"/>
          <w:sz w:val="20"/>
          <w:szCs w:val="20"/>
        </w:rPr>
        <w:t>With a stable national demand for charcoal, it is often a supplementary or primary source of revenue for poor rural families</w:t>
      </w:r>
      <w:r w:rsidRPr="005516CD">
        <w:rPr>
          <w:rStyle w:val="FootnoteReference"/>
          <w:rFonts w:cstheme="majorHAnsi"/>
          <w:sz w:val="20"/>
          <w:szCs w:val="20"/>
        </w:rPr>
        <w:footnoteReference w:id="185"/>
      </w:r>
      <w:r w:rsidRPr="005516CD">
        <w:rPr>
          <w:rFonts w:cstheme="majorHAnsi"/>
          <w:sz w:val="20"/>
          <w:szCs w:val="20"/>
        </w:rPr>
        <w:t xml:space="preserve">. While charcoal production has long been painted as unsustainable, practices involving the cutting of </w:t>
      </w:r>
      <w:r w:rsidR="00C94788" w:rsidRPr="005516CD">
        <w:rPr>
          <w:rFonts w:cstheme="majorHAnsi"/>
          <w:sz w:val="20"/>
          <w:szCs w:val="20"/>
        </w:rPr>
        <w:t>fast-growing</w:t>
      </w:r>
      <w:r w:rsidRPr="005516CD">
        <w:rPr>
          <w:rFonts w:cstheme="majorHAnsi"/>
          <w:sz w:val="20"/>
          <w:szCs w:val="20"/>
        </w:rPr>
        <w:t xml:space="preserve"> trees such as cassia and acacia (that coppice and regrow within 4 – 6 years), are bringing into question this assertion that prevails across green development narratives</w:t>
      </w:r>
      <w:r w:rsidRPr="005516CD">
        <w:rPr>
          <w:rStyle w:val="FootnoteReference"/>
          <w:rFonts w:cstheme="majorHAnsi"/>
          <w:sz w:val="20"/>
          <w:szCs w:val="20"/>
        </w:rPr>
        <w:footnoteReference w:id="186"/>
      </w:r>
      <w:r w:rsidRPr="005516CD">
        <w:rPr>
          <w:rFonts w:cstheme="majorHAnsi"/>
          <w:sz w:val="20"/>
          <w:szCs w:val="20"/>
        </w:rPr>
        <w:t xml:space="preserve">. As such, interest is surging on how to integrate, rather than eliminate, charcoal production and use into programs and projects – representing a potential for improving co-benefits of agroforestry systems. </w:t>
      </w:r>
    </w:p>
    <w:p w14:paraId="4D9E766E" w14:textId="77777777" w:rsidR="00C25FA5" w:rsidRPr="005516CD" w:rsidRDefault="00C25FA5" w:rsidP="00C25FA5">
      <w:pPr>
        <w:pStyle w:val="ParagraphGenderAssessment"/>
        <w:rPr>
          <w:rFonts w:cstheme="majorHAnsi"/>
          <w:color w:val="000000" w:themeColor="text1"/>
          <w:sz w:val="20"/>
          <w:szCs w:val="20"/>
        </w:rPr>
      </w:pPr>
      <w:r w:rsidRPr="005516CD">
        <w:rPr>
          <w:rFonts w:cstheme="majorHAnsi"/>
          <w:color w:val="000000" w:themeColor="text1"/>
          <w:sz w:val="20"/>
          <w:szCs w:val="20"/>
        </w:rPr>
        <w:t>With differentiated gender roles and responsibilities in the household and the economy, the intended use and preferences of forest resources are often distinct between men and women. For example, recent reforestation initiatives in Haiti led by the C</w:t>
      </w:r>
      <w:r w:rsidR="00C83C9F" w:rsidRPr="005516CD">
        <w:rPr>
          <w:rFonts w:cstheme="majorHAnsi"/>
          <w:color w:val="000000" w:themeColor="text1"/>
          <w:sz w:val="20"/>
          <w:szCs w:val="20"/>
        </w:rPr>
        <w:t>limate Change Adaptation Facility (C</w:t>
      </w:r>
      <w:r w:rsidRPr="005516CD">
        <w:rPr>
          <w:rFonts w:cstheme="majorHAnsi"/>
          <w:color w:val="000000" w:themeColor="text1"/>
          <w:sz w:val="20"/>
          <w:szCs w:val="20"/>
        </w:rPr>
        <w:t>CAF</w:t>
      </w:r>
      <w:r w:rsidR="00C83C9F" w:rsidRPr="005516CD">
        <w:rPr>
          <w:rFonts w:cstheme="majorHAnsi"/>
          <w:color w:val="000000" w:themeColor="text1"/>
          <w:sz w:val="20"/>
          <w:szCs w:val="20"/>
        </w:rPr>
        <w:t>)</w:t>
      </w:r>
      <w:r w:rsidRPr="005516CD">
        <w:rPr>
          <w:rFonts w:cstheme="majorHAnsi"/>
          <w:color w:val="000000" w:themeColor="text1"/>
          <w:sz w:val="20"/>
          <w:szCs w:val="20"/>
        </w:rPr>
        <w:t xml:space="preserve"> found that men tended to favor tree species for charcoal production and construction, while women expressed preferences for fruit trees and vegetable crops to integrate into home gardens</w:t>
      </w:r>
      <w:r w:rsidRPr="005516CD">
        <w:rPr>
          <w:rStyle w:val="FootnoteReference"/>
          <w:rFonts w:cstheme="majorHAnsi"/>
          <w:color w:val="000000" w:themeColor="text1"/>
          <w:sz w:val="20"/>
          <w:szCs w:val="20"/>
        </w:rPr>
        <w:footnoteReference w:id="187"/>
      </w:r>
      <w:r w:rsidRPr="005516CD">
        <w:rPr>
          <w:rFonts w:cstheme="majorHAnsi"/>
          <w:color w:val="000000" w:themeColor="text1"/>
          <w:sz w:val="20"/>
          <w:szCs w:val="20"/>
        </w:rPr>
        <w:t>. In some regions of Haiti, there may also be taboos around the use, planting or cutting of certain tree species</w:t>
      </w:r>
      <w:r w:rsidRPr="005516CD">
        <w:rPr>
          <w:rStyle w:val="FootnoteReference"/>
          <w:rFonts w:cstheme="majorHAnsi"/>
          <w:color w:val="000000" w:themeColor="text1"/>
          <w:sz w:val="20"/>
          <w:szCs w:val="20"/>
        </w:rPr>
        <w:footnoteReference w:id="188"/>
      </w:r>
      <w:r w:rsidRPr="005516CD">
        <w:rPr>
          <w:rFonts w:cstheme="majorHAnsi"/>
          <w:color w:val="000000" w:themeColor="text1"/>
          <w:sz w:val="20"/>
          <w:szCs w:val="20"/>
        </w:rPr>
        <w:t>. With the prevalence of men in spiritual leadership positions</w:t>
      </w:r>
      <w:r w:rsidRPr="005516CD">
        <w:rPr>
          <w:rStyle w:val="FootnoteReference"/>
          <w:rFonts w:cstheme="majorHAnsi"/>
          <w:color w:val="000000" w:themeColor="text1"/>
          <w:sz w:val="20"/>
          <w:szCs w:val="20"/>
        </w:rPr>
        <w:footnoteReference w:id="189"/>
      </w:r>
      <w:r w:rsidRPr="005516CD">
        <w:rPr>
          <w:rFonts w:cstheme="majorHAnsi"/>
          <w:color w:val="000000" w:themeColor="text1"/>
          <w:sz w:val="20"/>
          <w:szCs w:val="20"/>
        </w:rPr>
        <w:t xml:space="preserve">, their power and control over belief systems that shape these practices may be particularly relevant, yet it is a largely unexplored and overlooked aspect of reforestation efforts. Indeed, </w:t>
      </w:r>
      <w:r w:rsidRPr="005516CD">
        <w:rPr>
          <w:rFonts w:eastAsiaTheme="minorHAnsi" w:cstheme="majorHAnsi"/>
          <w:color w:val="000000" w:themeColor="text1"/>
          <w:sz w:val="20"/>
          <w:szCs w:val="20"/>
        </w:rPr>
        <w:t xml:space="preserve">evaluations of previous reforestation attempts in Haiti indicate that interventions are most successful when there is a strong incentive for local populations to ensure the survival of seedlings and maintain tree-cover </w:t>
      </w:r>
      <w:r w:rsidRPr="005516CD">
        <w:rPr>
          <w:rStyle w:val="FootnoteReference"/>
          <w:rFonts w:eastAsiaTheme="minorHAnsi" w:cstheme="majorHAnsi"/>
          <w:color w:val="000000" w:themeColor="text1"/>
          <w:sz w:val="20"/>
          <w:szCs w:val="20"/>
        </w:rPr>
        <w:footnoteReference w:id="190"/>
      </w:r>
      <w:r w:rsidRPr="005516CD">
        <w:rPr>
          <w:rFonts w:eastAsiaTheme="minorHAnsi" w:cstheme="majorHAnsi"/>
          <w:color w:val="000000" w:themeColor="text1"/>
          <w:sz w:val="20"/>
          <w:szCs w:val="20"/>
        </w:rPr>
        <w:t>.</w:t>
      </w:r>
    </w:p>
    <w:p w14:paraId="53323BE4"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Access to productive land</w:t>
      </w:r>
      <w:r w:rsidRPr="005516CD">
        <w:rPr>
          <w:rFonts w:cstheme="majorHAnsi"/>
          <w:b/>
          <w:sz w:val="20"/>
          <w:szCs w:val="20"/>
        </w:rPr>
        <w:tab/>
      </w:r>
    </w:p>
    <w:p w14:paraId="4930832D" w14:textId="77777777" w:rsidR="00C25FA5" w:rsidRPr="005516CD" w:rsidRDefault="00C25FA5" w:rsidP="00C25FA5">
      <w:pPr>
        <w:pStyle w:val="ParagraphGenderAssessment"/>
        <w:rPr>
          <w:rFonts w:cstheme="majorHAnsi"/>
          <w:color w:val="000000" w:themeColor="text1"/>
          <w:sz w:val="20"/>
          <w:szCs w:val="20"/>
        </w:rPr>
      </w:pPr>
      <w:r w:rsidRPr="005516CD">
        <w:rPr>
          <w:rFonts w:cstheme="majorHAnsi"/>
          <w:sz w:val="20"/>
          <w:szCs w:val="20"/>
        </w:rPr>
        <w:t xml:space="preserve">In Haiti, </w:t>
      </w:r>
      <w:r w:rsidRPr="005516CD">
        <w:rPr>
          <w:rFonts w:cstheme="majorHAnsi"/>
          <w:sz w:val="20"/>
          <w:szCs w:val="20"/>
          <w:lang w:val="en"/>
        </w:rPr>
        <w:t>women make up a majority of the labor force in agriculture, contributing to all aspects of production and especially commercialization and trade</w:t>
      </w:r>
      <w:r w:rsidRPr="005516CD">
        <w:rPr>
          <w:rStyle w:val="FootnoteReference"/>
          <w:rFonts w:cstheme="majorHAnsi"/>
          <w:sz w:val="20"/>
          <w:szCs w:val="20"/>
          <w:lang w:val="en"/>
        </w:rPr>
        <w:footnoteReference w:id="191"/>
      </w:r>
      <w:r w:rsidRPr="005516CD">
        <w:rPr>
          <w:rFonts w:cstheme="majorHAnsi"/>
          <w:sz w:val="20"/>
          <w:szCs w:val="20"/>
          <w:lang w:val="en"/>
        </w:rPr>
        <w:t xml:space="preserve">, yet ownership and rights over productive land resources is highly skewed by gender. The national statistics are a testament to this, </w:t>
      </w:r>
      <w:r w:rsidRPr="005516CD">
        <w:rPr>
          <w:rFonts w:cstheme="majorHAnsi"/>
          <w:sz w:val="20"/>
          <w:szCs w:val="20"/>
        </w:rPr>
        <w:t>with only 9% property owners</w:t>
      </w:r>
      <w:r w:rsidRPr="005516CD">
        <w:rPr>
          <w:rFonts w:cstheme="majorHAnsi"/>
          <w:sz w:val="20"/>
          <w:szCs w:val="20"/>
          <w:lang w:val="en"/>
        </w:rPr>
        <w:t xml:space="preserve"> in the country being women, while </w:t>
      </w:r>
      <w:r w:rsidRPr="005516CD">
        <w:rPr>
          <w:rFonts w:cstheme="majorHAnsi"/>
          <w:sz w:val="20"/>
          <w:szCs w:val="20"/>
        </w:rPr>
        <w:t>20% of women have joint-ownership of a property</w:t>
      </w:r>
      <w:r w:rsidRPr="005516CD">
        <w:rPr>
          <w:rStyle w:val="FootnoteReference"/>
          <w:rFonts w:cstheme="majorHAnsi"/>
          <w:sz w:val="20"/>
          <w:szCs w:val="20"/>
        </w:rPr>
        <w:footnoteReference w:id="192"/>
      </w:r>
      <w:r w:rsidRPr="005516CD">
        <w:rPr>
          <w:rFonts w:cstheme="majorHAnsi"/>
          <w:sz w:val="20"/>
          <w:szCs w:val="20"/>
        </w:rPr>
        <w:t xml:space="preserve">. Land tenure is regulated by a civil code (enacted in 1962), that requires tenure registration for all land, yet a third of parcels do not have a legally recognized title, while 19% of land ownership is </w:t>
      </w:r>
      <w:r w:rsidRPr="005516CD">
        <w:rPr>
          <w:rFonts w:cstheme="majorHAnsi"/>
          <w:i/>
          <w:color w:val="000000" w:themeColor="text1"/>
          <w:sz w:val="20"/>
          <w:szCs w:val="20"/>
        </w:rPr>
        <w:t>de facto</w:t>
      </w:r>
      <w:r w:rsidRPr="005516CD">
        <w:rPr>
          <w:rFonts w:cstheme="majorHAnsi"/>
          <w:color w:val="000000" w:themeColor="text1"/>
          <w:sz w:val="20"/>
          <w:szCs w:val="20"/>
        </w:rPr>
        <w:t xml:space="preserve"> declared by a sales receipt</w:t>
      </w:r>
      <w:r w:rsidRPr="005516CD">
        <w:rPr>
          <w:rStyle w:val="FootnoteReference"/>
          <w:rFonts w:cstheme="majorHAnsi"/>
          <w:color w:val="000000" w:themeColor="text1"/>
          <w:sz w:val="20"/>
          <w:szCs w:val="20"/>
        </w:rPr>
        <w:footnoteReference w:id="193"/>
      </w:r>
      <w:r w:rsidRPr="005516CD">
        <w:rPr>
          <w:rFonts w:cstheme="majorHAnsi"/>
          <w:color w:val="000000" w:themeColor="text1"/>
          <w:sz w:val="20"/>
          <w:szCs w:val="20"/>
        </w:rPr>
        <w:t xml:space="preserve">, indicating that the land tenure situation is uncertain and fragile across many Haitian households.  </w:t>
      </w:r>
    </w:p>
    <w:p w14:paraId="65253E05" w14:textId="77777777" w:rsidR="00C25FA5" w:rsidRPr="005516CD" w:rsidRDefault="00C25FA5" w:rsidP="00C25FA5">
      <w:pPr>
        <w:pStyle w:val="ParagraphGenderAssessment"/>
        <w:rPr>
          <w:rFonts w:eastAsiaTheme="minorHAnsi" w:cstheme="majorHAnsi"/>
          <w:sz w:val="20"/>
          <w:szCs w:val="20"/>
          <w:lang w:val="en-CA"/>
        </w:rPr>
      </w:pPr>
      <w:r w:rsidRPr="005516CD">
        <w:rPr>
          <w:rFonts w:cstheme="majorHAnsi"/>
          <w:sz w:val="20"/>
          <w:szCs w:val="20"/>
          <w:lang w:val="en-CA"/>
        </w:rPr>
        <w:t>Most rural households (80%) have access to at least one hectare of land</w:t>
      </w:r>
      <w:r w:rsidRPr="005516CD">
        <w:rPr>
          <w:rStyle w:val="FootnoteReference"/>
          <w:rFonts w:cstheme="majorHAnsi"/>
          <w:sz w:val="20"/>
          <w:szCs w:val="20"/>
          <w:lang w:val="en-CA"/>
        </w:rPr>
        <w:footnoteReference w:id="194"/>
      </w:r>
      <w:r w:rsidRPr="005516CD">
        <w:rPr>
          <w:rFonts w:cstheme="majorHAnsi"/>
          <w:sz w:val="20"/>
          <w:szCs w:val="20"/>
          <w:lang w:val="en-CA"/>
        </w:rPr>
        <w:t xml:space="preserve">, with climate change and soil degradation however, the productivity of land is declining. </w:t>
      </w:r>
      <w:r w:rsidRPr="005516CD">
        <w:rPr>
          <w:rFonts w:eastAsiaTheme="minorHAnsi" w:cstheme="majorHAnsi"/>
          <w:sz w:val="20"/>
          <w:szCs w:val="20"/>
          <w:lang w:val="en-CA"/>
        </w:rPr>
        <w:t>Fertile land may have decreased by as much as 70% since the 1970s</w:t>
      </w:r>
      <w:r w:rsidRPr="005516CD">
        <w:rPr>
          <w:rStyle w:val="FootnoteReference"/>
          <w:rFonts w:eastAsiaTheme="minorHAnsi" w:cstheme="majorHAnsi"/>
          <w:sz w:val="20"/>
          <w:szCs w:val="20"/>
          <w:lang w:val="en-CA"/>
        </w:rPr>
        <w:footnoteReference w:id="195"/>
      </w:r>
      <w:r w:rsidRPr="005516CD">
        <w:rPr>
          <w:rFonts w:eastAsiaTheme="minorHAnsi" w:cstheme="majorHAnsi"/>
          <w:sz w:val="20"/>
          <w:szCs w:val="20"/>
          <w:lang w:val="en-CA"/>
        </w:rPr>
        <w:t>; in fact, estimates put loses of 10,000 to 15,000 fertile hectares per year due to erosion linked to a combination of land use practices and climate change</w:t>
      </w:r>
      <w:r w:rsidRPr="005516CD">
        <w:rPr>
          <w:rStyle w:val="FootnoteReference"/>
          <w:rFonts w:eastAsiaTheme="minorHAnsi" w:cstheme="majorHAnsi"/>
          <w:sz w:val="20"/>
          <w:szCs w:val="20"/>
          <w:lang w:val="en-CA"/>
        </w:rPr>
        <w:footnoteReference w:id="196"/>
      </w:r>
      <w:r w:rsidRPr="005516CD">
        <w:rPr>
          <w:rFonts w:eastAsiaTheme="minorHAnsi" w:cstheme="majorHAnsi"/>
          <w:sz w:val="20"/>
          <w:szCs w:val="20"/>
          <w:lang w:val="en-CA"/>
        </w:rPr>
        <w:t>.</w:t>
      </w:r>
    </w:p>
    <w:p w14:paraId="60C93C80" w14:textId="77777777" w:rsidR="00C25FA5" w:rsidRPr="005516CD" w:rsidRDefault="00C25FA5" w:rsidP="00C25FA5">
      <w:pPr>
        <w:pStyle w:val="ParagraphGenderAssessment"/>
        <w:rPr>
          <w:rFonts w:cstheme="majorHAnsi"/>
          <w:color w:val="000000" w:themeColor="text1"/>
          <w:sz w:val="20"/>
          <w:szCs w:val="20"/>
        </w:rPr>
      </w:pPr>
      <w:r w:rsidRPr="005516CD">
        <w:rPr>
          <w:rFonts w:cstheme="majorHAnsi"/>
          <w:color w:val="000000" w:themeColor="text1"/>
          <w:sz w:val="20"/>
          <w:szCs w:val="20"/>
        </w:rPr>
        <w:t>Haiti has a particular and highly informal land ownership scheme rooted in traditional family relations that are structured around the family patriarch, or “</w:t>
      </w:r>
      <w:proofErr w:type="spellStart"/>
      <w:r w:rsidRPr="005516CD">
        <w:rPr>
          <w:rFonts w:cstheme="majorHAnsi"/>
          <w:color w:val="000000" w:themeColor="text1"/>
          <w:sz w:val="20"/>
          <w:szCs w:val="20"/>
        </w:rPr>
        <w:t>lakou</w:t>
      </w:r>
      <w:proofErr w:type="spellEnd"/>
      <w:r w:rsidRPr="005516CD">
        <w:rPr>
          <w:rFonts w:cstheme="majorHAnsi"/>
          <w:color w:val="000000" w:themeColor="text1"/>
          <w:sz w:val="20"/>
          <w:szCs w:val="20"/>
        </w:rPr>
        <w:t>”</w:t>
      </w:r>
      <w:r w:rsidRPr="005516CD">
        <w:rPr>
          <w:rStyle w:val="FootnoteReference"/>
          <w:rFonts w:cstheme="majorHAnsi"/>
          <w:color w:val="000000" w:themeColor="text1"/>
          <w:sz w:val="20"/>
          <w:szCs w:val="20"/>
        </w:rPr>
        <w:footnoteReference w:id="197"/>
      </w:r>
      <w:r w:rsidRPr="005516CD">
        <w:rPr>
          <w:rStyle w:val="FootnoteReference"/>
          <w:rFonts w:cstheme="majorHAnsi"/>
          <w:sz w:val="20"/>
          <w:szCs w:val="20"/>
        </w:rPr>
        <w:t xml:space="preserve">, </w:t>
      </w:r>
      <w:r w:rsidRPr="005516CD">
        <w:rPr>
          <w:rStyle w:val="FootnoteReference"/>
          <w:rFonts w:cstheme="majorHAnsi"/>
          <w:color w:val="000000" w:themeColor="text1"/>
          <w:sz w:val="20"/>
          <w:szCs w:val="20"/>
        </w:rPr>
        <w:footnoteReference w:id="198"/>
      </w:r>
      <w:r w:rsidRPr="005516CD">
        <w:rPr>
          <w:rFonts w:cstheme="majorHAnsi"/>
          <w:color w:val="000000" w:themeColor="text1"/>
          <w:sz w:val="20"/>
          <w:szCs w:val="20"/>
        </w:rPr>
        <w:t>. Land is typically passed through inheritance and distributed among children, which has contributed to the fragmentation of land into smaller and smaller parcels over time. With each generation, the inheritance situation is re-evaluated, such that relationships to home and land may be impermanent and unstable for families from one generation to the next</w:t>
      </w:r>
      <w:r w:rsidRPr="005516CD">
        <w:rPr>
          <w:rStyle w:val="FootnoteReference"/>
          <w:rFonts w:cstheme="majorHAnsi"/>
          <w:color w:val="000000" w:themeColor="text1"/>
          <w:sz w:val="20"/>
          <w:szCs w:val="20"/>
        </w:rPr>
        <w:footnoteReference w:id="199"/>
      </w:r>
      <w:r w:rsidRPr="005516CD">
        <w:rPr>
          <w:rFonts w:cstheme="majorHAnsi"/>
          <w:color w:val="000000" w:themeColor="text1"/>
          <w:sz w:val="20"/>
          <w:szCs w:val="20"/>
        </w:rPr>
        <w:t xml:space="preserve">. </w:t>
      </w:r>
    </w:p>
    <w:p w14:paraId="2322EFEA" w14:textId="77777777" w:rsidR="00C25FA5" w:rsidRPr="005516CD" w:rsidRDefault="00C25FA5" w:rsidP="00C25FA5">
      <w:pPr>
        <w:pStyle w:val="ParagraphGenderAssessment"/>
        <w:rPr>
          <w:rFonts w:cstheme="majorHAnsi"/>
          <w:color w:val="000000" w:themeColor="text1"/>
          <w:sz w:val="20"/>
          <w:szCs w:val="20"/>
        </w:rPr>
      </w:pPr>
      <w:r w:rsidRPr="005516CD">
        <w:rPr>
          <w:rFonts w:cstheme="majorHAnsi"/>
          <w:color w:val="000000" w:themeColor="text1"/>
          <w:sz w:val="20"/>
          <w:szCs w:val="20"/>
        </w:rPr>
        <w:t>For women and girls, these tenure customs are a serious obstacle regarding their access to and securing their rights over productive land. Although inheritance is bilateral, with both daughters and sons being included in the division of land and homes, daughters traditionally receive smaller inheritances</w:t>
      </w:r>
      <w:r w:rsidRPr="005516CD">
        <w:rPr>
          <w:rStyle w:val="FootnoteReference"/>
          <w:rFonts w:cstheme="majorHAnsi"/>
          <w:color w:val="000000" w:themeColor="text1"/>
          <w:sz w:val="20"/>
          <w:szCs w:val="20"/>
        </w:rPr>
        <w:footnoteReference w:id="200"/>
      </w:r>
      <w:r w:rsidRPr="005516CD">
        <w:rPr>
          <w:rFonts w:cstheme="majorHAnsi"/>
          <w:color w:val="000000" w:themeColor="text1"/>
          <w:sz w:val="20"/>
          <w:szCs w:val="20"/>
          <w:vertAlign w:val="superscript"/>
        </w:rPr>
        <w:t>,</w:t>
      </w:r>
      <w:r w:rsidRPr="005516CD">
        <w:rPr>
          <w:rStyle w:val="FootnoteReference"/>
          <w:rFonts w:cstheme="majorHAnsi"/>
          <w:color w:val="000000" w:themeColor="text1"/>
          <w:sz w:val="20"/>
          <w:szCs w:val="20"/>
        </w:rPr>
        <w:footnoteReference w:id="201"/>
      </w:r>
      <w:r w:rsidRPr="005516CD">
        <w:rPr>
          <w:rFonts w:cstheme="majorHAnsi"/>
          <w:color w:val="000000" w:themeColor="text1"/>
          <w:sz w:val="20"/>
          <w:szCs w:val="20"/>
        </w:rPr>
        <w:t>. Haitian marriage law recognizes that both men and women have equal inheritance rights, yet women have little legal and intuitional recourse to affirm these rights, as common law relationships and unofficial unions are extremely common</w:t>
      </w:r>
      <w:r w:rsidRPr="005516CD">
        <w:rPr>
          <w:rStyle w:val="FootnoteReference"/>
          <w:rFonts w:cstheme="majorHAnsi"/>
          <w:color w:val="000000" w:themeColor="text1"/>
          <w:sz w:val="20"/>
          <w:szCs w:val="20"/>
        </w:rPr>
        <w:footnoteReference w:id="202"/>
      </w:r>
      <w:r w:rsidRPr="005516CD">
        <w:rPr>
          <w:rFonts w:cstheme="majorHAnsi"/>
          <w:color w:val="000000" w:themeColor="text1"/>
          <w:sz w:val="20"/>
          <w:szCs w:val="20"/>
        </w:rPr>
        <w:t>. In the case of adopted children, those born of wedlock and “</w:t>
      </w:r>
      <w:proofErr w:type="spellStart"/>
      <w:r w:rsidRPr="005516CD">
        <w:rPr>
          <w:rFonts w:cstheme="majorHAnsi"/>
          <w:color w:val="000000" w:themeColor="text1"/>
          <w:sz w:val="20"/>
          <w:szCs w:val="20"/>
        </w:rPr>
        <w:t>restaveks</w:t>
      </w:r>
      <w:proofErr w:type="spellEnd"/>
      <w:r w:rsidRPr="005516CD">
        <w:rPr>
          <w:rFonts w:cstheme="majorHAnsi"/>
          <w:color w:val="000000" w:themeColor="text1"/>
          <w:sz w:val="20"/>
          <w:szCs w:val="20"/>
        </w:rPr>
        <w:t>” (child domestic workers, who are often young girls), they are not recognized in informal hereditary arrangements; moreover, they retain their original family names and consequently have no legal rights to inherited land</w:t>
      </w:r>
      <w:r w:rsidRPr="005516CD">
        <w:rPr>
          <w:rStyle w:val="FootnoteReference"/>
          <w:rFonts w:cstheme="majorHAnsi"/>
          <w:color w:val="000000" w:themeColor="text1"/>
          <w:sz w:val="20"/>
          <w:szCs w:val="20"/>
        </w:rPr>
        <w:footnoteReference w:id="203"/>
      </w:r>
      <w:r w:rsidRPr="005516CD">
        <w:rPr>
          <w:rFonts w:cstheme="majorHAnsi"/>
          <w:color w:val="000000" w:themeColor="text1"/>
          <w:sz w:val="20"/>
          <w:szCs w:val="20"/>
        </w:rPr>
        <w:t xml:space="preserve">. </w:t>
      </w:r>
    </w:p>
    <w:p w14:paraId="0E5AAFB0"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For landless households, sharecropping is common, particularly under informal agreements of the “</w:t>
      </w:r>
      <w:proofErr w:type="spellStart"/>
      <w:r w:rsidRPr="005516CD">
        <w:rPr>
          <w:rFonts w:cstheme="majorHAnsi"/>
          <w:sz w:val="20"/>
          <w:szCs w:val="20"/>
        </w:rPr>
        <w:t>mèt</w:t>
      </w:r>
      <w:proofErr w:type="spellEnd"/>
      <w:r w:rsidRPr="005516CD">
        <w:rPr>
          <w:rFonts w:cstheme="majorHAnsi"/>
          <w:sz w:val="20"/>
          <w:szCs w:val="20"/>
        </w:rPr>
        <w:t xml:space="preserve"> </w:t>
      </w:r>
      <w:proofErr w:type="spellStart"/>
      <w:r w:rsidRPr="005516CD">
        <w:rPr>
          <w:rFonts w:cstheme="majorHAnsi"/>
          <w:sz w:val="20"/>
          <w:szCs w:val="20"/>
        </w:rPr>
        <w:t>té</w:t>
      </w:r>
      <w:proofErr w:type="spellEnd"/>
      <w:r w:rsidRPr="005516CD">
        <w:rPr>
          <w:rFonts w:cstheme="majorHAnsi"/>
          <w:sz w:val="20"/>
          <w:szCs w:val="20"/>
        </w:rPr>
        <w:t>” system, whereby up to half of the agricultural production is collected by the property owner</w:t>
      </w:r>
      <w:r w:rsidRPr="005516CD">
        <w:rPr>
          <w:rStyle w:val="FootnoteReference"/>
          <w:rFonts w:cstheme="majorHAnsi"/>
          <w:sz w:val="20"/>
          <w:szCs w:val="20"/>
        </w:rPr>
        <w:footnoteReference w:id="204"/>
      </w:r>
      <w:r w:rsidRPr="005516CD">
        <w:rPr>
          <w:rFonts w:cstheme="majorHAnsi"/>
          <w:sz w:val="20"/>
          <w:szCs w:val="20"/>
        </w:rPr>
        <w:t>, most of which are men. Moreover, these parcels are often the most remote and degraded lands</w:t>
      </w:r>
      <w:r w:rsidRPr="005516CD">
        <w:rPr>
          <w:rStyle w:val="FootnoteReference"/>
          <w:rFonts w:cstheme="majorHAnsi"/>
          <w:sz w:val="20"/>
          <w:szCs w:val="20"/>
        </w:rPr>
        <w:footnoteReference w:id="205"/>
      </w:r>
      <w:r w:rsidRPr="005516CD">
        <w:rPr>
          <w:rFonts w:cstheme="majorHAnsi"/>
          <w:sz w:val="20"/>
          <w:szCs w:val="20"/>
          <w:vertAlign w:val="superscript"/>
        </w:rPr>
        <w:t>,</w:t>
      </w:r>
      <w:r w:rsidRPr="005516CD">
        <w:rPr>
          <w:rStyle w:val="FootnoteReference"/>
          <w:rFonts w:cstheme="majorHAnsi"/>
          <w:sz w:val="20"/>
          <w:szCs w:val="20"/>
        </w:rPr>
        <w:footnoteReference w:id="206"/>
      </w:r>
      <w:r w:rsidRPr="005516CD">
        <w:rPr>
          <w:rFonts w:cstheme="majorHAnsi"/>
          <w:sz w:val="20"/>
          <w:szCs w:val="20"/>
        </w:rPr>
        <w:t xml:space="preserve">. </w:t>
      </w:r>
      <w:r w:rsidRPr="005516CD">
        <w:rPr>
          <w:rFonts w:cstheme="majorHAnsi"/>
          <w:color w:val="000000" w:themeColor="text1"/>
          <w:sz w:val="20"/>
          <w:szCs w:val="20"/>
        </w:rPr>
        <w:t>Within Haitian polygamist practices – which account for up to one-third of unions</w:t>
      </w:r>
      <w:r w:rsidRPr="005516CD">
        <w:rPr>
          <w:rStyle w:val="FootnoteReference"/>
          <w:rFonts w:cstheme="majorHAnsi"/>
          <w:color w:val="000000" w:themeColor="text1"/>
          <w:sz w:val="20"/>
          <w:szCs w:val="20"/>
        </w:rPr>
        <w:footnoteReference w:id="207"/>
      </w:r>
      <w:r w:rsidRPr="005516CD">
        <w:rPr>
          <w:rFonts w:cstheme="majorHAnsi"/>
          <w:color w:val="000000" w:themeColor="text1"/>
          <w:sz w:val="20"/>
          <w:szCs w:val="20"/>
        </w:rPr>
        <w:t xml:space="preserve"> – secondary wives do not have the same family status, yet men may still collect yields and thus revenue from their farms or gardens</w:t>
      </w:r>
      <w:r w:rsidRPr="005516CD">
        <w:rPr>
          <w:rStyle w:val="FootnoteReference"/>
          <w:rFonts w:cstheme="majorHAnsi"/>
          <w:color w:val="000000" w:themeColor="text1"/>
          <w:sz w:val="20"/>
          <w:szCs w:val="20"/>
        </w:rPr>
        <w:footnoteReference w:id="208"/>
      </w:r>
      <w:r w:rsidRPr="005516CD">
        <w:rPr>
          <w:rFonts w:cstheme="majorHAnsi"/>
          <w:color w:val="000000" w:themeColor="text1"/>
          <w:sz w:val="20"/>
          <w:szCs w:val="20"/>
        </w:rPr>
        <w:t>.</w:t>
      </w:r>
    </w:p>
    <w:p w14:paraId="4812B7F2" w14:textId="77777777" w:rsidR="00C25FA5" w:rsidRPr="005516CD" w:rsidRDefault="00C25FA5" w:rsidP="00C25FA5">
      <w:pPr>
        <w:pStyle w:val="ParagraphGenderAssessment"/>
        <w:rPr>
          <w:rFonts w:cstheme="majorHAnsi"/>
          <w:sz w:val="20"/>
          <w:szCs w:val="20"/>
        </w:rPr>
      </w:pPr>
      <w:r w:rsidRPr="005516CD">
        <w:rPr>
          <w:rFonts w:eastAsiaTheme="majorEastAsia" w:cstheme="majorHAnsi"/>
          <w:color w:val="000000" w:themeColor="text1"/>
          <w:sz w:val="20"/>
          <w:szCs w:val="20"/>
        </w:rPr>
        <w:t>Being constrained to farming on small, unfertile plots and steep slopes, the</w:t>
      </w:r>
      <w:r w:rsidRPr="005516CD">
        <w:rPr>
          <w:rFonts w:cstheme="majorHAnsi"/>
          <w:sz w:val="20"/>
          <w:szCs w:val="20"/>
        </w:rPr>
        <w:t xml:space="preserve"> livelihood security and </w:t>
      </w:r>
      <w:proofErr w:type="spellStart"/>
      <w:r w:rsidRPr="005516CD">
        <w:rPr>
          <w:rFonts w:cstheme="majorHAnsi"/>
          <w:sz w:val="20"/>
          <w:szCs w:val="20"/>
        </w:rPr>
        <w:t>well being</w:t>
      </w:r>
      <w:proofErr w:type="spellEnd"/>
      <w:r w:rsidRPr="005516CD">
        <w:rPr>
          <w:rFonts w:cstheme="majorHAnsi"/>
          <w:sz w:val="20"/>
          <w:szCs w:val="20"/>
        </w:rPr>
        <w:t xml:space="preserve"> of these marginalized families is especially at risk with the intensification of prolonged droughts, extreme tropical storms, and natural disasters</w:t>
      </w:r>
      <w:r w:rsidRPr="005516CD">
        <w:rPr>
          <w:rStyle w:val="FootnoteReference"/>
          <w:rFonts w:cstheme="majorHAnsi"/>
          <w:sz w:val="20"/>
          <w:szCs w:val="20"/>
        </w:rPr>
        <w:footnoteReference w:id="209"/>
      </w:r>
      <w:r w:rsidRPr="005516CD">
        <w:rPr>
          <w:rFonts w:cstheme="majorHAnsi"/>
          <w:sz w:val="20"/>
          <w:szCs w:val="20"/>
        </w:rPr>
        <w:t>. In fact, conflict over increasingly scarce productive resources has multiplied in recent years</w:t>
      </w:r>
      <w:r w:rsidRPr="005516CD">
        <w:rPr>
          <w:rStyle w:val="FootnoteReference"/>
          <w:rFonts w:cstheme="majorHAnsi"/>
          <w:sz w:val="20"/>
          <w:szCs w:val="20"/>
        </w:rPr>
        <w:footnoteReference w:id="210"/>
      </w:r>
      <w:r w:rsidRPr="005516CD">
        <w:rPr>
          <w:rFonts w:cstheme="majorHAnsi"/>
          <w:sz w:val="20"/>
          <w:szCs w:val="20"/>
          <w:vertAlign w:val="superscript"/>
        </w:rPr>
        <w:t>,</w:t>
      </w:r>
      <w:r w:rsidRPr="005516CD">
        <w:rPr>
          <w:rStyle w:val="FootnoteReference"/>
          <w:rFonts w:cstheme="majorHAnsi"/>
          <w:sz w:val="20"/>
          <w:szCs w:val="20"/>
        </w:rPr>
        <w:footnoteReference w:id="211"/>
      </w:r>
      <w:r w:rsidRPr="005516CD">
        <w:rPr>
          <w:rFonts w:cstheme="majorHAnsi"/>
          <w:sz w:val="20"/>
          <w:szCs w:val="20"/>
        </w:rPr>
        <w:t>. Further land conflicts may emerge from natural disasters, as post-earthquake inquires found that urban populations moved back to rural areas to farm or claim land</w:t>
      </w:r>
      <w:r w:rsidRPr="005516CD">
        <w:rPr>
          <w:rStyle w:val="FootnoteReference"/>
          <w:rFonts w:cstheme="majorHAnsi"/>
          <w:sz w:val="20"/>
          <w:szCs w:val="20"/>
        </w:rPr>
        <w:footnoteReference w:id="212"/>
      </w:r>
      <w:r w:rsidRPr="005516CD">
        <w:rPr>
          <w:rFonts w:cstheme="majorHAnsi"/>
          <w:sz w:val="20"/>
          <w:szCs w:val="20"/>
        </w:rPr>
        <w:t>.</w:t>
      </w:r>
    </w:p>
    <w:p w14:paraId="1127A3EC"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Access to extension services and finances</w:t>
      </w:r>
    </w:p>
    <w:p w14:paraId="38C84284"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With the prevalence of rural aid projects from donors, NGO</w:t>
      </w:r>
      <w:r w:rsidR="00864BF8" w:rsidRPr="005516CD">
        <w:rPr>
          <w:rFonts w:cstheme="majorHAnsi"/>
          <w:sz w:val="20"/>
          <w:szCs w:val="20"/>
        </w:rPr>
        <w:t>s</w:t>
      </w:r>
      <w:r w:rsidRPr="005516CD">
        <w:rPr>
          <w:rFonts w:cstheme="majorHAnsi"/>
          <w:sz w:val="20"/>
          <w:szCs w:val="20"/>
        </w:rPr>
        <w:t xml:space="preserve"> and the private sector, agricultural extension services are readily available in Haiti – although the portion of public extension services has diminished in the last decades</w:t>
      </w:r>
      <w:r w:rsidRPr="005516CD">
        <w:rPr>
          <w:rStyle w:val="FootnoteReference"/>
          <w:rFonts w:cstheme="majorHAnsi"/>
          <w:sz w:val="20"/>
          <w:szCs w:val="20"/>
        </w:rPr>
        <w:footnoteReference w:id="213"/>
      </w:r>
      <w:r w:rsidRPr="005516CD">
        <w:rPr>
          <w:rFonts w:cstheme="majorHAnsi"/>
          <w:sz w:val="20"/>
          <w:szCs w:val="20"/>
        </w:rPr>
        <w:t xml:space="preserve">. According to a World Bank (2013) study, both men and women are equally likely to receive </w:t>
      </w:r>
      <w:r w:rsidRPr="005516CD">
        <w:rPr>
          <w:rFonts w:cstheme="majorHAnsi"/>
          <w:color w:val="000000" w:themeColor="text1"/>
          <w:sz w:val="20"/>
          <w:szCs w:val="20"/>
        </w:rPr>
        <w:t xml:space="preserve">agricultural extension </w:t>
      </w:r>
      <w:r w:rsidRPr="005516CD">
        <w:rPr>
          <w:rFonts w:eastAsiaTheme="minorHAnsi" w:cstheme="majorHAnsi"/>
          <w:color w:val="000000" w:themeColor="text1"/>
          <w:sz w:val="20"/>
          <w:szCs w:val="20"/>
        </w:rPr>
        <w:t>services in certain regions of Haiti</w:t>
      </w:r>
      <w:r w:rsidRPr="005516CD">
        <w:rPr>
          <w:rFonts w:cstheme="majorHAnsi"/>
          <w:color w:val="000000" w:themeColor="text1"/>
          <w:sz w:val="20"/>
          <w:szCs w:val="20"/>
        </w:rPr>
        <w:t>, although this is probably due to women’s higher demand and active seeking out these services, rather than an outcome of gender equal access</w:t>
      </w:r>
      <w:r w:rsidRPr="005516CD">
        <w:rPr>
          <w:rStyle w:val="FootnoteReference"/>
          <w:rFonts w:cstheme="majorHAnsi"/>
          <w:color w:val="000000" w:themeColor="text1"/>
          <w:sz w:val="20"/>
          <w:szCs w:val="20"/>
        </w:rPr>
        <w:footnoteReference w:id="214"/>
      </w:r>
      <w:r w:rsidRPr="005516CD">
        <w:rPr>
          <w:rFonts w:cstheme="majorHAnsi"/>
          <w:color w:val="000000" w:themeColor="text1"/>
          <w:sz w:val="20"/>
          <w:szCs w:val="20"/>
        </w:rPr>
        <w:t>. Moreover, the report found that there are fewer positive outcomes of agricultural training among women-led households.</w:t>
      </w:r>
      <w:r w:rsidRPr="005516CD">
        <w:rPr>
          <w:rFonts w:eastAsiaTheme="minorHAnsi" w:cstheme="majorHAnsi"/>
          <w:color w:val="000000" w:themeColor="text1"/>
          <w:sz w:val="20"/>
          <w:szCs w:val="20"/>
        </w:rPr>
        <w:t xml:space="preserve"> </w:t>
      </w:r>
    </w:p>
    <w:p w14:paraId="75AC9B1D" w14:textId="77777777" w:rsidR="00C25FA5" w:rsidRPr="005516CD" w:rsidRDefault="00C25FA5" w:rsidP="00C25FA5">
      <w:pPr>
        <w:pStyle w:val="ParagraphGenderAssessment"/>
        <w:rPr>
          <w:rFonts w:cstheme="majorHAnsi"/>
          <w:b/>
          <w:sz w:val="20"/>
          <w:szCs w:val="20"/>
        </w:rPr>
      </w:pPr>
      <w:r w:rsidRPr="005516CD">
        <w:rPr>
          <w:rFonts w:cstheme="majorHAnsi"/>
          <w:sz w:val="20"/>
          <w:szCs w:val="20"/>
        </w:rPr>
        <w:t>In terms of credit,</w:t>
      </w:r>
      <w:r w:rsidRPr="005516CD">
        <w:rPr>
          <w:rFonts w:cstheme="majorHAnsi"/>
          <w:sz w:val="20"/>
          <w:szCs w:val="20"/>
          <w:lang w:val="en"/>
        </w:rPr>
        <w:t xml:space="preserve"> the MCFDF highlights that </w:t>
      </w:r>
      <w:r w:rsidRPr="005516CD">
        <w:rPr>
          <w:rFonts w:cstheme="majorHAnsi"/>
          <w:sz w:val="20"/>
          <w:szCs w:val="20"/>
        </w:rPr>
        <w:t xml:space="preserve">eligibility criteria of </w:t>
      </w:r>
      <w:r w:rsidRPr="005516CD">
        <w:rPr>
          <w:rFonts w:cstheme="majorHAnsi"/>
          <w:sz w:val="20"/>
          <w:szCs w:val="20"/>
          <w:lang w:val="en"/>
        </w:rPr>
        <w:t>microfinancing institutions create barriers for women to access sufficient funds to effectively implement agrarian projects or transition to other economic sectors</w:t>
      </w:r>
      <w:r w:rsidRPr="005516CD">
        <w:rPr>
          <w:rStyle w:val="FootnoteReference"/>
          <w:rFonts w:cstheme="majorHAnsi"/>
          <w:sz w:val="20"/>
          <w:szCs w:val="20"/>
          <w:lang w:val="en"/>
        </w:rPr>
        <w:footnoteReference w:id="215"/>
      </w:r>
      <w:r w:rsidRPr="005516CD">
        <w:rPr>
          <w:rFonts w:cstheme="majorHAnsi"/>
          <w:sz w:val="20"/>
          <w:szCs w:val="20"/>
          <w:vertAlign w:val="superscript"/>
          <w:lang w:val="en"/>
        </w:rPr>
        <w:t>,</w:t>
      </w:r>
      <w:r w:rsidRPr="005516CD">
        <w:rPr>
          <w:rStyle w:val="FootnoteReference"/>
          <w:rFonts w:cstheme="majorHAnsi"/>
          <w:sz w:val="20"/>
          <w:szCs w:val="20"/>
        </w:rPr>
        <w:footnoteReference w:id="216"/>
      </w:r>
      <w:r w:rsidRPr="005516CD">
        <w:rPr>
          <w:rFonts w:cstheme="majorHAnsi"/>
          <w:sz w:val="20"/>
          <w:szCs w:val="20"/>
          <w:lang w:val="en"/>
        </w:rPr>
        <w:t>.</w:t>
      </w:r>
      <w:r w:rsidRPr="005516CD">
        <w:rPr>
          <w:rFonts w:cstheme="majorHAnsi"/>
          <w:b/>
          <w:sz w:val="20"/>
          <w:szCs w:val="20"/>
        </w:rPr>
        <w:t xml:space="preserve"> </w:t>
      </w:r>
      <w:r w:rsidRPr="005516CD">
        <w:rPr>
          <w:rFonts w:cstheme="majorHAnsi"/>
          <w:sz w:val="20"/>
          <w:szCs w:val="20"/>
        </w:rPr>
        <w:t>With women as key actors in agricultural value chains, particularly the commercialization and sale of produce, low access to credit is a missed opportunity for increasing livelihood security.</w:t>
      </w:r>
    </w:p>
    <w:p w14:paraId="79C7AD94"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Gender-based Violence</w:t>
      </w:r>
    </w:p>
    <w:p w14:paraId="7C5B0551" w14:textId="77777777" w:rsidR="00C25FA5" w:rsidRPr="005516CD" w:rsidRDefault="00C25FA5" w:rsidP="00C25FA5">
      <w:pPr>
        <w:pStyle w:val="ParagraphGenderAssessment"/>
        <w:rPr>
          <w:rFonts w:cstheme="majorHAnsi"/>
          <w:color w:val="000000" w:themeColor="text1"/>
          <w:sz w:val="20"/>
          <w:szCs w:val="20"/>
          <w:lang w:val="en-CA"/>
        </w:rPr>
      </w:pPr>
      <w:r w:rsidRPr="005516CD">
        <w:rPr>
          <w:rFonts w:cstheme="majorHAnsi"/>
          <w:sz w:val="20"/>
          <w:szCs w:val="20"/>
          <w:lang w:val="en-CA"/>
        </w:rPr>
        <w:t xml:space="preserve">In Haiti, gender-based violence (GBV) is a pervasive problem, and current legal and judiciary structures do not adequately address this vulnerability. It is a major obstacle for the empowerment of women and girls, as it reduces their ability to fully participate in the public and private spheres of life. </w:t>
      </w:r>
      <w:r w:rsidRPr="005516CD">
        <w:rPr>
          <w:rFonts w:cstheme="majorHAnsi"/>
          <w:color w:val="000000" w:themeColor="text1"/>
          <w:sz w:val="20"/>
          <w:szCs w:val="20"/>
          <w:lang w:val="en-CA"/>
        </w:rPr>
        <w:t>One in three Haitian women aged 15-49 has experienced physical and/or sexual violence, and the rate of intimate partner violence has risen since 2005</w:t>
      </w:r>
      <w:r w:rsidRPr="005516CD">
        <w:rPr>
          <w:rStyle w:val="FootnoteReference"/>
          <w:rFonts w:cstheme="majorHAnsi"/>
          <w:color w:val="000000" w:themeColor="text1"/>
          <w:sz w:val="20"/>
          <w:szCs w:val="20"/>
          <w:lang w:val="en-CA"/>
        </w:rPr>
        <w:footnoteReference w:id="217"/>
      </w:r>
      <w:r w:rsidRPr="005516CD">
        <w:rPr>
          <w:rFonts w:cstheme="majorHAnsi"/>
          <w:color w:val="000000" w:themeColor="text1"/>
          <w:sz w:val="20"/>
          <w:szCs w:val="20"/>
          <w:lang w:val="en-CA"/>
        </w:rPr>
        <w:t xml:space="preserve">. </w:t>
      </w:r>
    </w:p>
    <w:p w14:paraId="4AE7ECAF" w14:textId="77777777" w:rsidR="00C25FA5" w:rsidRPr="005516CD" w:rsidRDefault="00C25FA5" w:rsidP="00C25FA5">
      <w:pPr>
        <w:pStyle w:val="ParagraphGenderAssessment"/>
        <w:rPr>
          <w:rFonts w:cstheme="majorHAnsi"/>
          <w:sz w:val="20"/>
          <w:szCs w:val="20"/>
          <w:lang w:val="en-CA"/>
        </w:rPr>
      </w:pPr>
      <w:r w:rsidRPr="005516CD">
        <w:rPr>
          <w:rFonts w:cstheme="majorHAnsi"/>
          <w:color w:val="000000" w:themeColor="text1"/>
          <w:sz w:val="20"/>
          <w:szCs w:val="20"/>
          <w:lang w:val="en-CA"/>
        </w:rPr>
        <w:t xml:space="preserve">A majority of GBV cases go unnoticed and unreported – as the most recent surveys indicate that </w:t>
      </w:r>
      <w:r w:rsidRPr="005516CD">
        <w:rPr>
          <w:rFonts w:eastAsiaTheme="minorHAnsi" w:cstheme="majorHAnsi"/>
          <w:color w:val="000000"/>
          <w:sz w:val="20"/>
          <w:szCs w:val="20"/>
          <w:lang w:val="en-CA"/>
        </w:rPr>
        <w:t>43.1% of women never told anyone, while</w:t>
      </w:r>
      <w:r w:rsidRPr="005516CD">
        <w:rPr>
          <w:rFonts w:cstheme="majorHAnsi"/>
          <w:color w:val="000000" w:themeColor="text1"/>
          <w:sz w:val="20"/>
          <w:szCs w:val="20"/>
          <w:lang w:val="en-CA"/>
        </w:rPr>
        <w:t xml:space="preserve"> </w:t>
      </w:r>
      <w:r w:rsidRPr="005516CD">
        <w:rPr>
          <w:rFonts w:eastAsiaTheme="minorHAnsi" w:cstheme="majorHAnsi"/>
          <w:color w:val="000000"/>
          <w:sz w:val="20"/>
          <w:szCs w:val="20"/>
          <w:lang w:val="en-CA"/>
        </w:rPr>
        <w:t>65% percent of women did not seek help of any kind</w:t>
      </w:r>
      <w:r w:rsidRPr="005516CD">
        <w:rPr>
          <w:rStyle w:val="FootnoteReference"/>
          <w:rFonts w:cstheme="majorHAnsi"/>
          <w:color w:val="000000" w:themeColor="text1"/>
          <w:sz w:val="20"/>
          <w:szCs w:val="20"/>
          <w:lang w:val="en-CA"/>
        </w:rPr>
        <w:footnoteReference w:id="218"/>
      </w:r>
      <w:r w:rsidRPr="005516CD">
        <w:rPr>
          <w:rFonts w:cstheme="majorHAnsi"/>
          <w:color w:val="000000" w:themeColor="text1"/>
          <w:sz w:val="20"/>
          <w:szCs w:val="20"/>
          <w:lang w:val="en-CA"/>
        </w:rPr>
        <w:t>. When they do seek help, it is most commonly among family members and neighbours</w:t>
      </w:r>
      <w:r w:rsidRPr="005516CD">
        <w:rPr>
          <w:rStyle w:val="FootnoteReference"/>
          <w:rFonts w:cstheme="majorHAnsi"/>
          <w:color w:val="000000" w:themeColor="text1"/>
          <w:sz w:val="20"/>
          <w:szCs w:val="20"/>
          <w:lang w:val="en-CA"/>
        </w:rPr>
        <w:footnoteReference w:id="219"/>
      </w:r>
      <w:r w:rsidRPr="005516CD">
        <w:rPr>
          <w:rFonts w:cstheme="majorHAnsi"/>
          <w:color w:val="000000" w:themeColor="text1"/>
          <w:sz w:val="20"/>
          <w:szCs w:val="20"/>
          <w:lang w:val="en-CA"/>
        </w:rPr>
        <w:t xml:space="preserve">, as official reporting accompanies a </w:t>
      </w:r>
      <w:r w:rsidRPr="005516CD">
        <w:rPr>
          <w:rFonts w:eastAsiaTheme="minorHAnsi" w:cstheme="majorHAnsi"/>
          <w:color w:val="000000"/>
          <w:sz w:val="20"/>
          <w:szCs w:val="20"/>
          <w:lang w:val="en-CA"/>
        </w:rPr>
        <w:t>fear of revenge violence from abusers and the perception that official avenues are ineffective</w:t>
      </w:r>
      <w:r w:rsidRPr="005516CD">
        <w:rPr>
          <w:rStyle w:val="FootnoteReference"/>
          <w:rFonts w:eastAsiaTheme="minorHAnsi" w:cstheme="majorHAnsi"/>
          <w:color w:val="000000"/>
          <w:sz w:val="20"/>
          <w:szCs w:val="20"/>
          <w:lang w:val="en-CA"/>
        </w:rPr>
        <w:footnoteReference w:id="220"/>
      </w:r>
      <w:r w:rsidRPr="005516CD">
        <w:rPr>
          <w:rFonts w:eastAsiaTheme="minorHAnsi" w:cstheme="majorHAnsi"/>
          <w:color w:val="000000"/>
          <w:sz w:val="20"/>
          <w:szCs w:val="20"/>
          <w:lang w:val="en-CA"/>
        </w:rPr>
        <w:t>.</w:t>
      </w:r>
      <w:r w:rsidRPr="005516CD">
        <w:rPr>
          <w:rFonts w:cstheme="majorHAnsi"/>
          <w:color w:val="000000" w:themeColor="text1"/>
          <w:sz w:val="20"/>
          <w:szCs w:val="20"/>
          <w:lang w:val="en-CA"/>
        </w:rPr>
        <w:t xml:space="preserve"> Indeed, </w:t>
      </w:r>
      <w:r w:rsidRPr="005516CD">
        <w:rPr>
          <w:rFonts w:cstheme="majorHAnsi"/>
          <w:sz w:val="20"/>
          <w:szCs w:val="20"/>
          <w:lang w:val="en-CA"/>
        </w:rPr>
        <w:t>the prevalence of police violence targeting women and other marginalized groups, inevitably deters the denouncement of aggressors or making formal complaints regarding conflicts of any kind</w:t>
      </w:r>
      <w:r w:rsidRPr="005516CD">
        <w:rPr>
          <w:rStyle w:val="FootnoteReference"/>
          <w:rFonts w:cstheme="majorHAnsi"/>
          <w:sz w:val="20"/>
          <w:szCs w:val="20"/>
          <w:lang w:val="en-CA"/>
        </w:rPr>
        <w:footnoteReference w:id="221"/>
      </w:r>
      <w:r w:rsidRPr="005516CD">
        <w:rPr>
          <w:rFonts w:cstheme="majorHAnsi"/>
          <w:sz w:val="20"/>
          <w:szCs w:val="20"/>
          <w:lang w:val="en-CA"/>
        </w:rPr>
        <w:t xml:space="preserve">.  </w:t>
      </w:r>
      <w:r w:rsidRPr="005516CD">
        <w:rPr>
          <w:rFonts w:cstheme="majorHAnsi"/>
          <w:color w:val="000000" w:themeColor="text1"/>
          <w:sz w:val="20"/>
          <w:szCs w:val="20"/>
          <w:lang w:val="en-CA"/>
        </w:rPr>
        <w:t>Among cases of violence reported in 2009-2011, the majority were p</w:t>
      </w:r>
      <w:r w:rsidRPr="005516CD">
        <w:rPr>
          <w:rFonts w:cstheme="majorHAnsi"/>
          <w:sz w:val="20"/>
          <w:szCs w:val="20"/>
          <w:lang w:val="en-CA"/>
        </w:rPr>
        <w:t>hysical in nature (59.74%), followed by sexual violence (29.80%), while cases of psychological and economic violence constituted a minority (5.88% and 4.58% respectively)</w:t>
      </w:r>
      <w:r w:rsidRPr="005516CD">
        <w:rPr>
          <w:rStyle w:val="FootnoteReference"/>
          <w:rFonts w:cstheme="majorHAnsi"/>
          <w:sz w:val="20"/>
          <w:szCs w:val="20"/>
          <w:lang w:val="en-CA"/>
        </w:rPr>
        <w:footnoteReference w:id="222"/>
      </w:r>
      <w:r w:rsidRPr="005516CD">
        <w:rPr>
          <w:rFonts w:cstheme="majorHAnsi"/>
          <w:sz w:val="20"/>
          <w:szCs w:val="20"/>
          <w:lang w:val="en-CA"/>
        </w:rPr>
        <w:t>. Although very few of these cases are investigated or prosecuted</w:t>
      </w:r>
      <w:r w:rsidRPr="005516CD">
        <w:rPr>
          <w:rStyle w:val="FootnoteReference"/>
          <w:rFonts w:cstheme="majorHAnsi"/>
          <w:sz w:val="20"/>
          <w:szCs w:val="20"/>
          <w:lang w:val="en-CA"/>
        </w:rPr>
        <w:footnoteReference w:id="223"/>
      </w:r>
      <w:r w:rsidRPr="005516CD">
        <w:rPr>
          <w:rFonts w:cstheme="majorHAnsi"/>
          <w:sz w:val="20"/>
          <w:szCs w:val="20"/>
          <w:lang w:val="en-CA"/>
        </w:rPr>
        <w:t>.</w:t>
      </w:r>
    </w:p>
    <w:p w14:paraId="3E6FE3F2" w14:textId="77777777" w:rsidR="00C25FA5" w:rsidRPr="005516CD" w:rsidRDefault="00C25FA5" w:rsidP="00C25FA5">
      <w:pPr>
        <w:pStyle w:val="ParagraphGenderAssessment"/>
        <w:rPr>
          <w:rFonts w:cstheme="majorHAnsi"/>
          <w:sz w:val="20"/>
          <w:szCs w:val="20"/>
          <w:lang w:val="en-CA"/>
        </w:rPr>
      </w:pPr>
      <w:r w:rsidRPr="005516CD">
        <w:rPr>
          <w:rFonts w:cstheme="majorHAnsi"/>
          <w:sz w:val="20"/>
          <w:szCs w:val="20"/>
          <w:lang w:val="en-CA"/>
        </w:rPr>
        <w:t>Currently, there is no specific legislation to deal with domestic violence or sexual harassment, and while rape was criminalized just over a decade ago, alarmingly the law still does not recognize spousal rape as a crime. Although the Government has made efforts to combat violence against women and girls, with the support of the UN Committee on the Elimination of Discrimination Against Women (CEDAW) and other agencies, recent political crises and natural disasters have obstructed the effective reform and adoption of gender protective legislations</w:t>
      </w:r>
      <w:r w:rsidRPr="005516CD">
        <w:rPr>
          <w:rStyle w:val="FootnoteReference"/>
          <w:rFonts w:cstheme="majorHAnsi"/>
          <w:sz w:val="20"/>
          <w:szCs w:val="20"/>
          <w:lang w:val="en-CA"/>
        </w:rPr>
        <w:footnoteReference w:id="224"/>
      </w:r>
      <w:r w:rsidRPr="005516CD">
        <w:rPr>
          <w:rFonts w:cstheme="majorHAnsi"/>
          <w:sz w:val="20"/>
          <w:szCs w:val="20"/>
          <w:vertAlign w:val="superscript"/>
          <w:lang w:val="en-CA"/>
        </w:rPr>
        <w:t>,</w:t>
      </w:r>
      <w:r w:rsidRPr="005516CD">
        <w:rPr>
          <w:rStyle w:val="FootnoteReference"/>
          <w:rFonts w:cstheme="majorHAnsi"/>
          <w:sz w:val="20"/>
          <w:szCs w:val="20"/>
          <w:lang w:val="en-CA"/>
        </w:rPr>
        <w:footnoteReference w:id="225"/>
      </w:r>
      <w:r w:rsidRPr="005516CD">
        <w:rPr>
          <w:rFonts w:cstheme="majorHAnsi"/>
          <w:sz w:val="20"/>
          <w:szCs w:val="20"/>
          <w:lang w:val="en-CA"/>
        </w:rPr>
        <w:t>.</w:t>
      </w:r>
    </w:p>
    <w:p w14:paraId="658883BE" w14:textId="77777777" w:rsidR="00C25FA5" w:rsidRPr="005516CD" w:rsidRDefault="00C25FA5" w:rsidP="006B27F4">
      <w:pPr>
        <w:pStyle w:val="ParagraphGenderAssessment"/>
        <w:numPr>
          <w:ilvl w:val="0"/>
          <w:numId w:val="135"/>
        </w:numPr>
        <w:ind w:left="284" w:hanging="284"/>
        <w:rPr>
          <w:rFonts w:cstheme="majorHAnsi"/>
          <w:b/>
          <w:color w:val="000000"/>
          <w:sz w:val="20"/>
          <w:szCs w:val="20"/>
        </w:rPr>
      </w:pPr>
      <w:r w:rsidRPr="005516CD">
        <w:rPr>
          <w:rFonts w:cstheme="majorHAnsi"/>
          <w:b/>
          <w:color w:val="000000"/>
          <w:sz w:val="20"/>
          <w:szCs w:val="20"/>
        </w:rPr>
        <w:t>Legal and Administrative Frameworks for Protecting Women and Gender Equality</w:t>
      </w:r>
    </w:p>
    <w:p w14:paraId="4132FF24" w14:textId="77777777" w:rsidR="00C25FA5" w:rsidRPr="005516CD" w:rsidRDefault="00C25FA5" w:rsidP="00C25FA5">
      <w:pPr>
        <w:pStyle w:val="ParagraphGenderAssessment"/>
        <w:rPr>
          <w:rFonts w:cstheme="majorHAnsi"/>
          <w:sz w:val="20"/>
          <w:szCs w:val="20"/>
          <w:lang w:val="en-GB"/>
        </w:rPr>
      </w:pPr>
      <w:r w:rsidRPr="005516CD">
        <w:rPr>
          <w:rFonts w:cstheme="majorHAnsi"/>
          <w:sz w:val="20"/>
          <w:szCs w:val="20"/>
          <w:lang w:val="en-GB"/>
        </w:rPr>
        <w:t xml:space="preserve">Incorporating gender and gender-sensitive policy and planning is an essential part of effectively and </w:t>
      </w:r>
      <w:r w:rsidRPr="005516CD">
        <w:rPr>
          <w:rFonts w:cstheme="majorHAnsi"/>
          <w:color w:val="000000" w:themeColor="text1"/>
          <w:sz w:val="20"/>
          <w:szCs w:val="20"/>
          <w:lang w:val="en-GB"/>
        </w:rPr>
        <w:t xml:space="preserve">strategically achieving project outcomes that are sustainable and generate equitable benefits. </w:t>
      </w:r>
      <w:r w:rsidRPr="005516CD">
        <w:rPr>
          <w:rFonts w:cstheme="majorHAnsi"/>
          <w:color w:val="000000" w:themeColor="text1"/>
          <w:sz w:val="20"/>
          <w:szCs w:val="20"/>
          <w:lang w:val="en-CA"/>
        </w:rPr>
        <w:t>Overall, Haiti’s mechanisms and reform plans for gender equality are based on a number of international agreements and conventions for women's rights. Several such instruments have been ratified in Haiti, including:</w:t>
      </w:r>
    </w:p>
    <w:p w14:paraId="5C72F03A" w14:textId="77777777" w:rsidR="00C25FA5" w:rsidRPr="005516CD" w:rsidRDefault="00C25FA5" w:rsidP="006B27F4">
      <w:pPr>
        <w:pStyle w:val="NormalWeb"/>
        <w:numPr>
          <w:ilvl w:val="0"/>
          <w:numId w:val="127"/>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jc w:val="left"/>
        <w:rPr>
          <w:rFonts w:asciiTheme="majorHAnsi" w:hAnsiTheme="majorHAnsi" w:cstheme="majorHAnsi"/>
          <w:sz w:val="20"/>
          <w:lang w:val="en-CA"/>
        </w:rPr>
      </w:pPr>
      <w:r w:rsidRPr="005516CD">
        <w:rPr>
          <w:rFonts w:asciiTheme="majorHAnsi" w:hAnsiTheme="majorHAnsi" w:cstheme="majorHAnsi"/>
          <w:sz w:val="20"/>
          <w:lang w:val="en-CA"/>
        </w:rPr>
        <w:t xml:space="preserve">The Convention for the Suppression of Human Trafficking and Exploitation of the Prostitution of Others September 2, 1952 </w:t>
      </w:r>
    </w:p>
    <w:p w14:paraId="4076CD58" w14:textId="77777777" w:rsidR="00C25FA5" w:rsidRPr="005516CD" w:rsidRDefault="00C25FA5" w:rsidP="006B27F4">
      <w:pPr>
        <w:pStyle w:val="NormalWeb"/>
        <w:numPr>
          <w:ilvl w:val="0"/>
          <w:numId w:val="127"/>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jc w:val="left"/>
        <w:rPr>
          <w:rFonts w:asciiTheme="majorHAnsi" w:hAnsiTheme="majorHAnsi" w:cstheme="majorHAnsi"/>
          <w:sz w:val="20"/>
          <w:lang w:val="en-CA"/>
        </w:rPr>
      </w:pPr>
      <w:r w:rsidRPr="005516CD">
        <w:rPr>
          <w:rFonts w:asciiTheme="majorHAnsi" w:hAnsiTheme="majorHAnsi" w:cstheme="majorHAnsi"/>
          <w:sz w:val="20"/>
          <w:lang w:val="en-CA"/>
        </w:rPr>
        <w:t>The Convention on the political Rights of Women, July 31, 1957 (Please note that the Haitian woman has the right to vote since 1950)</w:t>
      </w:r>
    </w:p>
    <w:p w14:paraId="28B06E81" w14:textId="77777777" w:rsidR="00C25FA5" w:rsidRPr="005516CD" w:rsidRDefault="00C25FA5" w:rsidP="006B27F4">
      <w:pPr>
        <w:pStyle w:val="NormalWeb"/>
        <w:numPr>
          <w:ilvl w:val="0"/>
          <w:numId w:val="127"/>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jc w:val="left"/>
        <w:rPr>
          <w:rFonts w:asciiTheme="majorHAnsi" w:hAnsiTheme="majorHAnsi" w:cstheme="majorHAnsi"/>
          <w:sz w:val="20"/>
          <w:lang w:val="en-CA"/>
        </w:rPr>
      </w:pPr>
      <w:r w:rsidRPr="005516CD">
        <w:rPr>
          <w:rFonts w:asciiTheme="majorHAnsi" w:hAnsiTheme="majorHAnsi" w:cstheme="majorHAnsi"/>
          <w:sz w:val="20"/>
          <w:lang w:val="en-CA"/>
        </w:rPr>
        <w:t xml:space="preserve">The Convention on the Elimination of all forms of Discrimination with regard to Women (CEDAW), 7 April 1981 </w:t>
      </w:r>
    </w:p>
    <w:p w14:paraId="138C13EC" w14:textId="77777777" w:rsidR="00C25FA5" w:rsidRPr="005516CD" w:rsidRDefault="00C25FA5" w:rsidP="006B27F4">
      <w:pPr>
        <w:pStyle w:val="NormalWeb"/>
        <w:numPr>
          <w:ilvl w:val="0"/>
          <w:numId w:val="127"/>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jc w:val="left"/>
        <w:rPr>
          <w:rFonts w:asciiTheme="majorHAnsi" w:hAnsiTheme="majorHAnsi" w:cstheme="majorHAnsi"/>
          <w:sz w:val="20"/>
          <w:lang w:val="en-CA"/>
        </w:rPr>
      </w:pPr>
      <w:r w:rsidRPr="005516CD">
        <w:rPr>
          <w:rFonts w:asciiTheme="majorHAnsi" w:hAnsiTheme="majorHAnsi" w:cstheme="majorHAnsi"/>
          <w:sz w:val="20"/>
          <w:lang w:val="en-CA"/>
        </w:rPr>
        <w:t xml:space="preserve">The Convention on the fight against discrimination in the field of Education, October 15, 1984 </w:t>
      </w:r>
    </w:p>
    <w:p w14:paraId="7FE4FC07" w14:textId="77777777" w:rsidR="00C25FA5" w:rsidRPr="005516CD" w:rsidRDefault="00C25FA5" w:rsidP="006B27F4">
      <w:pPr>
        <w:pStyle w:val="NormalWeb"/>
        <w:numPr>
          <w:ilvl w:val="0"/>
          <w:numId w:val="127"/>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jc w:val="left"/>
        <w:rPr>
          <w:rFonts w:asciiTheme="majorHAnsi" w:hAnsiTheme="majorHAnsi" w:cstheme="majorHAnsi"/>
          <w:sz w:val="20"/>
          <w:lang w:val="en-CA"/>
        </w:rPr>
      </w:pPr>
      <w:r w:rsidRPr="005516CD">
        <w:rPr>
          <w:rFonts w:asciiTheme="majorHAnsi" w:hAnsiTheme="majorHAnsi" w:cstheme="majorHAnsi"/>
          <w:sz w:val="20"/>
          <w:lang w:val="en-CA"/>
        </w:rPr>
        <w:t xml:space="preserve">The International Covenant on Civil and Political rights, 23 November 1990 </w:t>
      </w:r>
    </w:p>
    <w:p w14:paraId="0EA59AB2" w14:textId="77777777" w:rsidR="00C25FA5" w:rsidRPr="005516CD" w:rsidRDefault="00C25FA5" w:rsidP="006B27F4">
      <w:pPr>
        <w:pStyle w:val="NormalWeb"/>
        <w:numPr>
          <w:ilvl w:val="0"/>
          <w:numId w:val="127"/>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jc w:val="left"/>
        <w:rPr>
          <w:rFonts w:asciiTheme="majorHAnsi" w:hAnsiTheme="majorHAnsi" w:cstheme="majorHAnsi"/>
          <w:sz w:val="20"/>
          <w:lang w:val="en-CA"/>
        </w:rPr>
      </w:pPr>
      <w:r w:rsidRPr="005516CD">
        <w:rPr>
          <w:rFonts w:asciiTheme="majorHAnsi" w:hAnsiTheme="majorHAnsi" w:cstheme="majorHAnsi"/>
          <w:sz w:val="20"/>
          <w:lang w:val="en-CA"/>
        </w:rPr>
        <w:t xml:space="preserve">The Convention on Children's rights, December 23, 1994 </w:t>
      </w:r>
    </w:p>
    <w:p w14:paraId="022C65C6" w14:textId="77777777" w:rsidR="00C25FA5" w:rsidRPr="005516CD" w:rsidRDefault="00C25FA5" w:rsidP="006B27F4">
      <w:pPr>
        <w:pStyle w:val="NormalWeb"/>
        <w:numPr>
          <w:ilvl w:val="0"/>
          <w:numId w:val="127"/>
        </w:numPr>
        <w:pBdr>
          <w:top w:val="none" w:sz="0" w:space="0" w:color="auto"/>
          <w:left w:val="none" w:sz="0" w:space="0" w:color="auto"/>
          <w:bottom w:val="none" w:sz="0" w:space="0" w:color="auto"/>
          <w:right w:val="none" w:sz="0" w:space="0" w:color="auto"/>
          <w:between w:val="none" w:sz="0" w:space="0" w:color="auto"/>
          <w:bar w:val="none" w:sz="0" w:color="auto"/>
        </w:pBdr>
        <w:spacing w:beforeAutospacing="1" w:afterAutospacing="1"/>
        <w:jc w:val="left"/>
        <w:rPr>
          <w:rFonts w:asciiTheme="majorHAnsi" w:hAnsiTheme="majorHAnsi" w:cstheme="majorHAnsi"/>
          <w:sz w:val="20"/>
          <w:lang w:val="en-CA"/>
        </w:rPr>
      </w:pPr>
      <w:r w:rsidRPr="005516CD">
        <w:rPr>
          <w:rFonts w:asciiTheme="majorHAnsi" w:hAnsiTheme="majorHAnsi" w:cstheme="majorHAnsi"/>
          <w:sz w:val="20"/>
          <w:lang w:val="en-CA"/>
        </w:rPr>
        <w:t xml:space="preserve">The Inter American Convention on the prevention, punishment and eradication of violence against Women, 3 April 1996 </w:t>
      </w:r>
    </w:p>
    <w:p w14:paraId="7C491EDD" w14:textId="77777777" w:rsidR="00C25FA5" w:rsidRPr="005516CD" w:rsidRDefault="00C25FA5" w:rsidP="00C25FA5">
      <w:pPr>
        <w:pStyle w:val="ParagraphGenderAssessment"/>
        <w:rPr>
          <w:rFonts w:eastAsiaTheme="minorHAnsi" w:cstheme="majorHAnsi"/>
          <w:color w:val="000000"/>
          <w:sz w:val="20"/>
          <w:szCs w:val="20"/>
          <w:lang w:val="en-CA"/>
        </w:rPr>
      </w:pPr>
      <w:r w:rsidRPr="005516CD">
        <w:rPr>
          <w:rFonts w:cstheme="majorHAnsi"/>
          <w:sz w:val="20"/>
          <w:szCs w:val="20"/>
          <w:lang w:val="en-CA"/>
        </w:rPr>
        <w:t>The Ministry of Women and Women's Rights (MCFDF) is tasked with ensuring that signed agreements and conventions (domestic and international) are implemented, as part of its broader mission to guide the formulation, implementation, and enforcement of equitable public policies. Recently, the adoption of the Gender Equality Bill as well as the implementation of the National Plan for Gender Equality, and the National Plan for the Fight Against Gender Equality (2017), attests to Haiti's continued efforts to protect the rights of women</w:t>
      </w:r>
      <w:r w:rsidRPr="005516CD">
        <w:rPr>
          <w:rStyle w:val="FootnoteReference"/>
          <w:rFonts w:eastAsiaTheme="minorHAnsi" w:cstheme="majorHAnsi"/>
          <w:color w:val="000000"/>
          <w:sz w:val="20"/>
          <w:szCs w:val="20"/>
          <w:lang w:val="en-CA"/>
        </w:rPr>
        <w:footnoteReference w:id="226"/>
      </w:r>
      <w:r w:rsidRPr="005516CD">
        <w:rPr>
          <w:rFonts w:eastAsiaTheme="minorHAnsi" w:cstheme="majorHAnsi"/>
          <w:color w:val="000000"/>
          <w:sz w:val="20"/>
          <w:szCs w:val="20"/>
          <w:lang w:val="en-CA"/>
        </w:rPr>
        <w:t xml:space="preserve">. </w:t>
      </w:r>
      <w:r w:rsidRPr="005516CD">
        <w:rPr>
          <w:rFonts w:cstheme="majorHAnsi"/>
          <w:sz w:val="20"/>
          <w:szCs w:val="20"/>
        </w:rPr>
        <w:t xml:space="preserve">The Ministry’s operations are divided across four areas: Women's Rights Promotion Directorate (DPDDF), Gender Analysis Directorate (DPAG), the Directorate of Administrative Affairs (DAF), and </w:t>
      </w:r>
      <w:r w:rsidRPr="005516CD">
        <w:rPr>
          <w:rFonts w:cstheme="majorHAnsi"/>
          <w:sz w:val="20"/>
          <w:szCs w:val="20"/>
          <w:lang w:val="en-CA"/>
        </w:rPr>
        <w:t>Direction of coordination of the departmental offices.</w:t>
      </w:r>
    </w:p>
    <w:p w14:paraId="1C31FE80" w14:textId="77777777" w:rsidR="00C25FA5" w:rsidRPr="005516CD" w:rsidRDefault="00C25FA5" w:rsidP="00C25FA5">
      <w:pPr>
        <w:pStyle w:val="ParagraphGenderAssessment"/>
        <w:rPr>
          <w:rFonts w:cstheme="majorHAnsi"/>
          <w:sz w:val="20"/>
          <w:szCs w:val="20"/>
          <w:lang w:val="en-CA"/>
        </w:rPr>
      </w:pPr>
      <w:r w:rsidRPr="005516CD">
        <w:rPr>
          <w:rFonts w:cstheme="majorHAnsi"/>
          <w:sz w:val="20"/>
          <w:szCs w:val="20"/>
          <w:lang w:val="en-CA"/>
        </w:rPr>
        <w:t>MCFDF representatives (or Gender Focal Points/</w:t>
      </w:r>
      <w:r w:rsidRPr="005516CD">
        <w:rPr>
          <w:rFonts w:eastAsiaTheme="minorHAnsi" w:cstheme="majorHAnsi"/>
          <w:sz w:val="20"/>
          <w:szCs w:val="20"/>
          <w:lang w:val="en-CA"/>
        </w:rPr>
        <w:t xml:space="preserve"> </w:t>
      </w:r>
      <w:r w:rsidRPr="005516CD">
        <w:rPr>
          <w:rFonts w:cstheme="majorHAnsi"/>
          <w:i/>
          <w:sz w:val="20"/>
          <w:szCs w:val="20"/>
          <w:lang w:val="en-CA"/>
        </w:rPr>
        <w:t>Point Focal genre</w:t>
      </w:r>
      <w:r w:rsidRPr="005516CD">
        <w:rPr>
          <w:rFonts w:cstheme="majorHAnsi"/>
          <w:sz w:val="20"/>
          <w:szCs w:val="20"/>
          <w:lang w:val="en-CA"/>
        </w:rPr>
        <w:t>) are in place across ministries and state structures to coordinate and collaborate on women's rights and gender equality in the public sphere. Notably, a key function of this department is the production of national gender analyses and awareness-raising and training activities. However, the MCFDF faces insufficient budget allocation, as well as limited human resources human resources and technical capacities to carry out its intended mission, while a lack of regulation for the functioning of this strategic institution means that its level of authority and influence in orienting governance activities is weak</w:t>
      </w:r>
      <w:r w:rsidRPr="005516CD">
        <w:rPr>
          <w:rStyle w:val="FootnoteReference"/>
          <w:rFonts w:cstheme="majorHAnsi"/>
          <w:sz w:val="20"/>
          <w:szCs w:val="20"/>
          <w:lang w:val="en-CA"/>
        </w:rPr>
        <w:footnoteReference w:id="227"/>
      </w:r>
      <w:r w:rsidRPr="005516CD">
        <w:rPr>
          <w:rFonts w:cstheme="majorHAnsi"/>
          <w:sz w:val="20"/>
          <w:szCs w:val="20"/>
          <w:lang w:val="en-CA"/>
        </w:rPr>
        <w:t xml:space="preserve">.  </w:t>
      </w:r>
    </w:p>
    <w:p w14:paraId="44FD226E" w14:textId="77777777" w:rsidR="00C25FA5" w:rsidRPr="005516CD" w:rsidRDefault="00C25FA5" w:rsidP="00C25FA5">
      <w:pPr>
        <w:pStyle w:val="NormalWeb"/>
        <w:rPr>
          <w:rFonts w:asciiTheme="majorHAnsi" w:hAnsiTheme="majorHAnsi" w:cstheme="majorHAnsi"/>
          <w:sz w:val="20"/>
          <w:lang w:val="en-CA"/>
        </w:rPr>
      </w:pPr>
      <w:r w:rsidRPr="005516CD">
        <w:rPr>
          <w:rFonts w:asciiTheme="majorHAnsi" w:hAnsiTheme="majorHAnsi" w:cstheme="majorHAnsi"/>
          <w:sz w:val="20"/>
          <w:lang w:val="en-CA"/>
        </w:rPr>
        <w:t>There</w:t>
      </w:r>
      <w:r w:rsidRPr="005516CD">
        <w:rPr>
          <w:rFonts w:asciiTheme="majorHAnsi" w:eastAsiaTheme="minorHAnsi" w:hAnsiTheme="majorHAnsi" w:cstheme="majorHAnsi"/>
          <w:sz w:val="20"/>
          <w:lang w:val="en-CA"/>
        </w:rPr>
        <w:t xml:space="preserve"> are few links between developing planning/natural resource management structures and the established frameworks for gender equality and women’s empowerment (i.e., MCFDF, National Gender Equality Policy)</w:t>
      </w:r>
      <w:r w:rsidRPr="005516CD">
        <w:rPr>
          <w:rStyle w:val="FootnoteReference"/>
          <w:rFonts w:asciiTheme="majorHAnsi" w:eastAsiaTheme="minorHAnsi" w:hAnsiTheme="majorHAnsi" w:cstheme="majorHAnsi"/>
          <w:sz w:val="20"/>
          <w:lang w:val="en-CA"/>
        </w:rPr>
        <w:footnoteReference w:id="228"/>
      </w:r>
      <w:r w:rsidRPr="005516CD">
        <w:rPr>
          <w:rFonts w:asciiTheme="majorHAnsi" w:eastAsiaTheme="minorHAnsi" w:hAnsiTheme="majorHAnsi" w:cstheme="majorHAnsi"/>
          <w:sz w:val="20"/>
          <w:lang w:val="en-CA"/>
        </w:rPr>
        <w:t xml:space="preserve">. </w:t>
      </w:r>
    </w:p>
    <w:p w14:paraId="3E1EBD10" w14:textId="77777777" w:rsidR="00C25FA5" w:rsidRPr="005516CD" w:rsidRDefault="00C25FA5" w:rsidP="006B27F4">
      <w:pPr>
        <w:pStyle w:val="ParagraphGenderAssessment"/>
        <w:numPr>
          <w:ilvl w:val="0"/>
          <w:numId w:val="135"/>
        </w:numPr>
        <w:ind w:left="284" w:hanging="284"/>
        <w:rPr>
          <w:rFonts w:cstheme="majorHAnsi"/>
          <w:b/>
          <w:color w:val="000000"/>
          <w:sz w:val="20"/>
          <w:szCs w:val="20"/>
        </w:rPr>
      </w:pPr>
      <w:bookmarkStart w:id="456" w:name="_Ref528928004"/>
      <w:r w:rsidRPr="005516CD">
        <w:rPr>
          <w:rFonts w:cstheme="majorHAnsi"/>
          <w:b/>
          <w:color w:val="000000"/>
          <w:sz w:val="20"/>
          <w:szCs w:val="20"/>
        </w:rPr>
        <w:t>Field survey and stakeholder consultations</w:t>
      </w:r>
      <w:bookmarkEnd w:id="456"/>
    </w:p>
    <w:p w14:paraId="3C47E641" w14:textId="77777777" w:rsidR="00C25FA5" w:rsidRPr="005516CD" w:rsidRDefault="00C25FA5" w:rsidP="00C25FA5">
      <w:pPr>
        <w:pStyle w:val="ParagraphGenderAssessment"/>
        <w:rPr>
          <w:rFonts w:cstheme="majorHAnsi"/>
          <w:sz w:val="20"/>
          <w:szCs w:val="20"/>
        </w:rPr>
      </w:pPr>
      <w:r w:rsidRPr="005516CD">
        <w:rPr>
          <w:rFonts w:eastAsiaTheme="minorHAnsi" w:cstheme="majorHAnsi"/>
          <w:sz w:val="20"/>
          <w:szCs w:val="20"/>
        </w:rPr>
        <w:t xml:space="preserve">The project development team from UNDP and FAO, including national experts on environmental and social safeguards and gender, organized focus group discussions, workshops and field visits with key actors (both institutional and community) from areas targeted by the project. In the North Department, this includes the communes Grande Rivière du Nord, </w:t>
      </w:r>
      <w:proofErr w:type="spellStart"/>
      <w:r w:rsidRPr="005516CD">
        <w:rPr>
          <w:rFonts w:eastAsiaTheme="minorHAnsi" w:cstheme="majorHAnsi"/>
          <w:sz w:val="20"/>
          <w:szCs w:val="20"/>
        </w:rPr>
        <w:t>Limbé</w:t>
      </w:r>
      <w:proofErr w:type="spellEnd"/>
      <w:r w:rsidRPr="005516CD">
        <w:rPr>
          <w:rFonts w:eastAsiaTheme="minorHAnsi" w:cstheme="majorHAnsi"/>
          <w:sz w:val="20"/>
          <w:szCs w:val="20"/>
        </w:rPr>
        <w:t xml:space="preserve">, Pilate, Borgne, Port-Margot, Plaisance, </w:t>
      </w:r>
      <w:proofErr w:type="spellStart"/>
      <w:r w:rsidRPr="005516CD">
        <w:rPr>
          <w:rFonts w:eastAsiaTheme="minorHAnsi" w:cstheme="majorHAnsi"/>
          <w:sz w:val="20"/>
          <w:szCs w:val="20"/>
        </w:rPr>
        <w:t>Milot</w:t>
      </w:r>
      <w:proofErr w:type="spellEnd"/>
      <w:r w:rsidRPr="005516CD">
        <w:rPr>
          <w:rFonts w:eastAsiaTheme="minorHAnsi" w:cstheme="majorHAnsi"/>
          <w:sz w:val="20"/>
          <w:szCs w:val="20"/>
        </w:rPr>
        <w:t xml:space="preserve"> and Cap-</w:t>
      </w:r>
      <w:proofErr w:type="spellStart"/>
      <w:r w:rsidRPr="005516CD">
        <w:rPr>
          <w:rFonts w:eastAsiaTheme="minorHAnsi" w:cstheme="majorHAnsi"/>
          <w:sz w:val="20"/>
          <w:szCs w:val="20"/>
        </w:rPr>
        <w:t>Haïtien</w:t>
      </w:r>
      <w:proofErr w:type="spellEnd"/>
      <w:r w:rsidRPr="005516CD">
        <w:rPr>
          <w:rFonts w:eastAsiaTheme="minorHAnsi" w:cstheme="majorHAnsi"/>
          <w:sz w:val="20"/>
          <w:szCs w:val="20"/>
        </w:rPr>
        <w:t>. In the North-East Department, this includes the communes of Ste Suzanne, Mont-</w:t>
      </w:r>
      <w:proofErr w:type="spellStart"/>
      <w:r w:rsidRPr="005516CD">
        <w:rPr>
          <w:rFonts w:eastAsiaTheme="minorHAnsi" w:cstheme="majorHAnsi"/>
          <w:sz w:val="20"/>
          <w:szCs w:val="20"/>
        </w:rPr>
        <w:t>Organisé</w:t>
      </w:r>
      <w:proofErr w:type="spellEnd"/>
      <w:r w:rsidRPr="005516CD">
        <w:rPr>
          <w:rFonts w:eastAsiaTheme="minorHAnsi" w:cstheme="majorHAnsi"/>
          <w:sz w:val="20"/>
          <w:szCs w:val="20"/>
        </w:rPr>
        <w:t xml:space="preserve">, </w:t>
      </w:r>
      <w:proofErr w:type="spellStart"/>
      <w:r w:rsidRPr="005516CD">
        <w:rPr>
          <w:rFonts w:eastAsiaTheme="minorHAnsi" w:cstheme="majorHAnsi"/>
          <w:sz w:val="20"/>
          <w:szCs w:val="20"/>
        </w:rPr>
        <w:t>Mombin</w:t>
      </w:r>
      <w:proofErr w:type="spellEnd"/>
      <w:r w:rsidRPr="005516CD">
        <w:rPr>
          <w:rFonts w:eastAsiaTheme="minorHAnsi" w:cstheme="majorHAnsi"/>
          <w:sz w:val="20"/>
          <w:szCs w:val="20"/>
        </w:rPr>
        <w:t xml:space="preserve"> </w:t>
      </w:r>
      <w:proofErr w:type="spellStart"/>
      <w:r w:rsidRPr="005516CD">
        <w:rPr>
          <w:rFonts w:eastAsiaTheme="minorHAnsi" w:cstheme="majorHAnsi"/>
          <w:sz w:val="20"/>
          <w:szCs w:val="20"/>
        </w:rPr>
        <w:t>crochu</w:t>
      </w:r>
      <w:proofErr w:type="spellEnd"/>
      <w:r w:rsidRPr="005516CD">
        <w:rPr>
          <w:rFonts w:eastAsiaTheme="minorHAnsi" w:cstheme="majorHAnsi"/>
          <w:sz w:val="20"/>
          <w:szCs w:val="20"/>
        </w:rPr>
        <w:t xml:space="preserve">, </w:t>
      </w:r>
      <w:proofErr w:type="spellStart"/>
      <w:r w:rsidRPr="005516CD">
        <w:rPr>
          <w:rFonts w:eastAsiaTheme="minorHAnsi" w:cstheme="majorHAnsi"/>
          <w:sz w:val="20"/>
          <w:szCs w:val="20"/>
        </w:rPr>
        <w:t>Vallières</w:t>
      </w:r>
      <w:proofErr w:type="spellEnd"/>
      <w:r w:rsidRPr="005516CD">
        <w:rPr>
          <w:rFonts w:eastAsiaTheme="minorHAnsi" w:cstheme="majorHAnsi"/>
          <w:sz w:val="20"/>
          <w:szCs w:val="20"/>
        </w:rPr>
        <w:t xml:space="preserve"> and Carice. This made it possible, among other things, to collect relevant data to better understand the problems of landscape and agriculture while taking particular care to take into account the concerns of the most vulnerable socio-economic categories of communities by mobilizing analysis tools focused on the gender approach. The municipality of </w:t>
      </w:r>
      <w:proofErr w:type="spellStart"/>
      <w:r w:rsidRPr="005516CD">
        <w:rPr>
          <w:rFonts w:eastAsiaTheme="minorHAnsi" w:cstheme="majorHAnsi"/>
          <w:sz w:val="20"/>
          <w:szCs w:val="20"/>
        </w:rPr>
        <w:t>Marmelade</w:t>
      </w:r>
      <w:proofErr w:type="spellEnd"/>
      <w:r w:rsidRPr="005516CD">
        <w:rPr>
          <w:rFonts w:eastAsiaTheme="minorHAnsi" w:cstheme="majorHAnsi"/>
          <w:sz w:val="20"/>
          <w:szCs w:val="20"/>
        </w:rPr>
        <w:t xml:space="preserve"> in the Artibonite Department was also visited. It is particularly well equipped with certain infrastructure, in particular for the basic processing of coffee and for the processing of citrus fruits (orange, </w:t>
      </w:r>
      <w:proofErr w:type="spellStart"/>
      <w:r w:rsidRPr="005516CD">
        <w:rPr>
          <w:rFonts w:eastAsiaTheme="minorHAnsi" w:cstheme="majorHAnsi"/>
          <w:sz w:val="20"/>
          <w:szCs w:val="20"/>
        </w:rPr>
        <w:t>chadèque</w:t>
      </w:r>
      <w:proofErr w:type="spellEnd"/>
      <w:r w:rsidRPr="005516CD">
        <w:rPr>
          <w:rFonts w:eastAsiaTheme="minorHAnsi" w:cstheme="majorHAnsi"/>
          <w:sz w:val="20"/>
          <w:szCs w:val="20"/>
        </w:rPr>
        <w:t xml:space="preserve"> and pineapple) into juice and jams. </w:t>
      </w:r>
      <w:r w:rsidRPr="005516CD">
        <w:rPr>
          <w:rFonts w:cstheme="majorHAnsi"/>
          <w:sz w:val="20"/>
          <w:szCs w:val="20"/>
        </w:rPr>
        <w:t>Women’s participation was strongly encouraged in meetings and workshops that were held with groups of 10 to 35 people. Local authorities (mayors, CASEC, ASEC, elders, agricultural and environmental leaders and even religious authorities) were contacted and included in these activities.</w:t>
      </w:r>
    </w:p>
    <w:p w14:paraId="2D59247B" w14:textId="77777777" w:rsidR="00C25FA5" w:rsidRPr="005516CD" w:rsidRDefault="00C25FA5" w:rsidP="00C25FA5">
      <w:pPr>
        <w:jc w:val="both"/>
        <w:rPr>
          <w:rFonts w:asciiTheme="majorHAnsi" w:hAnsiTheme="majorHAnsi" w:cstheme="majorHAnsi"/>
          <w:sz w:val="20"/>
          <w:szCs w:val="20"/>
        </w:rPr>
      </w:pPr>
      <w:r w:rsidRPr="005516CD">
        <w:rPr>
          <w:rFonts w:asciiTheme="majorHAnsi" w:hAnsiTheme="majorHAnsi" w:cstheme="majorHAnsi"/>
          <w:sz w:val="20"/>
          <w:szCs w:val="20"/>
        </w:rPr>
        <w:t xml:space="preserve">The following stakeholders were consulted: </w:t>
      </w:r>
    </w:p>
    <w:p w14:paraId="4FD9467E" w14:textId="77777777" w:rsidR="00C25FA5" w:rsidRPr="005516CD" w:rsidRDefault="00C25FA5" w:rsidP="006B27F4">
      <w:pPr>
        <w:pStyle w:val="ListParagraph"/>
        <w:numPr>
          <w:ilvl w:val="0"/>
          <w:numId w:val="132"/>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Theme="majorHAnsi" w:eastAsiaTheme="minorHAnsi" w:hAnsiTheme="majorHAnsi" w:cstheme="majorHAnsi"/>
          <w:sz w:val="20"/>
          <w:szCs w:val="20"/>
        </w:rPr>
      </w:pPr>
      <w:r w:rsidRPr="005516CD">
        <w:rPr>
          <w:rFonts w:asciiTheme="majorHAnsi" w:eastAsiaTheme="minorHAnsi" w:hAnsiTheme="majorHAnsi" w:cstheme="majorHAnsi"/>
          <w:sz w:val="20"/>
          <w:szCs w:val="20"/>
        </w:rPr>
        <w:t xml:space="preserve">State agricultural and environmental officials, local elected officials, </w:t>
      </w:r>
    </w:p>
    <w:p w14:paraId="5D72385F" w14:textId="77777777" w:rsidR="00C25FA5" w:rsidRPr="005516CD" w:rsidRDefault="00C25FA5" w:rsidP="006B27F4">
      <w:pPr>
        <w:pStyle w:val="ListParagraph"/>
        <w:numPr>
          <w:ilvl w:val="0"/>
          <w:numId w:val="132"/>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Theme="majorHAnsi" w:eastAsiaTheme="minorHAnsi" w:hAnsiTheme="majorHAnsi" w:cstheme="majorHAnsi"/>
          <w:sz w:val="20"/>
          <w:szCs w:val="20"/>
        </w:rPr>
      </w:pPr>
      <w:r w:rsidRPr="005516CD">
        <w:rPr>
          <w:rFonts w:asciiTheme="majorHAnsi" w:eastAsiaTheme="minorHAnsi" w:hAnsiTheme="majorHAnsi" w:cstheme="majorHAnsi"/>
          <w:sz w:val="20"/>
          <w:szCs w:val="20"/>
        </w:rPr>
        <w:t xml:space="preserve">Representatives of private companies operating in the coffee/cocoa sector, </w:t>
      </w:r>
    </w:p>
    <w:p w14:paraId="01E9843C" w14:textId="77777777" w:rsidR="00C25FA5" w:rsidRPr="005516CD" w:rsidRDefault="00C25FA5" w:rsidP="006B27F4">
      <w:pPr>
        <w:pStyle w:val="ListParagraph"/>
        <w:numPr>
          <w:ilvl w:val="0"/>
          <w:numId w:val="132"/>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Theme="majorHAnsi" w:eastAsiaTheme="minorHAnsi" w:hAnsiTheme="majorHAnsi" w:cstheme="majorHAnsi"/>
          <w:sz w:val="20"/>
          <w:szCs w:val="20"/>
        </w:rPr>
      </w:pPr>
      <w:r w:rsidRPr="005516CD">
        <w:rPr>
          <w:rFonts w:asciiTheme="majorHAnsi" w:eastAsiaTheme="minorHAnsi" w:hAnsiTheme="majorHAnsi" w:cstheme="majorHAnsi"/>
          <w:sz w:val="20"/>
          <w:szCs w:val="20"/>
        </w:rPr>
        <w:t xml:space="preserve">Representatives of civil society organizations working at the regional level to promote and develop effective and sustainable practices in the protection of natural resources and the environment, </w:t>
      </w:r>
    </w:p>
    <w:p w14:paraId="76829E9A" w14:textId="77777777" w:rsidR="00C25FA5" w:rsidRPr="005516CD" w:rsidRDefault="00C25FA5" w:rsidP="006B27F4">
      <w:pPr>
        <w:pStyle w:val="ListParagraph"/>
        <w:numPr>
          <w:ilvl w:val="0"/>
          <w:numId w:val="132"/>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Theme="majorHAnsi" w:eastAsiaTheme="minorHAnsi" w:hAnsiTheme="majorHAnsi" w:cstheme="majorHAnsi"/>
          <w:sz w:val="20"/>
          <w:szCs w:val="20"/>
        </w:rPr>
      </w:pPr>
      <w:r w:rsidRPr="005516CD">
        <w:rPr>
          <w:rFonts w:asciiTheme="majorHAnsi" w:eastAsiaTheme="minorHAnsi" w:hAnsiTheme="majorHAnsi" w:cstheme="majorHAnsi"/>
          <w:sz w:val="20"/>
          <w:szCs w:val="20"/>
        </w:rPr>
        <w:t>Elders and representatives of women's organizations operating in other sectors of crosscutting activities.</w:t>
      </w:r>
    </w:p>
    <w:p w14:paraId="0C0B6B9E" w14:textId="77777777" w:rsidR="00C25FA5" w:rsidRPr="005516CD" w:rsidRDefault="00C25FA5" w:rsidP="006B27F4">
      <w:pPr>
        <w:pStyle w:val="ListParagraph"/>
        <w:numPr>
          <w:ilvl w:val="0"/>
          <w:numId w:val="132"/>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asciiTheme="majorHAnsi" w:eastAsiaTheme="minorHAnsi" w:hAnsiTheme="majorHAnsi" w:cstheme="majorHAnsi"/>
          <w:sz w:val="20"/>
          <w:szCs w:val="20"/>
        </w:rPr>
      </w:pPr>
      <w:r w:rsidRPr="005516CD">
        <w:rPr>
          <w:rFonts w:asciiTheme="majorHAnsi" w:eastAsiaTheme="minorHAnsi" w:hAnsiTheme="majorHAnsi" w:cstheme="majorHAnsi"/>
          <w:sz w:val="20"/>
          <w:szCs w:val="20"/>
        </w:rPr>
        <w:t xml:space="preserve">Representatives of agricultural cooperatives and farmers' organizations, </w:t>
      </w:r>
    </w:p>
    <w:p w14:paraId="2D2C4592" w14:textId="77777777" w:rsidR="00C25FA5" w:rsidRPr="005516CD" w:rsidRDefault="00C25FA5" w:rsidP="00C25FA5">
      <w:pPr>
        <w:pStyle w:val="ParagraphGenderAssessment"/>
        <w:rPr>
          <w:rFonts w:cstheme="majorHAnsi"/>
          <w:sz w:val="20"/>
          <w:szCs w:val="20"/>
        </w:rPr>
      </w:pPr>
      <w:r w:rsidRPr="005516CD">
        <w:rPr>
          <w:rFonts w:cstheme="majorHAnsi"/>
          <w:sz w:val="20"/>
          <w:szCs w:val="20"/>
          <w:lang w:val="en-CA"/>
        </w:rPr>
        <w:t>T</w:t>
      </w:r>
      <w:r w:rsidRPr="005516CD">
        <w:rPr>
          <w:rFonts w:cstheme="majorHAnsi"/>
          <w:sz w:val="20"/>
          <w:szCs w:val="20"/>
        </w:rPr>
        <w:t>he specific objectives of these activities were:</w:t>
      </w:r>
    </w:p>
    <w:p w14:paraId="1675BC39" w14:textId="77777777" w:rsidR="00C25FA5" w:rsidRPr="005516CD" w:rsidRDefault="00C25FA5" w:rsidP="006B27F4">
      <w:pPr>
        <w:pStyle w:val="ParagraphGenderAssessment"/>
        <w:numPr>
          <w:ilvl w:val="0"/>
          <w:numId w:val="131"/>
        </w:numPr>
        <w:rPr>
          <w:rFonts w:cstheme="majorHAnsi"/>
          <w:sz w:val="20"/>
          <w:szCs w:val="20"/>
        </w:rPr>
      </w:pPr>
      <w:r w:rsidRPr="005516CD">
        <w:rPr>
          <w:rFonts w:cstheme="majorHAnsi"/>
          <w:sz w:val="20"/>
          <w:szCs w:val="20"/>
        </w:rPr>
        <w:t>Discuss with participants issues related to environmental degradation and landscape management;</w:t>
      </w:r>
    </w:p>
    <w:p w14:paraId="3DC28371" w14:textId="77777777" w:rsidR="00C25FA5" w:rsidRPr="005516CD" w:rsidRDefault="00C25FA5" w:rsidP="006B27F4">
      <w:pPr>
        <w:pStyle w:val="ParagraphGenderAssessment"/>
        <w:numPr>
          <w:ilvl w:val="0"/>
          <w:numId w:val="131"/>
        </w:numPr>
        <w:rPr>
          <w:rFonts w:cstheme="majorHAnsi"/>
          <w:sz w:val="20"/>
          <w:szCs w:val="20"/>
        </w:rPr>
      </w:pPr>
      <w:r w:rsidRPr="005516CD">
        <w:rPr>
          <w:rFonts w:cstheme="majorHAnsi"/>
          <w:sz w:val="20"/>
          <w:szCs w:val="20"/>
        </w:rPr>
        <w:t xml:space="preserve">To stimulate and supervise debates in order to understand and analyze participants' perception and/or understanding of the issues for very specific themes such as: planning and management of ecosystems (productive forested landscapes), local adaptation strategies and the search for certain possible options proposed by local authorities in terms of viable response mechanisms to be developed in relation to the main concerns of communities, the environment and the productive forested landscape, </w:t>
      </w:r>
    </w:p>
    <w:p w14:paraId="6A394A62" w14:textId="77777777" w:rsidR="00C25FA5" w:rsidRPr="005516CD" w:rsidRDefault="00C25FA5" w:rsidP="006B27F4">
      <w:pPr>
        <w:pStyle w:val="ParagraphGenderAssessment"/>
        <w:numPr>
          <w:ilvl w:val="0"/>
          <w:numId w:val="131"/>
        </w:numPr>
        <w:rPr>
          <w:rFonts w:cstheme="majorHAnsi"/>
          <w:sz w:val="20"/>
          <w:szCs w:val="20"/>
        </w:rPr>
      </w:pPr>
      <w:r w:rsidRPr="005516CD">
        <w:rPr>
          <w:rFonts w:cstheme="majorHAnsi"/>
          <w:sz w:val="20"/>
          <w:szCs w:val="20"/>
        </w:rPr>
        <w:t>Identify the importance agricultural production systems and/or in the wooded productive landscapes and problems that farmers encounter in these systems</w:t>
      </w:r>
    </w:p>
    <w:p w14:paraId="32E7849E"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Gender and the coffee/cocoa sector in the project intervention areas</w:t>
      </w:r>
    </w:p>
    <w:p w14:paraId="76D77444"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Rural Haitian women (particularly those who were visited and met during consultations) participate in almost all agricultural activities. They face various difficulties such as lack of supervision and technical training, among others; some activities are 'reserved for women', which limit their participation in agricultural activities.</w:t>
      </w:r>
    </w:p>
    <w:p w14:paraId="429450DC"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Unlike men, women must notify their husbands of their travel or intention to participate in certain activities.</w:t>
      </w:r>
    </w:p>
    <w:p w14:paraId="4EEEE103"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In some municipalities, such as Carice, Mont-</w:t>
      </w:r>
      <w:proofErr w:type="spellStart"/>
      <w:r w:rsidRPr="005516CD">
        <w:rPr>
          <w:rFonts w:cstheme="majorHAnsi"/>
          <w:sz w:val="20"/>
          <w:szCs w:val="20"/>
          <w:lang w:val="en-GB"/>
        </w:rPr>
        <w:t>Organisé</w:t>
      </w:r>
      <w:proofErr w:type="spellEnd"/>
      <w:r w:rsidRPr="005516CD">
        <w:rPr>
          <w:rFonts w:cstheme="majorHAnsi"/>
          <w:sz w:val="20"/>
          <w:szCs w:val="20"/>
          <w:lang w:val="en-GB"/>
        </w:rPr>
        <w:t xml:space="preserve">, </w:t>
      </w:r>
      <w:proofErr w:type="spellStart"/>
      <w:r w:rsidRPr="005516CD">
        <w:rPr>
          <w:rFonts w:cstheme="majorHAnsi"/>
          <w:sz w:val="20"/>
          <w:szCs w:val="20"/>
          <w:lang w:val="en-GB"/>
        </w:rPr>
        <w:t>Vallières</w:t>
      </w:r>
      <w:proofErr w:type="spellEnd"/>
      <w:r w:rsidRPr="005516CD">
        <w:rPr>
          <w:rFonts w:cstheme="majorHAnsi"/>
          <w:sz w:val="20"/>
          <w:szCs w:val="20"/>
        </w:rPr>
        <w:t>, it was reported that women participate up to 30% in the preparation of the gardens, 40% in the harvesting activities and 100% in the sale of post-harvest products at the markets.</w:t>
      </w:r>
    </w:p>
    <w:p w14:paraId="3D3B08CE"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The COSAHEC cocoa cooperative in Carice, for example, requires the participation of women on its board of directors; currently their board is composed of 9 members, 5 of who are women. 60% of women integrate </w:t>
      </w:r>
      <w:proofErr w:type="spellStart"/>
      <w:r w:rsidRPr="005516CD">
        <w:rPr>
          <w:rFonts w:cstheme="majorHAnsi"/>
          <w:sz w:val="20"/>
          <w:szCs w:val="20"/>
        </w:rPr>
        <w:t>agro</w:t>
      </w:r>
      <w:proofErr w:type="spellEnd"/>
      <w:r w:rsidRPr="005516CD">
        <w:rPr>
          <w:rFonts w:cstheme="majorHAnsi"/>
          <w:sz w:val="20"/>
          <w:szCs w:val="20"/>
        </w:rPr>
        <w:t xml:space="preserve">-processing activities; 70% participate in harvesting and 80% in the sale of products; they agree with their husbands to manage the money that is generated. </w:t>
      </w:r>
    </w:p>
    <w:p w14:paraId="1CCDA313"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The </w:t>
      </w:r>
      <w:proofErr w:type="spellStart"/>
      <w:r w:rsidRPr="005516CD">
        <w:rPr>
          <w:rFonts w:cstheme="majorHAnsi"/>
          <w:sz w:val="20"/>
          <w:szCs w:val="20"/>
          <w:lang w:val="en-GB"/>
        </w:rPr>
        <w:t>Coopérative</w:t>
      </w:r>
      <w:proofErr w:type="spellEnd"/>
      <w:r w:rsidRPr="005516CD">
        <w:rPr>
          <w:rFonts w:cstheme="majorHAnsi"/>
          <w:sz w:val="20"/>
          <w:szCs w:val="20"/>
          <w:lang w:val="en-GB"/>
        </w:rPr>
        <w:t xml:space="preserve"> Chavannes Jean Baptiste à Grande Rivière du Nord</w:t>
      </w:r>
      <w:r w:rsidRPr="005516CD">
        <w:rPr>
          <w:rFonts w:cstheme="majorHAnsi"/>
          <w:sz w:val="20"/>
          <w:szCs w:val="20"/>
        </w:rPr>
        <w:t xml:space="preserve"> entrusts 80% of its management to women; women, forming a significant part of its members, carry out all activities (harvesting, grafting, processing, transportation, etc.). According to the people met in Grande Rivière du Nord, the area planted with cocoa has increased over the last 8 years, hence the production as well. In this municipality, 15% of women participate in agricultural activities and the remaining 85% are involved in small-scale trade and other unspecified activities.</w:t>
      </w:r>
    </w:p>
    <w:p w14:paraId="17F5DA62"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In the municipality of Plaisance, women do engage in land ploughing, but they participate in up to 30% in </w:t>
      </w:r>
      <w:proofErr w:type="spellStart"/>
      <w:r w:rsidRPr="005516CD">
        <w:rPr>
          <w:rFonts w:cstheme="majorHAnsi"/>
          <w:sz w:val="20"/>
          <w:szCs w:val="20"/>
        </w:rPr>
        <w:t>Kombits</w:t>
      </w:r>
      <w:proofErr w:type="spellEnd"/>
      <w:r w:rsidRPr="005516CD">
        <w:rPr>
          <w:rFonts w:cstheme="majorHAnsi"/>
          <w:sz w:val="20"/>
          <w:szCs w:val="20"/>
        </w:rPr>
        <w:t xml:space="preserve"> (other production activities, from soil preparation to harvesting) either in the preparation of food or other activities that require a little less energy expenditure. For harvesting and processing of agricultural products (mainly cocoa), 50% of women participate. Women are responsible for roasting and for sale, while mean grind the cocoa. Unlike the other municipalities, in Piacenza, a very high number of women own their own plots (50%), however, in the same municipality 70% of the occupants do not have title to their property.</w:t>
      </w:r>
    </w:p>
    <w:p w14:paraId="4DC7AA35" w14:textId="77777777" w:rsidR="00C25FA5" w:rsidRPr="005516CD" w:rsidRDefault="00C25FA5" w:rsidP="00C25FA5">
      <w:pPr>
        <w:jc w:val="both"/>
        <w:rPr>
          <w:rFonts w:asciiTheme="majorHAnsi" w:hAnsiTheme="majorHAnsi" w:cstheme="majorHAnsi"/>
          <w:sz w:val="20"/>
          <w:szCs w:val="20"/>
        </w:rPr>
      </w:pPr>
      <w:r w:rsidRPr="005516CD">
        <w:rPr>
          <w:rFonts w:asciiTheme="majorHAnsi" w:hAnsiTheme="majorHAnsi" w:cstheme="majorHAnsi"/>
          <w:sz w:val="20"/>
          <w:szCs w:val="20"/>
        </w:rPr>
        <w:t>According to workshop participants, in addition to the role of occupying children and preparing food at home and other tasks traditionally known in the country, women work mainly as managers of "</w:t>
      </w:r>
      <w:proofErr w:type="spellStart"/>
      <w:r w:rsidRPr="005516CD">
        <w:rPr>
          <w:rFonts w:asciiTheme="majorHAnsi" w:hAnsiTheme="majorHAnsi" w:cstheme="majorHAnsi"/>
          <w:sz w:val="20"/>
          <w:szCs w:val="20"/>
        </w:rPr>
        <w:t>Laku</w:t>
      </w:r>
      <w:proofErr w:type="spellEnd"/>
      <w:r w:rsidRPr="005516CD">
        <w:rPr>
          <w:rFonts w:asciiTheme="majorHAnsi" w:hAnsiTheme="majorHAnsi" w:cstheme="majorHAnsi"/>
          <w:sz w:val="20"/>
          <w:szCs w:val="20"/>
        </w:rPr>
        <w:t xml:space="preserve"> gardens" and "Pre-kay gardens". They are the backbone of the economy, children's education and household financial management. </w:t>
      </w:r>
    </w:p>
    <w:p w14:paraId="7FD98D77" w14:textId="77777777" w:rsidR="00C25FA5" w:rsidRPr="005516CD" w:rsidRDefault="00C25FA5" w:rsidP="00C25FA5">
      <w:pPr>
        <w:rPr>
          <w:rFonts w:asciiTheme="majorHAnsi" w:hAnsiTheme="majorHAnsi" w:cstheme="majorHAnsi"/>
          <w:sz w:val="20"/>
          <w:szCs w:val="20"/>
          <w:lang w:val="en-CA"/>
        </w:rPr>
      </w:pPr>
    </w:p>
    <w:p w14:paraId="581502BE" w14:textId="77777777" w:rsidR="00C25FA5" w:rsidRPr="005516CD" w:rsidRDefault="00C25FA5" w:rsidP="00C25FA5">
      <w:pPr>
        <w:rPr>
          <w:rFonts w:asciiTheme="majorHAnsi" w:hAnsiTheme="majorHAnsi" w:cstheme="majorHAnsi"/>
          <w:sz w:val="20"/>
          <w:szCs w:val="20"/>
        </w:rPr>
      </w:pPr>
      <w:r w:rsidRPr="005516CD">
        <w:rPr>
          <w:rFonts w:asciiTheme="majorHAnsi" w:hAnsiTheme="majorHAnsi" w:cstheme="majorHAnsi"/>
          <w:sz w:val="20"/>
          <w:szCs w:val="20"/>
        </w:rPr>
        <w:t>From these meetings, workshops and focus groups organized, the important role that women play at all stages of the production process was emphasized, as was their constraints and low access to means of production, low income and the difficulties of managing this income.</w:t>
      </w:r>
    </w:p>
    <w:p w14:paraId="39171E3F" w14:textId="77777777" w:rsidR="00C25FA5" w:rsidRPr="005516CD" w:rsidRDefault="00C25FA5" w:rsidP="00C25FA5">
      <w:pPr>
        <w:rPr>
          <w:rFonts w:asciiTheme="majorHAnsi" w:hAnsiTheme="majorHAnsi" w:cstheme="majorHAnsi"/>
          <w:sz w:val="20"/>
          <w:szCs w:val="20"/>
          <w:lang w:val="en-CA"/>
        </w:rPr>
      </w:pPr>
    </w:p>
    <w:p w14:paraId="46F02DF4" w14:textId="77777777" w:rsidR="00C25FA5" w:rsidRPr="005516CD" w:rsidRDefault="00C25FA5" w:rsidP="006B27F4">
      <w:pPr>
        <w:pStyle w:val="ParagraphGenderAssessment"/>
        <w:numPr>
          <w:ilvl w:val="0"/>
          <w:numId w:val="135"/>
        </w:numPr>
        <w:ind w:left="284" w:hanging="284"/>
        <w:rPr>
          <w:rFonts w:cstheme="majorHAnsi"/>
          <w:b/>
          <w:color w:val="000000"/>
          <w:sz w:val="20"/>
          <w:szCs w:val="20"/>
        </w:rPr>
      </w:pPr>
      <w:bookmarkStart w:id="457" w:name="_Ref528928107"/>
      <w:r w:rsidRPr="005516CD">
        <w:rPr>
          <w:rFonts w:cstheme="majorHAnsi"/>
          <w:b/>
          <w:color w:val="000000"/>
          <w:sz w:val="20"/>
          <w:szCs w:val="20"/>
        </w:rPr>
        <w:t>Challenges, opportunities and lessons learned</w:t>
      </w:r>
      <w:bookmarkEnd w:id="457"/>
    </w:p>
    <w:p w14:paraId="071FC608"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Although Haiti faces challenges with respect to its capacities and resources to address landscape degradation and threats to biodiversity</w:t>
      </w:r>
      <w:r w:rsidRPr="005516CD">
        <w:rPr>
          <w:rStyle w:val="FootnoteReference"/>
          <w:rFonts w:cstheme="majorHAnsi"/>
          <w:sz w:val="20"/>
          <w:szCs w:val="20"/>
        </w:rPr>
        <w:footnoteReference w:id="229"/>
      </w:r>
      <w:r w:rsidRPr="005516CD">
        <w:rPr>
          <w:rFonts w:cstheme="majorHAnsi"/>
          <w:sz w:val="20"/>
          <w:szCs w:val="20"/>
          <w:vertAlign w:val="superscript"/>
        </w:rPr>
        <w:t>,</w:t>
      </w:r>
      <w:r w:rsidRPr="005516CD">
        <w:rPr>
          <w:rStyle w:val="FootnoteReference"/>
          <w:rFonts w:cstheme="majorHAnsi"/>
          <w:sz w:val="20"/>
          <w:szCs w:val="20"/>
        </w:rPr>
        <w:footnoteReference w:id="230"/>
      </w:r>
      <w:r w:rsidRPr="005516CD">
        <w:rPr>
          <w:rFonts w:cstheme="majorHAnsi"/>
          <w:sz w:val="20"/>
          <w:szCs w:val="20"/>
        </w:rPr>
        <w:t xml:space="preserve">, the country is making advances despite significant set-backs related to recent natural disasters and political corruption. There is a wide variety of support from donor agencies, foreign governments, international NGOs, and researchers that aim to strengthen capacities and support Haiti in its commitment to improving social and ecological conditions and prioritizing gender equality within its policies and planning.  </w:t>
      </w:r>
    </w:p>
    <w:p w14:paraId="68FCD2F5" w14:textId="77777777" w:rsidR="00C25FA5" w:rsidRPr="005516CD" w:rsidRDefault="00C25FA5" w:rsidP="00C25FA5">
      <w:pPr>
        <w:pStyle w:val="ParagraphGenderAssessment"/>
        <w:rPr>
          <w:rFonts w:eastAsiaTheme="minorHAnsi" w:cstheme="majorHAnsi"/>
          <w:sz w:val="20"/>
          <w:szCs w:val="20"/>
        </w:rPr>
      </w:pPr>
      <w:r w:rsidRPr="005516CD">
        <w:rPr>
          <w:rFonts w:eastAsiaTheme="minorHAnsi" w:cstheme="majorHAnsi"/>
          <w:sz w:val="20"/>
          <w:szCs w:val="20"/>
        </w:rPr>
        <w:t xml:space="preserve">The gender analysis carried out highlights the complexities of gender relations in Haiti and identifies barriers to gender equality. The analysis is a foundation, supporting the identification of opportunities to improve gender-responsive approaches to management activities and risk reduction in the context of climate change adaptation. </w:t>
      </w:r>
    </w:p>
    <w:p w14:paraId="4635E7BB"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Overall this gender analysis highlights the challenges and opportunities for implementing tree-rich cropping systems or </w:t>
      </w:r>
      <w:proofErr w:type="spellStart"/>
      <w:r w:rsidRPr="005516CD">
        <w:rPr>
          <w:rFonts w:cstheme="majorHAnsi"/>
          <w:sz w:val="20"/>
          <w:szCs w:val="20"/>
        </w:rPr>
        <w:t>agro</w:t>
      </w:r>
      <w:proofErr w:type="spellEnd"/>
      <w:r w:rsidRPr="005516CD">
        <w:rPr>
          <w:rFonts w:cstheme="majorHAnsi"/>
          <w:sz w:val="20"/>
          <w:szCs w:val="20"/>
        </w:rPr>
        <w:t xml:space="preserve">-forestry systems that generate benefits for women and other marginalized groups. </w:t>
      </w:r>
    </w:p>
    <w:p w14:paraId="1D07CBE6" w14:textId="77777777" w:rsidR="00C25FA5" w:rsidRPr="005516CD" w:rsidRDefault="00C25FA5" w:rsidP="00C25FA5">
      <w:pPr>
        <w:rPr>
          <w:rFonts w:asciiTheme="majorHAnsi" w:hAnsiTheme="majorHAnsi" w:cstheme="majorHAnsi"/>
          <w:sz w:val="20"/>
          <w:szCs w:val="20"/>
        </w:rPr>
      </w:pPr>
      <w:r w:rsidRPr="005516CD">
        <w:rPr>
          <w:rFonts w:asciiTheme="majorHAnsi" w:hAnsiTheme="majorHAnsi" w:cstheme="majorHAnsi"/>
          <w:sz w:val="20"/>
          <w:szCs w:val="20"/>
        </w:rPr>
        <w:t>Stakeholder engagement activities highlighted the following strategic concerns:</w:t>
      </w:r>
    </w:p>
    <w:p w14:paraId="4F25FDA9" w14:textId="77777777" w:rsidR="00C25FA5" w:rsidRPr="005516CD" w:rsidRDefault="00C25FA5" w:rsidP="006B27F4">
      <w:pPr>
        <w:pStyle w:val="ListParagraph"/>
        <w:numPr>
          <w:ilvl w:val="0"/>
          <w:numId w:val="133"/>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heme="majorHAnsi" w:hAnsiTheme="majorHAnsi" w:cstheme="majorHAnsi"/>
          <w:sz w:val="20"/>
          <w:szCs w:val="20"/>
        </w:rPr>
      </w:pPr>
      <w:r w:rsidRPr="005516CD">
        <w:rPr>
          <w:rFonts w:asciiTheme="majorHAnsi" w:hAnsiTheme="majorHAnsi" w:cstheme="majorHAnsi"/>
          <w:sz w:val="20"/>
          <w:szCs w:val="20"/>
        </w:rPr>
        <w:t xml:space="preserve">How can women be more involved to ensure that their concerns are better taken into account and that the sector is better developed? </w:t>
      </w:r>
    </w:p>
    <w:p w14:paraId="7F8124B1" w14:textId="77777777" w:rsidR="00C25FA5" w:rsidRPr="005516CD" w:rsidRDefault="00C25FA5" w:rsidP="006B27F4">
      <w:pPr>
        <w:pStyle w:val="ListParagraph"/>
        <w:numPr>
          <w:ilvl w:val="0"/>
          <w:numId w:val="133"/>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heme="majorHAnsi" w:hAnsiTheme="majorHAnsi" w:cstheme="majorHAnsi"/>
          <w:sz w:val="20"/>
          <w:szCs w:val="20"/>
        </w:rPr>
      </w:pPr>
      <w:r w:rsidRPr="005516CD">
        <w:rPr>
          <w:rFonts w:asciiTheme="majorHAnsi" w:hAnsiTheme="majorHAnsi" w:cstheme="majorHAnsi"/>
          <w:sz w:val="20"/>
          <w:szCs w:val="20"/>
        </w:rPr>
        <w:t xml:space="preserve">How can we help women to be more profitable in production, processing and marketing? </w:t>
      </w:r>
    </w:p>
    <w:p w14:paraId="18699483" w14:textId="77777777" w:rsidR="00C25FA5" w:rsidRPr="005516CD" w:rsidRDefault="00C25FA5" w:rsidP="006B27F4">
      <w:pPr>
        <w:pStyle w:val="ListParagraph"/>
        <w:numPr>
          <w:ilvl w:val="0"/>
          <w:numId w:val="133"/>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heme="majorHAnsi" w:hAnsiTheme="majorHAnsi" w:cstheme="majorHAnsi"/>
          <w:sz w:val="20"/>
          <w:szCs w:val="20"/>
        </w:rPr>
      </w:pPr>
      <w:r w:rsidRPr="005516CD">
        <w:rPr>
          <w:rFonts w:asciiTheme="majorHAnsi" w:hAnsiTheme="majorHAnsi" w:cstheme="majorHAnsi"/>
          <w:sz w:val="20"/>
          <w:szCs w:val="20"/>
        </w:rPr>
        <w:t>What strategies should be adopted to help women sell their production?</w:t>
      </w:r>
    </w:p>
    <w:p w14:paraId="257322F5" w14:textId="77777777" w:rsidR="00C25FA5" w:rsidRPr="005516CD" w:rsidRDefault="00C25FA5" w:rsidP="006B27F4">
      <w:pPr>
        <w:pStyle w:val="ListParagraph"/>
        <w:numPr>
          <w:ilvl w:val="0"/>
          <w:numId w:val="133"/>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heme="majorHAnsi" w:hAnsiTheme="majorHAnsi" w:cstheme="majorHAnsi"/>
          <w:sz w:val="20"/>
          <w:szCs w:val="20"/>
        </w:rPr>
      </w:pPr>
      <w:r w:rsidRPr="005516CD">
        <w:rPr>
          <w:rFonts w:asciiTheme="majorHAnsi" w:hAnsiTheme="majorHAnsi" w:cstheme="majorHAnsi"/>
          <w:sz w:val="20"/>
          <w:szCs w:val="20"/>
        </w:rPr>
        <w:t xml:space="preserve">Lack of national legal frameworks to take gender into account in the agricultural sector. </w:t>
      </w:r>
    </w:p>
    <w:p w14:paraId="4D10E1C7" w14:textId="77777777" w:rsidR="00C25FA5" w:rsidRPr="005516CD" w:rsidRDefault="00C25FA5" w:rsidP="006B27F4">
      <w:pPr>
        <w:pStyle w:val="ListParagraph"/>
        <w:numPr>
          <w:ilvl w:val="0"/>
          <w:numId w:val="133"/>
        </w:numPr>
        <w:pBdr>
          <w:top w:val="none" w:sz="0" w:space="0" w:color="auto"/>
          <w:left w:val="none" w:sz="0" w:space="0" w:color="auto"/>
          <w:bottom w:val="none" w:sz="0" w:space="0" w:color="auto"/>
          <w:right w:val="none" w:sz="0" w:space="0" w:color="auto"/>
          <w:between w:val="none" w:sz="0" w:space="0" w:color="auto"/>
          <w:bar w:val="none" w:sz="0" w:color="auto"/>
        </w:pBdr>
        <w:contextualSpacing/>
        <w:rPr>
          <w:rFonts w:asciiTheme="majorHAnsi" w:hAnsiTheme="majorHAnsi" w:cstheme="majorHAnsi"/>
          <w:sz w:val="20"/>
          <w:szCs w:val="20"/>
        </w:rPr>
      </w:pPr>
      <w:r w:rsidRPr="005516CD">
        <w:rPr>
          <w:rFonts w:asciiTheme="majorHAnsi" w:hAnsiTheme="majorHAnsi" w:cstheme="majorHAnsi"/>
          <w:sz w:val="20"/>
          <w:szCs w:val="20"/>
        </w:rPr>
        <w:t>The diversity of socio-cultural and economic barriers women face</w:t>
      </w:r>
    </w:p>
    <w:p w14:paraId="1BB261CB"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The following areas should be considered for gender-sensitive implementation of tree-based systems to contribute to sustainable landscape mosaics for conservation in Haiti: </w:t>
      </w:r>
    </w:p>
    <w:p w14:paraId="255E5BB3" w14:textId="77777777" w:rsidR="00C25FA5" w:rsidRPr="005516CD" w:rsidRDefault="00C25FA5" w:rsidP="006B27F4">
      <w:pPr>
        <w:pStyle w:val="ParagraphGenderAssessment"/>
        <w:numPr>
          <w:ilvl w:val="0"/>
          <w:numId w:val="128"/>
        </w:numPr>
        <w:rPr>
          <w:rFonts w:cstheme="majorHAnsi"/>
          <w:sz w:val="20"/>
          <w:szCs w:val="20"/>
        </w:rPr>
      </w:pPr>
      <w:r w:rsidRPr="005516CD">
        <w:rPr>
          <w:rFonts w:cstheme="majorHAnsi"/>
          <w:b/>
          <w:sz w:val="20"/>
          <w:szCs w:val="20"/>
        </w:rPr>
        <w:t>Productive resources</w:t>
      </w:r>
      <w:r w:rsidRPr="005516CD">
        <w:rPr>
          <w:rFonts w:cstheme="majorHAnsi"/>
          <w:sz w:val="20"/>
          <w:szCs w:val="20"/>
        </w:rPr>
        <w:t>: A majority of women and women-led households depend on agriculture for their livelihoods, yet they are more likely to rely on unproductive land resources and have insecure land tenure.</w:t>
      </w:r>
    </w:p>
    <w:p w14:paraId="2FF0A949" w14:textId="77777777" w:rsidR="00C25FA5" w:rsidRPr="005516CD" w:rsidRDefault="00C25FA5" w:rsidP="006B27F4">
      <w:pPr>
        <w:pStyle w:val="ParagraphGenderAssessment"/>
        <w:numPr>
          <w:ilvl w:val="0"/>
          <w:numId w:val="128"/>
        </w:numPr>
        <w:rPr>
          <w:rFonts w:cstheme="majorHAnsi"/>
          <w:color w:val="000000" w:themeColor="text1"/>
          <w:sz w:val="20"/>
          <w:szCs w:val="20"/>
        </w:rPr>
      </w:pPr>
      <w:r w:rsidRPr="005516CD">
        <w:rPr>
          <w:rFonts w:cstheme="majorHAnsi"/>
          <w:b/>
          <w:sz w:val="20"/>
          <w:szCs w:val="20"/>
        </w:rPr>
        <w:t>Decision-making</w:t>
      </w:r>
      <w:r w:rsidRPr="005516CD">
        <w:rPr>
          <w:rFonts w:cstheme="majorHAnsi"/>
          <w:sz w:val="20"/>
          <w:szCs w:val="20"/>
        </w:rPr>
        <w:t xml:space="preserve">: Women are responsible for and have control over decisions related to household “gardens”, which may be an important source of income for the household. However, control over farmland is either shared or controlled by men. Farms tend to be larger than gardens, while men control the most productive and accessible land assets. </w:t>
      </w:r>
    </w:p>
    <w:p w14:paraId="3E9B2565" w14:textId="77777777" w:rsidR="00C25FA5" w:rsidRPr="005516CD" w:rsidRDefault="00C25FA5" w:rsidP="006B27F4">
      <w:pPr>
        <w:pStyle w:val="ParagraphGenderAssessment"/>
        <w:numPr>
          <w:ilvl w:val="0"/>
          <w:numId w:val="128"/>
        </w:numPr>
        <w:rPr>
          <w:rFonts w:cstheme="majorHAnsi"/>
          <w:color w:val="000000" w:themeColor="text1"/>
          <w:sz w:val="20"/>
          <w:szCs w:val="20"/>
        </w:rPr>
      </w:pPr>
      <w:r w:rsidRPr="005516CD">
        <w:rPr>
          <w:rFonts w:cstheme="majorHAnsi"/>
          <w:b/>
          <w:sz w:val="20"/>
          <w:szCs w:val="20"/>
        </w:rPr>
        <w:t>Value Chains:</w:t>
      </w:r>
      <w:r w:rsidRPr="005516CD">
        <w:rPr>
          <w:rFonts w:cstheme="majorHAnsi"/>
          <w:sz w:val="20"/>
          <w:szCs w:val="20"/>
        </w:rPr>
        <w:t xml:space="preserve"> Women are more likely to be key players in domestic produce value chains, leading in the </w:t>
      </w:r>
      <w:r w:rsidRPr="005516CD">
        <w:rPr>
          <w:rFonts w:cstheme="majorHAnsi"/>
          <w:color w:val="000000" w:themeColor="text1"/>
          <w:sz w:val="20"/>
          <w:szCs w:val="20"/>
        </w:rPr>
        <w:t>trade and sale of fruits, vegetables, tubers and other locally consumed agricultural produce in the informal sector. M</w:t>
      </w:r>
      <w:r w:rsidRPr="005516CD">
        <w:rPr>
          <w:rFonts w:cstheme="majorHAnsi"/>
          <w:sz w:val="20"/>
          <w:szCs w:val="20"/>
        </w:rPr>
        <w:t xml:space="preserve">en, on the other hand, tend to be key players in export commodity value chains, including coffee and cacao. This brings about gender disparities in terms of income, and employment security. </w:t>
      </w:r>
    </w:p>
    <w:p w14:paraId="60F65F4B" w14:textId="77777777" w:rsidR="00C25FA5" w:rsidRPr="005516CD" w:rsidRDefault="00C25FA5" w:rsidP="006B27F4">
      <w:pPr>
        <w:pStyle w:val="ParagraphGenderAssessment"/>
        <w:numPr>
          <w:ilvl w:val="0"/>
          <w:numId w:val="128"/>
        </w:numPr>
        <w:rPr>
          <w:rFonts w:cstheme="majorHAnsi"/>
          <w:color w:val="000000" w:themeColor="text1"/>
          <w:sz w:val="20"/>
          <w:szCs w:val="20"/>
        </w:rPr>
      </w:pPr>
      <w:r w:rsidRPr="005516CD">
        <w:rPr>
          <w:rFonts w:cstheme="majorHAnsi"/>
          <w:b/>
          <w:color w:val="000000" w:themeColor="text1"/>
          <w:sz w:val="20"/>
          <w:szCs w:val="20"/>
        </w:rPr>
        <w:t>Preferences and priorities</w:t>
      </w:r>
      <w:r w:rsidRPr="005516CD">
        <w:rPr>
          <w:rFonts w:cstheme="majorHAnsi"/>
          <w:color w:val="000000" w:themeColor="text1"/>
          <w:sz w:val="20"/>
          <w:szCs w:val="20"/>
        </w:rPr>
        <w:t>: Given the gendered roles in production and sales as well as skewed responsibilities for family food security, men and women may have different needs and interests in terms of land management choices, including the selection of tree/crop species (subsistence vs. cash crops, export vs. domestic sales) and areas selected for cultivation (size and location, gardens vs. farms).</w:t>
      </w:r>
    </w:p>
    <w:p w14:paraId="66B2A4A6" w14:textId="77777777" w:rsidR="00C25FA5" w:rsidRPr="005516CD" w:rsidRDefault="00C25FA5" w:rsidP="006B27F4">
      <w:pPr>
        <w:pStyle w:val="ParagraphGenderAssessment"/>
        <w:numPr>
          <w:ilvl w:val="0"/>
          <w:numId w:val="128"/>
        </w:numPr>
        <w:rPr>
          <w:rFonts w:cstheme="majorHAnsi"/>
          <w:color w:val="000000" w:themeColor="text1"/>
          <w:sz w:val="20"/>
          <w:szCs w:val="20"/>
        </w:rPr>
      </w:pPr>
      <w:r w:rsidRPr="005516CD">
        <w:rPr>
          <w:rFonts w:cstheme="majorHAnsi"/>
          <w:b/>
          <w:color w:val="000000" w:themeColor="text1"/>
          <w:sz w:val="20"/>
          <w:szCs w:val="20"/>
        </w:rPr>
        <w:t>Access to credit and extension services</w:t>
      </w:r>
      <w:r w:rsidRPr="005516CD">
        <w:rPr>
          <w:rFonts w:cstheme="majorHAnsi"/>
          <w:color w:val="000000" w:themeColor="text1"/>
          <w:sz w:val="20"/>
          <w:szCs w:val="20"/>
        </w:rPr>
        <w:t xml:space="preserve">: </w:t>
      </w:r>
      <w:r w:rsidRPr="005516CD">
        <w:rPr>
          <w:rFonts w:eastAsiaTheme="minorHAnsi" w:cstheme="majorHAnsi"/>
          <w:color w:val="000000" w:themeColor="text1"/>
          <w:sz w:val="20"/>
          <w:szCs w:val="20"/>
        </w:rPr>
        <w:t>low access to credit make it difficult for women to improve their production systems in the face of CC and secure a sustainable income. This is compounded by gender-skewed land ownership and the accompanying deeds to prove this ownership.</w:t>
      </w:r>
    </w:p>
    <w:p w14:paraId="6E635D6D" w14:textId="77777777" w:rsidR="00C25FA5" w:rsidRPr="005516CD" w:rsidRDefault="00C25FA5" w:rsidP="006B27F4">
      <w:pPr>
        <w:pStyle w:val="ParagraphGenderAssessment"/>
        <w:numPr>
          <w:ilvl w:val="0"/>
          <w:numId w:val="128"/>
        </w:numPr>
        <w:rPr>
          <w:rFonts w:cstheme="majorHAnsi"/>
          <w:color w:val="000000" w:themeColor="text1"/>
          <w:sz w:val="20"/>
          <w:szCs w:val="20"/>
        </w:rPr>
      </w:pPr>
      <w:r w:rsidRPr="005516CD">
        <w:rPr>
          <w:rFonts w:cstheme="majorHAnsi"/>
          <w:b/>
          <w:color w:val="000000" w:themeColor="text1"/>
          <w:sz w:val="20"/>
          <w:szCs w:val="20"/>
        </w:rPr>
        <w:t>Time burden:</w:t>
      </w:r>
      <w:r w:rsidRPr="005516CD">
        <w:rPr>
          <w:rFonts w:cstheme="majorHAnsi"/>
          <w:color w:val="000000" w:themeColor="text1"/>
          <w:sz w:val="20"/>
          <w:szCs w:val="20"/>
        </w:rPr>
        <w:t xml:space="preserve"> Women have a large number of dependents to care for and take on the majority of domestic tasks related to family care, water and wood supplies, and often must travel distances to sell produce. </w:t>
      </w:r>
    </w:p>
    <w:p w14:paraId="750418BA" w14:textId="77777777" w:rsidR="00C25FA5" w:rsidRPr="005516CD" w:rsidRDefault="00C25FA5" w:rsidP="006B27F4">
      <w:pPr>
        <w:pStyle w:val="ParagraphGenderAssessment"/>
        <w:numPr>
          <w:ilvl w:val="0"/>
          <w:numId w:val="128"/>
        </w:numPr>
        <w:rPr>
          <w:rFonts w:cstheme="majorHAnsi"/>
          <w:sz w:val="20"/>
          <w:szCs w:val="20"/>
        </w:rPr>
      </w:pPr>
      <w:r w:rsidRPr="005516CD">
        <w:rPr>
          <w:rFonts w:cstheme="majorHAnsi"/>
          <w:b/>
          <w:sz w:val="20"/>
          <w:szCs w:val="20"/>
        </w:rPr>
        <w:t>Institutional frameworks</w:t>
      </w:r>
      <w:r w:rsidRPr="005516CD">
        <w:rPr>
          <w:rFonts w:cstheme="majorHAnsi"/>
          <w:sz w:val="20"/>
          <w:szCs w:val="20"/>
        </w:rPr>
        <w:t>: Gender equality is not fully addressed in Haiti’s the majority of Haiti’s natural resource management strategies or action plans</w:t>
      </w:r>
    </w:p>
    <w:p w14:paraId="39359AC5" w14:textId="77777777" w:rsidR="00C25FA5" w:rsidRPr="005516CD" w:rsidRDefault="00C25FA5" w:rsidP="006B27F4">
      <w:pPr>
        <w:pStyle w:val="ParagraphGenderAssessment"/>
        <w:numPr>
          <w:ilvl w:val="0"/>
          <w:numId w:val="128"/>
        </w:numPr>
        <w:rPr>
          <w:rFonts w:cstheme="majorHAnsi"/>
          <w:sz w:val="20"/>
          <w:szCs w:val="20"/>
        </w:rPr>
      </w:pPr>
      <w:r w:rsidRPr="005516CD">
        <w:rPr>
          <w:rFonts w:cstheme="majorHAnsi"/>
          <w:b/>
          <w:sz w:val="20"/>
          <w:szCs w:val="20"/>
        </w:rPr>
        <w:t>Participation and representation</w:t>
      </w:r>
      <w:r w:rsidRPr="005516CD">
        <w:rPr>
          <w:rFonts w:cstheme="majorHAnsi"/>
          <w:sz w:val="20"/>
          <w:szCs w:val="20"/>
        </w:rPr>
        <w:t>: Women</w:t>
      </w:r>
      <w:r w:rsidRPr="005516CD">
        <w:rPr>
          <w:rFonts w:eastAsia="MS Gothic" w:cstheme="majorHAnsi"/>
          <w:sz w:val="20"/>
          <w:szCs w:val="20"/>
        </w:rPr>
        <w:t xml:space="preserve"> and women’s groups do not fully participate in policymaking and decisions related to natural resource management. Few women are represented in management positions of co-operative organizations. </w:t>
      </w:r>
    </w:p>
    <w:p w14:paraId="587F5381"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Lessons learnt from previous </w:t>
      </w:r>
      <w:proofErr w:type="spellStart"/>
      <w:r w:rsidRPr="005516CD">
        <w:rPr>
          <w:rFonts w:cstheme="majorHAnsi"/>
          <w:sz w:val="20"/>
          <w:szCs w:val="20"/>
        </w:rPr>
        <w:t>programmes</w:t>
      </w:r>
      <w:proofErr w:type="spellEnd"/>
      <w:r w:rsidRPr="005516CD">
        <w:rPr>
          <w:rFonts w:cstheme="majorHAnsi"/>
          <w:sz w:val="20"/>
          <w:szCs w:val="20"/>
        </w:rPr>
        <w:t xml:space="preserve"> and projects in the country and elsewhere can be drawn upon to improve the transformative potential of tree-rich cropping/agroforestry systems and conservation/landscape management activities, thereby ensuring equal participation and benefit-sharing among men and women and other marginalized groups. These are</w:t>
      </w:r>
      <w:r w:rsidRPr="005516CD">
        <w:rPr>
          <w:rStyle w:val="FootnoteReference"/>
          <w:rFonts w:cstheme="majorHAnsi"/>
          <w:sz w:val="20"/>
          <w:szCs w:val="20"/>
        </w:rPr>
        <w:footnoteReference w:id="231"/>
      </w:r>
      <w:r w:rsidRPr="005516CD">
        <w:rPr>
          <w:rFonts w:cstheme="majorHAnsi"/>
          <w:sz w:val="20"/>
          <w:szCs w:val="20"/>
        </w:rPr>
        <w:t xml:space="preserve">: </w:t>
      </w:r>
    </w:p>
    <w:p w14:paraId="27B350D5" w14:textId="77777777" w:rsidR="00C25FA5" w:rsidRPr="005516CD" w:rsidRDefault="00C25FA5" w:rsidP="00C25FA5">
      <w:pPr>
        <w:pStyle w:val="ParagraphGenderAssessment"/>
        <w:rPr>
          <w:rFonts w:cstheme="majorHAnsi"/>
          <w:b/>
          <w:i/>
          <w:sz w:val="20"/>
          <w:szCs w:val="20"/>
        </w:rPr>
      </w:pPr>
      <w:r w:rsidRPr="005516CD">
        <w:rPr>
          <w:rFonts w:cstheme="majorHAnsi"/>
          <w:b/>
          <w:i/>
          <w:sz w:val="20"/>
          <w:szCs w:val="20"/>
        </w:rPr>
        <w:t>Support and encourage women-led productive activities</w:t>
      </w:r>
    </w:p>
    <w:p w14:paraId="2530D478" w14:textId="77777777" w:rsidR="00C25FA5" w:rsidRPr="005516CD" w:rsidRDefault="00C25FA5" w:rsidP="006B27F4">
      <w:pPr>
        <w:pStyle w:val="ParagraphGenderAssessment"/>
        <w:numPr>
          <w:ilvl w:val="1"/>
          <w:numId w:val="129"/>
        </w:numPr>
        <w:rPr>
          <w:rFonts w:cstheme="majorHAnsi"/>
          <w:sz w:val="20"/>
          <w:szCs w:val="20"/>
        </w:rPr>
      </w:pPr>
      <w:r w:rsidRPr="005516CD">
        <w:rPr>
          <w:rFonts w:eastAsiaTheme="minorHAnsi" w:cstheme="majorHAnsi"/>
          <w:sz w:val="20"/>
          <w:szCs w:val="20"/>
        </w:rPr>
        <w:t xml:space="preserve">Promote poly-valent strategies that encourage farmers to implement or improve production in </w:t>
      </w:r>
      <w:proofErr w:type="spellStart"/>
      <w:r w:rsidRPr="005516CD">
        <w:rPr>
          <w:rFonts w:eastAsiaTheme="minorHAnsi" w:cstheme="majorHAnsi"/>
          <w:i/>
          <w:iCs/>
          <w:sz w:val="20"/>
          <w:szCs w:val="20"/>
        </w:rPr>
        <w:t>jardins</w:t>
      </w:r>
      <w:proofErr w:type="spellEnd"/>
      <w:r w:rsidRPr="005516CD">
        <w:rPr>
          <w:rFonts w:eastAsiaTheme="minorHAnsi" w:cstheme="majorHAnsi"/>
          <w:i/>
          <w:iCs/>
          <w:sz w:val="20"/>
          <w:szCs w:val="20"/>
        </w:rPr>
        <w:t xml:space="preserve"> </w:t>
      </w:r>
    </w:p>
    <w:p w14:paraId="5D53D84F" w14:textId="77777777" w:rsidR="00C25FA5" w:rsidRPr="005516CD" w:rsidRDefault="00C25FA5" w:rsidP="006B27F4">
      <w:pPr>
        <w:pStyle w:val="ParagraphGenderAssessment"/>
        <w:numPr>
          <w:ilvl w:val="1"/>
          <w:numId w:val="129"/>
        </w:numPr>
        <w:rPr>
          <w:rFonts w:cstheme="majorHAnsi"/>
          <w:b/>
          <w:sz w:val="20"/>
          <w:szCs w:val="20"/>
        </w:rPr>
      </w:pPr>
      <w:r w:rsidRPr="005516CD">
        <w:rPr>
          <w:rFonts w:eastAsiaTheme="minorHAnsi" w:cstheme="majorHAnsi"/>
          <w:sz w:val="20"/>
          <w:szCs w:val="20"/>
        </w:rPr>
        <w:t>Promote diversified (</w:t>
      </w:r>
      <w:proofErr w:type="spellStart"/>
      <w:r w:rsidRPr="005516CD">
        <w:rPr>
          <w:rFonts w:eastAsiaTheme="minorHAnsi" w:cstheme="majorHAnsi"/>
          <w:sz w:val="20"/>
          <w:szCs w:val="20"/>
        </w:rPr>
        <w:t>agro</w:t>
      </w:r>
      <w:proofErr w:type="spellEnd"/>
      <w:r w:rsidRPr="005516CD">
        <w:rPr>
          <w:rFonts w:eastAsiaTheme="minorHAnsi" w:cstheme="majorHAnsi"/>
          <w:sz w:val="20"/>
          <w:szCs w:val="20"/>
        </w:rPr>
        <w:t>-forestry) production based on local tree species and crops that support food security (e.g., beans, plantains, corn, tree fruits, legumes and vegetables) as well as soil and biodiversity conservation.</w:t>
      </w:r>
    </w:p>
    <w:p w14:paraId="749E2AEF" w14:textId="77777777" w:rsidR="00C25FA5" w:rsidRPr="005516CD" w:rsidRDefault="00C25FA5" w:rsidP="00C25FA5">
      <w:pPr>
        <w:pStyle w:val="ParagraphGenderAssessment"/>
        <w:rPr>
          <w:rFonts w:cstheme="majorHAnsi"/>
          <w:b/>
          <w:i/>
          <w:sz w:val="20"/>
          <w:szCs w:val="20"/>
        </w:rPr>
      </w:pPr>
      <w:r w:rsidRPr="005516CD">
        <w:rPr>
          <w:rFonts w:cstheme="majorHAnsi"/>
          <w:b/>
          <w:i/>
          <w:sz w:val="20"/>
          <w:szCs w:val="20"/>
        </w:rPr>
        <w:t xml:space="preserve">Promote skills that empower women to improve their businesses strategies and create opportunities to secure new/additional sources of income </w:t>
      </w:r>
    </w:p>
    <w:p w14:paraId="72E203AA" w14:textId="77777777" w:rsidR="00C25FA5" w:rsidRPr="005516CD" w:rsidRDefault="00C25FA5" w:rsidP="006B27F4">
      <w:pPr>
        <w:pStyle w:val="ParagraphGenderAssessment"/>
        <w:numPr>
          <w:ilvl w:val="1"/>
          <w:numId w:val="129"/>
        </w:numPr>
        <w:rPr>
          <w:rFonts w:cstheme="majorHAnsi"/>
          <w:sz w:val="20"/>
          <w:szCs w:val="20"/>
        </w:rPr>
      </w:pPr>
      <w:r w:rsidRPr="005516CD">
        <w:rPr>
          <w:rFonts w:eastAsiaTheme="minorHAnsi" w:cstheme="majorHAnsi"/>
          <w:sz w:val="20"/>
          <w:szCs w:val="20"/>
        </w:rPr>
        <w:t xml:space="preserve">Provide training in entrepreneurship, sales and marketing of </w:t>
      </w:r>
      <w:proofErr w:type="spellStart"/>
      <w:r w:rsidRPr="005516CD">
        <w:rPr>
          <w:rFonts w:eastAsiaTheme="minorHAnsi" w:cstheme="majorHAnsi"/>
          <w:sz w:val="20"/>
          <w:szCs w:val="20"/>
        </w:rPr>
        <w:t>agro</w:t>
      </w:r>
      <w:proofErr w:type="spellEnd"/>
      <w:r w:rsidRPr="005516CD">
        <w:rPr>
          <w:rFonts w:eastAsiaTheme="minorHAnsi" w:cstheme="majorHAnsi"/>
          <w:sz w:val="20"/>
          <w:szCs w:val="20"/>
        </w:rPr>
        <w:t>-ecological and agroforestry products for women</w:t>
      </w:r>
    </w:p>
    <w:p w14:paraId="63B37FE0" w14:textId="77777777" w:rsidR="00C25FA5" w:rsidRPr="005516CD" w:rsidRDefault="00C25FA5" w:rsidP="006B27F4">
      <w:pPr>
        <w:pStyle w:val="ParagraphGenderAssessment"/>
        <w:numPr>
          <w:ilvl w:val="1"/>
          <w:numId w:val="129"/>
        </w:numPr>
        <w:rPr>
          <w:rFonts w:cstheme="majorHAnsi"/>
          <w:sz w:val="20"/>
          <w:szCs w:val="20"/>
        </w:rPr>
      </w:pPr>
      <w:r w:rsidRPr="005516CD">
        <w:rPr>
          <w:rFonts w:cstheme="majorHAnsi"/>
          <w:sz w:val="20"/>
          <w:szCs w:val="20"/>
        </w:rPr>
        <w:t>When export crops, such as coffee and cacao, are promoted, provide training specifically for women, encouraging their engagement in this sector</w:t>
      </w:r>
    </w:p>
    <w:p w14:paraId="783D9C99" w14:textId="77777777" w:rsidR="00C25FA5" w:rsidRPr="005516CD" w:rsidRDefault="00C25FA5" w:rsidP="006B27F4">
      <w:pPr>
        <w:pStyle w:val="ParagraphGenderAssessment"/>
        <w:numPr>
          <w:ilvl w:val="1"/>
          <w:numId w:val="129"/>
        </w:numPr>
        <w:rPr>
          <w:rFonts w:cstheme="majorHAnsi"/>
          <w:sz w:val="20"/>
          <w:szCs w:val="20"/>
        </w:rPr>
      </w:pPr>
      <w:r w:rsidRPr="005516CD">
        <w:rPr>
          <w:rFonts w:cstheme="majorHAnsi"/>
          <w:sz w:val="20"/>
          <w:szCs w:val="20"/>
        </w:rPr>
        <w:t>Promote participation and inclusion of women in agricultural cooperatives through project activities</w:t>
      </w:r>
    </w:p>
    <w:p w14:paraId="6EAD8CD2" w14:textId="77777777" w:rsidR="00C25FA5" w:rsidRPr="005516CD" w:rsidRDefault="00C25FA5" w:rsidP="006B27F4">
      <w:pPr>
        <w:pStyle w:val="ParagraphGenderAssessment"/>
        <w:numPr>
          <w:ilvl w:val="1"/>
          <w:numId w:val="129"/>
        </w:numPr>
        <w:rPr>
          <w:rFonts w:cstheme="majorHAnsi"/>
          <w:sz w:val="20"/>
          <w:szCs w:val="20"/>
        </w:rPr>
      </w:pPr>
      <w:r w:rsidRPr="005516CD">
        <w:rPr>
          <w:rFonts w:cstheme="majorHAnsi"/>
          <w:sz w:val="20"/>
          <w:szCs w:val="20"/>
        </w:rPr>
        <w:t xml:space="preserve">Engage and collaborate with local women’s groups to strengthen regional networks that support women’s involvement in value chains and encourage the development/recruitment of women’s participation in cash crops (coffee and cacao) value chains. </w:t>
      </w:r>
    </w:p>
    <w:p w14:paraId="13003C38" w14:textId="77777777" w:rsidR="00C25FA5" w:rsidRPr="005516CD" w:rsidRDefault="00C25FA5" w:rsidP="00C25FA5">
      <w:pPr>
        <w:pStyle w:val="ParagraphGenderAssessment"/>
        <w:rPr>
          <w:rFonts w:cstheme="majorHAnsi"/>
          <w:b/>
          <w:i/>
          <w:sz w:val="20"/>
          <w:szCs w:val="20"/>
        </w:rPr>
      </w:pPr>
      <w:r w:rsidRPr="005516CD">
        <w:rPr>
          <w:rFonts w:cstheme="majorHAnsi"/>
          <w:b/>
          <w:i/>
          <w:sz w:val="20"/>
          <w:szCs w:val="20"/>
        </w:rPr>
        <w:t>Promoting knowledge and skills that encourage women to be actors in sustainable landscape management</w:t>
      </w:r>
    </w:p>
    <w:p w14:paraId="0B12E16D" w14:textId="77777777" w:rsidR="00C25FA5" w:rsidRPr="005516CD" w:rsidRDefault="00C25FA5" w:rsidP="006B27F4">
      <w:pPr>
        <w:pStyle w:val="ParagraphGenderAssessment"/>
        <w:numPr>
          <w:ilvl w:val="1"/>
          <w:numId w:val="129"/>
        </w:numPr>
        <w:rPr>
          <w:rFonts w:cstheme="majorHAnsi"/>
          <w:sz w:val="20"/>
          <w:szCs w:val="20"/>
        </w:rPr>
      </w:pPr>
      <w:r w:rsidRPr="005516CD">
        <w:rPr>
          <w:rFonts w:eastAsiaTheme="minorHAnsi" w:cstheme="majorHAnsi"/>
          <w:color w:val="000000"/>
          <w:sz w:val="20"/>
          <w:szCs w:val="20"/>
        </w:rPr>
        <w:t>Encourage sensitivity and motivation among communities, youth and women, about planting trees and maintaining forest cover for biodiversity conservation and other ecosystem services</w:t>
      </w:r>
      <w:r w:rsidRPr="005516CD">
        <w:rPr>
          <w:rFonts w:eastAsiaTheme="minorHAnsi" w:cstheme="majorHAnsi"/>
          <w:sz w:val="20"/>
          <w:szCs w:val="20"/>
        </w:rPr>
        <w:t xml:space="preserve"> </w:t>
      </w:r>
    </w:p>
    <w:p w14:paraId="6E5EC519" w14:textId="77777777" w:rsidR="00C25FA5" w:rsidRPr="005516CD" w:rsidRDefault="00C25FA5" w:rsidP="006B27F4">
      <w:pPr>
        <w:pStyle w:val="ParagraphGenderAssessment"/>
        <w:numPr>
          <w:ilvl w:val="1"/>
          <w:numId w:val="129"/>
        </w:numPr>
        <w:rPr>
          <w:rFonts w:cstheme="majorHAnsi"/>
          <w:sz w:val="20"/>
          <w:szCs w:val="20"/>
        </w:rPr>
      </w:pPr>
      <w:r w:rsidRPr="005516CD">
        <w:rPr>
          <w:rFonts w:eastAsiaTheme="minorHAnsi" w:cstheme="majorHAnsi"/>
          <w:sz w:val="20"/>
          <w:szCs w:val="20"/>
        </w:rPr>
        <w:t>Promote energy forests that support the sustainable production of charcoal production and multipurpose forages, including nurseries and training on management of fast-growing trees</w:t>
      </w:r>
      <w:r w:rsidRPr="005516CD">
        <w:rPr>
          <w:rFonts w:cstheme="majorHAnsi"/>
          <w:sz w:val="20"/>
          <w:szCs w:val="20"/>
        </w:rPr>
        <w:t>, and extraction of branches</w:t>
      </w:r>
    </w:p>
    <w:p w14:paraId="44BC3A41" w14:textId="77777777" w:rsidR="00C25FA5" w:rsidRPr="005516CD" w:rsidRDefault="00C25FA5" w:rsidP="006B27F4">
      <w:pPr>
        <w:pStyle w:val="ParagraphGenderAssessment"/>
        <w:numPr>
          <w:ilvl w:val="1"/>
          <w:numId w:val="129"/>
        </w:numPr>
        <w:rPr>
          <w:rFonts w:cstheme="majorHAnsi"/>
          <w:sz w:val="20"/>
          <w:szCs w:val="20"/>
        </w:rPr>
      </w:pPr>
      <w:r w:rsidRPr="005516CD">
        <w:rPr>
          <w:rFonts w:cstheme="majorHAnsi"/>
          <w:sz w:val="20"/>
          <w:szCs w:val="20"/>
        </w:rPr>
        <w:t xml:space="preserve">Ensure that project activities do not reduce women’s access to water and land resources, and do not increase time burdens.  </w:t>
      </w:r>
    </w:p>
    <w:p w14:paraId="0413B84B" w14:textId="77777777" w:rsidR="00C25FA5" w:rsidRPr="005516CD" w:rsidRDefault="00C25FA5" w:rsidP="006B27F4">
      <w:pPr>
        <w:pStyle w:val="ParagraphGenderAssessment"/>
        <w:numPr>
          <w:ilvl w:val="1"/>
          <w:numId w:val="129"/>
        </w:numPr>
        <w:rPr>
          <w:rFonts w:cstheme="majorHAnsi"/>
          <w:sz w:val="20"/>
          <w:szCs w:val="20"/>
        </w:rPr>
      </w:pPr>
      <w:r w:rsidRPr="005516CD">
        <w:rPr>
          <w:rFonts w:cstheme="majorHAnsi"/>
          <w:sz w:val="20"/>
          <w:szCs w:val="20"/>
        </w:rPr>
        <w:t>Promote green value chains</w:t>
      </w:r>
    </w:p>
    <w:p w14:paraId="0391BF36" w14:textId="77777777" w:rsidR="00C25FA5" w:rsidRPr="005516CD" w:rsidRDefault="00C25FA5" w:rsidP="006B27F4">
      <w:pPr>
        <w:pStyle w:val="ParagraphGenderAssessment"/>
        <w:numPr>
          <w:ilvl w:val="0"/>
          <w:numId w:val="135"/>
        </w:numPr>
        <w:ind w:left="284" w:hanging="284"/>
        <w:rPr>
          <w:rFonts w:cstheme="majorHAnsi"/>
          <w:b/>
          <w:color w:val="000000"/>
          <w:sz w:val="20"/>
          <w:szCs w:val="20"/>
        </w:rPr>
      </w:pPr>
      <w:r w:rsidRPr="005516CD">
        <w:rPr>
          <w:rFonts w:cstheme="majorHAnsi"/>
          <w:b/>
          <w:color w:val="000000"/>
          <w:sz w:val="20"/>
          <w:szCs w:val="20"/>
        </w:rPr>
        <w:t>Project design and Implementation</w:t>
      </w:r>
    </w:p>
    <w:p w14:paraId="0961234F"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Gender benefits through this project will be optimized by promoting the full involvement of women in decision-making regarding the design, location and approach of tree-rich systems and conservation management actions. In addition, during the implementation of this project strong efforts will be made to ensure the equal participation of women. Additionally, going forward beyond the implementation phase, equal participation of women should be pursued and achieved in ongoing management and governance on productive landscapes and biodiversity conservation. </w:t>
      </w:r>
    </w:p>
    <w:p w14:paraId="6E943303"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Addressing gender dimensions within the project design and implementation, this proposal works to identify and integrate interventions to provide gender responsive and transformative results. </w:t>
      </w:r>
    </w:p>
    <w:p w14:paraId="4675E576" w14:textId="77777777" w:rsidR="00C25FA5" w:rsidRPr="005516CD" w:rsidRDefault="00C25FA5" w:rsidP="00C25FA5">
      <w:pPr>
        <w:pStyle w:val="ParagraphGenderAssessment"/>
        <w:rPr>
          <w:rFonts w:cstheme="majorHAnsi"/>
          <w:sz w:val="20"/>
          <w:szCs w:val="20"/>
        </w:rPr>
      </w:pPr>
      <w:r w:rsidRPr="005516CD">
        <w:rPr>
          <w:rFonts w:cstheme="majorHAnsi"/>
          <w:sz w:val="20"/>
          <w:szCs w:val="20"/>
        </w:rPr>
        <w:t xml:space="preserve">Recognizing women as key players in agriculture, food security, and sustainable landscape management, and building on the results of the above gender analysis and local stakeholder consultations, the project design and implementation has integrated the following to ensure gender-mainstreaming and equitable benefit sharing: </w:t>
      </w:r>
    </w:p>
    <w:p w14:paraId="33F0C4F2" w14:textId="77777777" w:rsidR="00C25FA5" w:rsidRPr="005516CD" w:rsidRDefault="00C25FA5" w:rsidP="006B27F4">
      <w:pPr>
        <w:pStyle w:val="ParagraphGenderAssessment"/>
        <w:numPr>
          <w:ilvl w:val="1"/>
          <w:numId w:val="134"/>
        </w:numPr>
        <w:rPr>
          <w:rFonts w:cstheme="majorHAnsi"/>
          <w:sz w:val="20"/>
          <w:szCs w:val="20"/>
        </w:rPr>
      </w:pPr>
      <w:r w:rsidRPr="005516CD">
        <w:rPr>
          <w:rFonts w:cstheme="majorHAnsi"/>
          <w:sz w:val="20"/>
          <w:szCs w:val="20"/>
        </w:rPr>
        <w:t>Gender integrated into the implementation plan with identification of concrete actions based on women's and men's priorities at sector level that can contribute to reducing inequalities and promoting sustainable development;</w:t>
      </w:r>
    </w:p>
    <w:p w14:paraId="36C05307" w14:textId="77777777" w:rsidR="00C25FA5" w:rsidRPr="005516CD" w:rsidRDefault="00C25FA5" w:rsidP="006B27F4">
      <w:pPr>
        <w:pStyle w:val="ParagraphGenderAssessment"/>
        <w:numPr>
          <w:ilvl w:val="1"/>
          <w:numId w:val="134"/>
        </w:numPr>
        <w:rPr>
          <w:rFonts w:cstheme="majorHAnsi"/>
          <w:sz w:val="20"/>
          <w:szCs w:val="20"/>
        </w:rPr>
      </w:pPr>
      <w:r w:rsidRPr="005516CD">
        <w:rPr>
          <w:rFonts w:cstheme="majorHAnsi"/>
          <w:sz w:val="20"/>
          <w:szCs w:val="20"/>
        </w:rPr>
        <w:t>Emphasis placed on gender involvement in implementation and, above all, attention paid to the allocation of resources to promote women’s entrepreneurship in the agricultural sector;</w:t>
      </w:r>
    </w:p>
    <w:p w14:paraId="0B3E0897" w14:textId="77777777" w:rsidR="00C25FA5" w:rsidRPr="005516CD" w:rsidRDefault="00C25FA5" w:rsidP="006B27F4">
      <w:pPr>
        <w:pStyle w:val="ParagraphGenderAssessment"/>
        <w:numPr>
          <w:ilvl w:val="1"/>
          <w:numId w:val="134"/>
        </w:numPr>
        <w:rPr>
          <w:rFonts w:cstheme="majorHAnsi"/>
          <w:sz w:val="20"/>
          <w:szCs w:val="20"/>
        </w:rPr>
      </w:pPr>
      <w:r w:rsidRPr="005516CD">
        <w:rPr>
          <w:rFonts w:cstheme="majorHAnsi"/>
          <w:sz w:val="20"/>
          <w:szCs w:val="20"/>
        </w:rPr>
        <w:t>Capacity building of the various actors in the sector, especially gender decision-makers delivered in a gender responsive manner;</w:t>
      </w:r>
    </w:p>
    <w:p w14:paraId="65DC428C" w14:textId="77777777" w:rsidR="00C25FA5" w:rsidRPr="005516CD" w:rsidRDefault="00C25FA5" w:rsidP="006B27F4">
      <w:pPr>
        <w:pStyle w:val="ParagraphGenderAssessment"/>
        <w:numPr>
          <w:ilvl w:val="1"/>
          <w:numId w:val="134"/>
        </w:numPr>
        <w:rPr>
          <w:rFonts w:cstheme="majorHAnsi"/>
          <w:sz w:val="20"/>
          <w:szCs w:val="20"/>
        </w:rPr>
      </w:pPr>
      <w:r w:rsidRPr="005516CD">
        <w:rPr>
          <w:rFonts w:cstheme="majorHAnsi"/>
          <w:sz w:val="20"/>
          <w:szCs w:val="20"/>
        </w:rPr>
        <w:t>Raise awareness among the various partners who will have to intervene in the sector to ensure that gender is better taken into account, including at the local government levels (CASEC);</w:t>
      </w:r>
    </w:p>
    <w:p w14:paraId="4DF1EFD1" w14:textId="77777777" w:rsidR="00C25FA5" w:rsidRPr="005516CD" w:rsidRDefault="00C25FA5" w:rsidP="006B27F4">
      <w:pPr>
        <w:pStyle w:val="ParagraphGenderAssessment"/>
        <w:numPr>
          <w:ilvl w:val="1"/>
          <w:numId w:val="134"/>
        </w:numPr>
        <w:rPr>
          <w:rFonts w:cstheme="majorHAnsi"/>
          <w:sz w:val="20"/>
          <w:szCs w:val="20"/>
        </w:rPr>
      </w:pPr>
      <w:r w:rsidRPr="005516CD">
        <w:rPr>
          <w:rFonts w:cstheme="majorHAnsi"/>
          <w:sz w:val="20"/>
          <w:szCs w:val="20"/>
        </w:rPr>
        <w:t xml:space="preserve">Capitalize and </w:t>
      </w:r>
      <w:proofErr w:type="spellStart"/>
      <w:r w:rsidRPr="005516CD">
        <w:rPr>
          <w:rFonts w:cstheme="majorHAnsi"/>
          <w:sz w:val="20"/>
          <w:szCs w:val="20"/>
        </w:rPr>
        <w:t>visibilize</w:t>
      </w:r>
      <w:proofErr w:type="spellEnd"/>
      <w:r w:rsidRPr="005516CD">
        <w:rPr>
          <w:rFonts w:cstheme="majorHAnsi"/>
          <w:sz w:val="20"/>
          <w:szCs w:val="20"/>
        </w:rPr>
        <w:t xml:space="preserve"> gender actions within the sector through written publications or audio-visual productions;</w:t>
      </w:r>
    </w:p>
    <w:p w14:paraId="558A0189" w14:textId="77777777" w:rsidR="00C25FA5" w:rsidRPr="005516CD" w:rsidRDefault="00C25FA5" w:rsidP="006B27F4">
      <w:pPr>
        <w:pStyle w:val="ListParagraph"/>
        <w:widowControl w:val="0"/>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Strategies included for targeting beneficiaries in the field to ensure the effective participation of women and men at all stages; Specific strategies to include / target female-headed households;</w:t>
      </w:r>
    </w:p>
    <w:p w14:paraId="2A69D217" w14:textId="77777777" w:rsidR="00C25FA5" w:rsidRPr="005516CD" w:rsidRDefault="00C25FA5" w:rsidP="006B27F4">
      <w:pPr>
        <w:pStyle w:val="ParagraphGenderAssessment"/>
        <w:numPr>
          <w:ilvl w:val="1"/>
          <w:numId w:val="134"/>
        </w:numPr>
        <w:rPr>
          <w:rFonts w:cstheme="majorHAnsi"/>
          <w:sz w:val="20"/>
          <w:szCs w:val="20"/>
        </w:rPr>
      </w:pPr>
      <w:r w:rsidRPr="005516CD">
        <w:rPr>
          <w:rFonts w:cstheme="majorHAnsi"/>
          <w:sz w:val="20"/>
          <w:szCs w:val="20"/>
        </w:rPr>
        <w:t>Communication actions planned for a change in behavior on the ground with a view to eradicating certain harmful practices that prevent women from enjoying their rights in land tenure, other factors of production, food practices, access and income control, etc.;</w:t>
      </w:r>
    </w:p>
    <w:p w14:paraId="38AD96B8" w14:textId="77777777" w:rsidR="00C25FA5" w:rsidRPr="005516CD" w:rsidRDefault="00C25FA5" w:rsidP="006B27F4">
      <w:pPr>
        <w:pStyle w:val="ParagraphGenderAssessment"/>
        <w:numPr>
          <w:ilvl w:val="1"/>
          <w:numId w:val="134"/>
        </w:numPr>
        <w:rPr>
          <w:rFonts w:cstheme="majorHAnsi"/>
          <w:sz w:val="20"/>
          <w:szCs w:val="20"/>
        </w:rPr>
      </w:pPr>
      <w:r w:rsidRPr="005516CD">
        <w:rPr>
          <w:rFonts w:cstheme="majorHAnsi"/>
          <w:sz w:val="20"/>
          <w:szCs w:val="20"/>
        </w:rPr>
        <w:t>Project actions will prioritize equitable participation at all levels (recruitment, decision-making, and positions of responsibility, participation in meetings, workshops, and seminars, training sessions, research, extension and others.</w:t>
      </w:r>
    </w:p>
    <w:p w14:paraId="767BECED" w14:textId="77777777" w:rsidR="00C25FA5" w:rsidRPr="005516CD" w:rsidRDefault="00C25FA5" w:rsidP="006B27F4">
      <w:pPr>
        <w:pStyle w:val="ListParagraph"/>
        <w:widowControl w:val="0"/>
        <w:numPr>
          <w:ilvl w:val="1"/>
          <w:numId w:val="13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Identify gaps in gender equality through the use of sex-disaggregated data, and devote resources and expertise for implementing such strategies, monitoring the results of implementation, and holding individuals and institutions accountable for outcomes that promote gender equality.</w:t>
      </w:r>
    </w:p>
    <w:p w14:paraId="0B3D495F" w14:textId="77777777" w:rsidR="00C25FA5" w:rsidRPr="005516CD" w:rsidRDefault="00C25FA5" w:rsidP="00C25FA5">
      <w:pPr>
        <w:pStyle w:val="ListParagraph"/>
        <w:widowControl w:val="0"/>
        <w:autoSpaceDE w:val="0"/>
        <w:autoSpaceDN w:val="0"/>
        <w:adjustRightInd w:val="0"/>
        <w:jc w:val="both"/>
        <w:rPr>
          <w:rFonts w:asciiTheme="majorHAnsi" w:hAnsiTheme="majorHAnsi" w:cstheme="majorHAnsi"/>
          <w:sz w:val="20"/>
          <w:szCs w:val="20"/>
        </w:rPr>
      </w:pPr>
    </w:p>
    <w:p w14:paraId="49346BFF" w14:textId="77777777" w:rsidR="00C25FA5" w:rsidRPr="005516CD" w:rsidRDefault="00C25FA5" w:rsidP="006B27F4">
      <w:pPr>
        <w:pStyle w:val="ListParagraph"/>
        <w:widowControl w:val="0"/>
        <w:numPr>
          <w:ilvl w:val="1"/>
          <w:numId w:val="13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Inclusion of a Gender Specialist position / provision of advice within the project to implement gender related activities.</w:t>
      </w:r>
    </w:p>
    <w:p w14:paraId="7B1FEF19" w14:textId="77777777" w:rsidR="00C25FA5" w:rsidRPr="005516CD" w:rsidRDefault="00C25FA5" w:rsidP="00C25FA5">
      <w:pPr>
        <w:pStyle w:val="ListParagraph"/>
        <w:widowControl w:val="0"/>
        <w:autoSpaceDE w:val="0"/>
        <w:autoSpaceDN w:val="0"/>
        <w:adjustRightInd w:val="0"/>
        <w:jc w:val="both"/>
        <w:rPr>
          <w:rFonts w:asciiTheme="majorHAnsi" w:hAnsiTheme="majorHAnsi" w:cstheme="majorHAnsi"/>
          <w:sz w:val="20"/>
          <w:szCs w:val="20"/>
        </w:rPr>
      </w:pPr>
    </w:p>
    <w:p w14:paraId="13248DA4" w14:textId="77777777" w:rsidR="00C25FA5" w:rsidRPr="005516CD" w:rsidRDefault="00C25FA5" w:rsidP="00C25FA5">
      <w:pPr>
        <w:pStyle w:val="textetero"/>
        <w:rPr>
          <w:rFonts w:asciiTheme="majorHAnsi" w:eastAsia="Times New Roman" w:hAnsiTheme="majorHAnsi" w:cstheme="majorHAnsi"/>
          <w:sz w:val="20"/>
          <w:szCs w:val="20"/>
          <w:lang w:val="en-US"/>
        </w:rPr>
      </w:pPr>
      <w:r w:rsidRPr="005516CD">
        <w:rPr>
          <w:rFonts w:asciiTheme="majorHAnsi" w:eastAsia="Times New Roman" w:hAnsiTheme="majorHAnsi" w:cstheme="majorHAnsi"/>
          <w:sz w:val="20"/>
          <w:szCs w:val="20"/>
          <w:lang w:val="en-US"/>
        </w:rPr>
        <w:t>Support for value chain development through environmental standards or certification should include a clear, policy and provisions on women's participation and gender equality</w:t>
      </w:r>
    </w:p>
    <w:p w14:paraId="7C5A9448" w14:textId="77777777" w:rsidR="00C25FA5" w:rsidRPr="005516CD" w:rsidRDefault="00C25FA5" w:rsidP="00C25FA5">
      <w:pPr>
        <w:pStyle w:val="ListParagraph"/>
        <w:widowControl w:val="0"/>
        <w:autoSpaceDE w:val="0"/>
        <w:autoSpaceDN w:val="0"/>
        <w:adjustRightInd w:val="0"/>
        <w:jc w:val="both"/>
        <w:rPr>
          <w:rFonts w:asciiTheme="majorHAnsi" w:hAnsiTheme="majorHAnsi" w:cstheme="majorHAnsi"/>
          <w:sz w:val="20"/>
          <w:szCs w:val="20"/>
        </w:rPr>
      </w:pPr>
    </w:p>
    <w:p w14:paraId="39F787D7" w14:textId="77777777" w:rsidR="00C25FA5" w:rsidRPr="005516CD" w:rsidRDefault="00C25FA5" w:rsidP="00C25FA5">
      <w:pPr>
        <w:jc w:val="both"/>
        <w:rPr>
          <w:rFonts w:asciiTheme="majorHAnsi" w:hAnsiTheme="majorHAnsi" w:cstheme="majorHAnsi"/>
          <w:sz w:val="20"/>
          <w:szCs w:val="20"/>
        </w:rPr>
      </w:pPr>
      <w:r w:rsidRPr="005516CD">
        <w:rPr>
          <w:rFonts w:asciiTheme="majorHAnsi" w:hAnsiTheme="majorHAnsi" w:cstheme="majorHAnsi"/>
          <w:sz w:val="20"/>
          <w:szCs w:val="20"/>
        </w:rPr>
        <w:t>During project implementation, qualitative assessments will be conducted on the gender-specific benefits that can be directly associated to the project.  This will be incorporated in the annual Project Implementation Report, Mid-Term Evaluation, and Terminal Evaluation. Indicators to quantify the achievement of project objectives in relation to gender equality will include men and women who had access to affordable solutions, number of men and women employed from the jobs created by the project, training opportunities, knowledge management and information dissemination.</w:t>
      </w:r>
    </w:p>
    <w:p w14:paraId="68231C58" w14:textId="77777777" w:rsidR="00C25FA5" w:rsidRPr="005516CD" w:rsidRDefault="00C25FA5" w:rsidP="00C25FA5">
      <w:pPr>
        <w:pStyle w:val="Default"/>
        <w:rPr>
          <w:rFonts w:asciiTheme="majorHAnsi" w:hAnsiTheme="majorHAnsi" w:cstheme="majorHAnsi"/>
          <w:color w:val="2E74B5" w:themeColor="accent1" w:themeShade="BF"/>
          <w:sz w:val="20"/>
          <w:szCs w:val="20"/>
        </w:rPr>
      </w:pPr>
    </w:p>
    <w:p w14:paraId="2603429F"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Stakeholder engagement</w:t>
      </w:r>
    </w:p>
    <w:p w14:paraId="661FA1C1" w14:textId="77777777" w:rsidR="00C25FA5" w:rsidRPr="005516CD" w:rsidRDefault="00C25FA5" w:rsidP="00C25FA5">
      <w:pPr>
        <w:widowControl w:val="0"/>
        <w:autoSpaceDE w:val="0"/>
        <w:autoSpaceDN w:val="0"/>
        <w:adjustRightInd w:val="0"/>
        <w:jc w:val="both"/>
        <w:rPr>
          <w:rFonts w:asciiTheme="majorHAnsi" w:hAnsiTheme="majorHAnsi" w:cstheme="majorHAnsi"/>
          <w:sz w:val="20"/>
          <w:szCs w:val="20"/>
        </w:rPr>
      </w:pPr>
      <w:r w:rsidRPr="005516CD">
        <w:rPr>
          <w:rFonts w:asciiTheme="majorHAnsi" w:hAnsiTheme="majorHAnsi" w:cstheme="majorHAnsi"/>
          <w:color w:val="000000"/>
          <w:sz w:val="20"/>
          <w:szCs w:val="20"/>
        </w:rPr>
        <w:t xml:space="preserve">Ensuring that project activities are gender-sensitive and gender-responsive requires the full and effective participation of women from local communities as well as women’s interest/advocacy groups and organizations across all levels, from the local to the national. This includes, for example, the involvement of </w:t>
      </w:r>
      <w:r w:rsidRPr="005516CD">
        <w:rPr>
          <w:rFonts w:asciiTheme="majorHAnsi" w:hAnsiTheme="majorHAnsi" w:cstheme="majorHAnsi"/>
          <w:sz w:val="20"/>
          <w:szCs w:val="20"/>
        </w:rPr>
        <w:t xml:space="preserve">women’s organizations, farmers cooperatives, </w:t>
      </w:r>
      <w:r w:rsidRPr="005516CD">
        <w:rPr>
          <w:rFonts w:asciiTheme="majorHAnsi" w:hAnsiTheme="majorHAnsi" w:cstheme="majorHAnsi"/>
          <w:sz w:val="20"/>
          <w:szCs w:val="20"/>
          <w:lang w:val="en-CA"/>
        </w:rPr>
        <w:t xml:space="preserve">The Ministry of Women and Women's Rights (MCFDF), </w:t>
      </w:r>
      <w:r w:rsidRPr="005516CD">
        <w:rPr>
          <w:rFonts w:asciiTheme="majorHAnsi" w:hAnsiTheme="majorHAnsi" w:cstheme="majorHAnsi"/>
          <w:color w:val="000000"/>
          <w:sz w:val="20"/>
          <w:szCs w:val="20"/>
        </w:rPr>
        <w:t>and other relevant actors at the initial stages of the project design and implementation, in order to ensure adequate representation of women’s issues and gender-sensitive activities throughout the project cycle</w:t>
      </w:r>
      <w:r w:rsidRPr="005516CD">
        <w:rPr>
          <w:rFonts w:asciiTheme="majorHAnsi" w:hAnsiTheme="majorHAnsi" w:cstheme="majorHAnsi"/>
          <w:sz w:val="20"/>
          <w:szCs w:val="20"/>
        </w:rPr>
        <w:t>. The involvement of these stakeholder in the project design, aided in identifying gender issues relevant to the design, implementation, and monitoring of tree-rich cropping/agroforestry systems and landscape/conservation management activities.</w:t>
      </w:r>
    </w:p>
    <w:p w14:paraId="668D5AB4" w14:textId="77777777" w:rsidR="00C25FA5" w:rsidRPr="005516CD" w:rsidRDefault="00C25FA5" w:rsidP="00C25FA5">
      <w:pPr>
        <w:widowControl w:val="0"/>
        <w:autoSpaceDE w:val="0"/>
        <w:autoSpaceDN w:val="0"/>
        <w:adjustRightInd w:val="0"/>
        <w:jc w:val="both"/>
        <w:rPr>
          <w:rFonts w:asciiTheme="majorHAnsi" w:hAnsiTheme="majorHAnsi" w:cstheme="majorHAnsi"/>
          <w:sz w:val="20"/>
          <w:szCs w:val="20"/>
        </w:rPr>
      </w:pPr>
    </w:p>
    <w:p w14:paraId="57DD9351" w14:textId="337BF688" w:rsidR="00C25FA5" w:rsidRPr="005516CD" w:rsidRDefault="00C25FA5" w:rsidP="00C25FA5">
      <w:pPr>
        <w:widowControl w:val="0"/>
        <w:autoSpaceDE w:val="0"/>
        <w:autoSpaceDN w:val="0"/>
        <w:adjustRightInd w:val="0"/>
        <w:jc w:val="both"/>
        <w:rPr>
          <w:rFonts w:asciiTheme="majorHAnsi" w:hAnsiTheme="majorHAnsi" w:cstheme="majorHAnsi"/>
          <w:sz w:val="20"/>
          <w:szCs w:val="20"/>
        </w:rPr>
      </w:pPr>
      <w:r w:rsidRPr="005516CD">
        <w:rPr>
          <w:rFonts w:asciiTheme="majorHAnsi" w:hAnsiTheme="majorHAnsi" w:cstheme="majorHAnsi"/>
          <w:sz w:val="20"/>
          <w:szCs w:val="20"/>
        </w:rPr>
        <w:t xml:space="preserve">Previous stakeholder consultations and engagement </w:t>
      </w:r>
      <w:r w:rsidRPr="005516CD">
        <w:rPr>
          <w:rFonts w:asciiTheme="majorHAnsi" w:hAnsiTheme="majorHAnsi" w:cstheme="majorHAnsi"/>
          <w:sz w:val="20"/>
          <w:szCs w:val="20"/>
          <w:lang w:val="en-CA"/>
        </w:rPr>
        <w:t xml:space="preserve">activities are </w:t>
      </w:r>
      <w:r w:rsidRPr="005516CD">
        <w:rPr>
          <w:rFonts w:asciiTheme="majorHAnsi" w:hAnsiTheme="majorHAnsi" w:cstheme="majorHAnsi"/>
          <w:sz w:val="20"/>
          <w:szCs w:val="20"/>
        </w:rPr>
        <w:t xml:space="preserve">described in the Section on </w:t>
      </w:r>
      <w:r w:rsidRPr="005516CD">
        <w:rPr>
          <w:rFonts w:asciiTheme="majorHAnsi" w:hAnsiTheme="majorHAnsi" w:cstheme="majorHAnsi"/>
          <w:sz w:val="20"/>
          <w:szCs w:val="20"/>
        </w:rPr>
        <w:fldChar w:fldCharType="begin"/>
      </w:r>
      <w:r w:rsidRPr="005516CD">
        <w:rPr>
          <w:rFonts w:asciiTheme="majorHAnsi" w:hAnsiTheme="majorHAnsi" w:cstheme="majorHAnsi"/>
          <w:sz w:val="20"/>
          <w:szCs w:val="20"/>
        </w:rPr>
        <w:instrText xml:space="preserve"> REF _Ref528928004 \h  \* MERGEFORMAT </w:instrText>
      </w:r>
      <w:r w:rsidRPr="005516CD">
        <w:rPr>
          <w:rFonts w:asciiTheme="majorHAnsi" w:hAnsiTheme="majorHAnsi" w:cstheme="majorHAnsi"/>
          <w:sz w:val="20"/>
          <w:szCs w:val="20"/>
        </w:rPr>
      </w:r>
      <w:r w:rsidRPr="005516CD">
        <w:rPr>
          <w:rFonts w:asciiTheme="majorHAnsi" w:hAnsiTheme="majorHAnsi" w:cstheme="majorHAnsi"/>
          <w:sz w:val="20"/>
          <w:szCs w:val="20"/>
        </w:rPr>
        <w:fldChar w:fldCharType="separate"/>
      </w:r>
      <w:r w:rsidR="00DD5948" w:rsidRPr="00DD5948">
        <w:rPr>
          <w:rFonts w:asciiTheme="majorHAnsi" w:hAnsiTheme="majorHAnsi" w:cstheme="majorHAnsi"/>
          <w:sz w:val="20"/>
          <w:szCs w:val="20"/>
          <w:lang w:val="en-CA"/>
        </w:rPr>
        <w:t>Field survey and stakeholder consultations</w:t>
      </w:r>
      <w:r w:rsidRPr="005516CD">
        <w:rPr>
          <w:rFonts w:asciiTheme="majorHAnsi" w:hAnsiTheme="majorHAnsi" w:cstheme="majorHAnsi"/>
          <w:sz w:val="20"/>
          <w:szCs w:val="20"/>
        </w:rPr>
        <w:fldChar w:fldCharType="end"/>
      </w:r>
      <w:r w:rsidRPr="005516CD">
        <w:rPr>
          <w:rFonts w:asciiTheme="majorHAnsi" w:hAnsiTheme="majorHAnsi" w:cstheme="majorHAnsi"/>
          <w:sz w:val="20"/>
          <w:szCs w:val="20"/>
        </w:rPr>
        <w:t xml:space="preserve">. An additional annex to this proposal shows the full results from the stakeholder engagement, which details the specific issues and difficulties, that women face regarding agricultural livelihoods and public participation. The specific issues they raised include are described in the Section on </w:t>
      </w:r>
      <w:r w:rsidRPr="005516CD">
        <w:rPr>
          <w:rFonts w:asciiTheme="majorHAnsi" w:hAnsiTheme="majorHAnsi" w:cstheme="majorHAnsi"/>
          <w:sz w:val="20"/>
          <w:szCs w:val="20"/>
        </w:rPr>
        <w:fldChar w:fldCharType="begin"/>
      </w:r>
      <w:r w:rsidRPr="005516CD">
        <w:rPr>
          <w:rFonts w:asciiTheme="majorHAnsi" w:hAnsiTheme="majorHAnsi" w:cstheme="majorHAnsi"/>
          <w:sz w:val="20"/>
          <w:szCs w:val="20"/>
        </w:rPr>
        <w:instrText xml:space="preserve"> REF _Ref528928107 \h  \* MERGEFORMAT </w:instrText>
      </w:r>
      <w:r w:rsidRPr="005516CD">
        <w:rPr>
          <w:rFonts w:asciiTheme="majorHAnsi" w:hAnsiTheme="majorHAnsi" w:cstheme="majorHAnsi"/>
          <w:sz w:val="20"/>
          <w:szCs w:val="20"/>
        </w:rPr>
      </w:r>
      <w:r w:rsidRPr="005516CD">
        <w:rPr>
          <w:rFonts w:asciiTheme="majorHAnsi" w:hAnsiTheme="majorHAnsi" w:cstheme="majorHAnsi"/>
          <w:sz w:val="20"/>
          <w:szCs w:val="20"/>
        </w:rPr>
        <w:fldChar w:fldCharType="separate"/>
      </w:r>
      <w:r w:rsidR="00DD5948" w:rsidRPr="00DD5948">
        <w:rPr>
          <w:rFonts w:asciiTheme="majorHAnsi" w:hAnsiTheme="majorHAnsi" w:cstheme="majorHAnsi"/>
          <w:sz w:val="20"/>
          <w:szCs w:val="20"/>
          <w:lang w:val="en-CA"/>
        </w:rPr>
        <w:t>Challenges, opportunities and lessons learned</w:t>
      </w:r>
      <w:r w:rsidRPr="005516CD">
        <w:rPr>
          <w:rFonts w:asciiTheme="majorHAnsi" w:hAnsiTheme="majorHAnsi" w:cstheme="majorHAnsi"/>
          <w:sz w:val="20"/>
          <w:szCs w:val="20"/>
        </w:rPr>
        <w:fldChar w:fldCharType="end"/>
      </w:r>
      <w:r w:rsidRPr="005516CD">
        <w:rPr>
          <w:rFonts w:asciiTheme="majorHAnsi" w:hAnsiTheme="majorHAnsi" w:cstheme="majorHAnsi"/>
          <w:sz w:val="20"/>
          <w:szCs w:val="20"/>
        </w:rPr>
        <w:t xml:space="preserve">. </w:t>
      </w:r>
    </w:p>
    <w:p w14:paraId="6A6961CA" w14:textId="77777777" w:rsidR="00C25FA5" w:rsidRPr="005516CD" w:rsidRDefault="00C25FA5" w:rsidP="00C25FA5">
      <w:pPr>
        <w:pStyle w:val="Default"/>
        <w:rPr>
          <w:rFonts w:asciiTheme="majorHAnsi" w:hAnsiTheme="majorHAnsi" w:cstheme="majorHAnsi"/>
          <w:color w:val="2E74B5" w:themeColor="accent1" w:themeShade="BF"/>
          <w:sz w:val="20"/>
          <w:szCs w:val="20"/>
        </w:rPr>
      </w:pPr>
    </w:p>
    <w:p w14:paraId="67D97AA4" w14:textId="77777777" w:rsidR="00C25FA5" w:rsidRPr="005516CD" w:rsidRDefault="00C25FA5" w:rsidP="002342FC">
      <w:pPr>
        <w:pStyle w:val="ParagraphGenderAssessment"/>
        <w:rPr>
          <w:rFonts w:cstheme="majorHAnsi"/>
          <w:b/>
          <w:sz w:val="20"/>
          <w:szCs w:val="20"/>
        </w:rPr>
      </w:pPr>
      <w:r w:rsidRPr="005516CD">
        <w:rPr>
          <w:rFonts w:cstheme="majorHAnsi"/>
          <w:b/>
          <w:sz w:val="20"/>
          <w:szCs w:val="20"/>
        </w:rPr>
        <w:t>Monitoring and evaluation</w:t>
      </w:r>
    </w:p>
    <w:p w14:paraId="1D42D3E0" w14:textId="77777777" w:rsidR="00C25FA5" w:rsidRPr="005516CD" w:rsidRDefault="00C25FA5" w:rsidP="00C25FA5">
      <w:pPr>
        <w:widowControl w:val="0"/>
        <w:autoSpaceDE w:val="0"/>
        <w:autoSpaceDN w:val="0"/>
        <w:adjustRightInd w:val="0"/>
        <w:jc w:val="both"/>
        <w:rPr>
          <w:rFonts w:asciiTheme="majorHAnsi" w:hAnsiTheme="majorHAnsi" w:cstheme="majorHAnsi"/>
          <w:sz w:val="20"/>
          <w:szCs w:val="20"/>
        </w:rPr>
      </w:pPr>
      <w:r w:rsidRPr="005516CD">
        <w:rPr>
          <w:rFonts w:asciiTheme="majorHAnsi" w:hAnsiTheme="majorHAnsi" w:cstheme="majorHAnsi"/>
          <w:sz w:val="20"/>
          <w:szCs w:val="20"/>
        </w:rPr>
        <w:t xml:space="preserve">The analysis </w:t>
      </w:r>
      <w:r w:rsidRPr="005516CD">
        <w:rPr>
          <w:rFonts w:asciiTheme="majorHAnsi" w:hAnsiTheme="majorHAnsi" w:cstheme="majorHAnsi"/>
          <w:color w:val="000000"/>
          <w:sz w:val="20"/>
          <w:szCs w:val="20"/>
        </w:rPr>
        <w:t>identified</w:t>
      </w:r>
      <w:r w:rsidRPr="005516CD">
        <w:rPr>
          <w:rFonts w:asciiTheme="majorHAnsi" w:hAnsiTheme="majorHAnsi" w:cstheme="majorHAnsi"/>
          <w:sz w:val="20"/>
          <w:szCs w:val="20"/>
        </w:rPr>
        <w:t xml:space="preserve"> the differences between men and women that are relevant to biodiversity conservation in productive landscapes. These include gender disparities in farm production, engagement in value-chains, poverty, and access to productive land/land tenure security, and participation in decision-making processes. Data has been collated to establish a baseline, which shall be monitored throughout project implementation and evaluation. </w:t>
      </w:r>
    </w:p>
    <w:p w14:paraId="27C6FA3D" w14:textId="77777777" w:rsidR="00C25FA5" w:rsidRPr="005516CD" w:rsidRDefault="00C25FA5" w:rsidP="00C25FA5">
      <w:pPr>
        <w:spacing w:before="100" w:beforeAutospacing="1" w:after="100" w:afterAutospacing="1"/>
        <w:jc w:val="both"/>
        <w:rPr>
          <w:rFonts w:asciiTheme="majorHAnsi" w:hAnsiTheme="majorHAnsi" w:cstheme="majorHAnsi"/>
          <w:sz w:val="20"/>
          <w:szCs w:val="20"/>
        </w:rPr>
      </w:pPr>
      <w:r w:rsidRPr="005516CD">
        <w:rPr>
          <w:rFonts w:asciiTheme="majorHAnsi" w:hAnsiTheme="majorHAnsi" w:cstheme="majorHAnsi"/>
          <w:sz w:val="20"/>
          <w:szCs w:val="20"/>
        </w:rPr>
        <w:t>In order to monitor and evaluate progress of the project, the following indicators can be measured:</w:t>
      </w:r>
    </w:p>
    <w:p w14:paraId="177AC30A" w14:textId="77777777" w:rsidR="00C25FA5" w:rsidRPr="005516CD" w:rsidRDefault="00C25FA5" w:rsidP="00C25FA5">
      <w:pPr>
        <w:spacing w:before="100" w:beforeAutospacing="1" w:after="100" w:afterAutospacing="1"/>
        <w:jc w:val="both"/>
        <w:rPr>
          <w:rFonts w:asciiTheme="majorHAnsi" w:hAnsiTheme="majorHAnsi" w:cstheme="majorHAnsi"/>
          <w:sz w:val="20"/>
          <w:szCs w:val="20"/>
        </w:rPr>
      </w:pPr>
      <w:r w:rsidRPr="005516CD">
        <w:rPr>
          <w:rFonts w:asciiTheme="majorHAnsi" w:hAnsiTheme="majorHAnsi" w:cstheme="majorHAnsi"/>
          <w:sz w:val="20"/>
          <w:szCs w:val="20"/>
        </w:rPr>
        <w:t>Quantitative outcomes:</w:t>
      </w:r>
    </w:p>
    <w:p w14:paraId="5B99180B" w14:textId="77777777" w:rsidR="00C25FA5" w:rsidRPr="005516CD" w:rsidRDefault="00C25FA5" w:rsidP="006B27F4">
      <w:pPr>
        <w:pStyle w:val="ListParagraph"/>
        <w:widowControl w:val="0"/>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Female-headed households as beneficiaries:</w:t>
      </w:r>
    </w:p>
    <w:p w14:paraId="1B3C4DCB" w14:textId="77777777" w:rsidR="00C25FA5" w:rsidRPr="005516CD" w:rsidRDefault="00C25FA5" w:rsidP="006B27F4">
      <w:pPr>
        <w:pStyle w:val="ListParagraph"/>
        <w:widowControl w:val="0"/>
        <w:numPr>
          <w:ilvl w:val="1"/>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 of women-level households with implemented cropping systems/receiving financial support</w:t>
      </w:r>
    </w:p>
    <w:p w14:paraId="73811885" w14:textId="77777777" w:rsidR="00C25FA5" w:rsidRPr="005516CD" w:rsidRDefault="00C25FA5" w:rsidP="006B27F4">
      <w:pPr>
        <w:pStyle w:val="ListParagraph"/>
        <w:widowControl w:val="0"/>
        <w:numPr>
          <w:ilvl w:val="1"/>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 of women participating in training/capacity building and knowledge sharing activities for biodiversity conservation and sustainable management</w:t>
      </w:r>
    </w:p>
    <w:p w14:paraId="3A9693DD" w14:textId="77777777" w:rsidR="00C25FA5" w:rsidRPr="005516CD" w:rsidRDefault="00C25FA5" w:rsidP="006B27F4">
      <w:pPr>
        <w:pStyle w:val="ListParagraph"/>
        <w:widowControl w:val="0"/>
        <w:numPr>
          <w:ilvl w:val="1"/>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 of women participating in value-chains (new/established green/export commodity)</w:t>
      </w:r>
    </w:p>
    <w:p w14:paraId="3DB34E57" w14:textId="77777777" w:rsidR="00C25FA5" w:rsidRPr="005516CD" w:rsidRDefault="00C25FA5" w:rsidP="006B27F4">
      <w:pPr>
        <w:pStyle w:val="ListParagraph"/>
        <w:widowControl w:val="0"/>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 xml:space="preserve">Improvements in food security and nutrition: </w:t>
      </w:r>
    </w:p>
    <w:p w14:paraId="22D13D45" w14:textId="77777777" w:rsidR="00C25FA5" w:rsidRPr="005516CD" w:rsidRDefault="00C25FA5" w:rsidP="006B27F4">
      <w:pPr>
        <w:pStyle w:val="ListParagraph"/>
        <w:widowControl w:val="0"/>
        <w:numPr>
          <w:ilvl w:val="1"/>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Diversity of crops grown</w:t>
      </w:r>
    </w:p>
    <w:p w14:paraId="5028357D" w14:textId="77777777" w:rsidR="00C25FA5" w:rsidRPr="005516CD" w:rsidRDefault="00C25FA5" w:rsidP="006B27F4">
      <w:pPr>
        <w:pStyle w:val="ListParagraph"/>
        <w:widowControl w:val="0"/>
        <w:numPr>
          <w:ilvl w:val="1"/>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Proportion of crops from consumption/sale</w:t>
      </w:r>
    </w:p>
    <w:p w14:paraId="3198E9CF" w14:textId="77777777" w:rsidR="00C25FA5" w:rsidRPr="005516CD" w:rsidRDefault="00C25FA5" w:rsidP="006B27F4">
      <w:pPr>
        <w:pStyle w:val="ListParagraph"/>
        <w:widowControl w:val="0"/>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Improved livelihoods:</w:t>
      </w:r>
    </w:p>
    <w:p w14:paraId="524E652B" w14:textId="77777777" w:rsidR="00C25FA5" w:rsidRPr="005516CD" w:rsidRDefault="00C25FA5" w:rsidP="006B27F4">
      <w:pPr>
        <w:pStyle w:val="ListParagraph"/>
        <w:widowControl w:val="0"/>
        <w:numPr>
          <w:ilvl w:val="1"/>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Income generated</w:t>
      </w:r>
    </w:p>
    <w:p w14:paraId="248BFA97" w14:textId="77777777" w:rsidR="00C25FA5" w:rsidRPr="005516CD" w:rsidRDefault="00C25FA5" w:rsidP="006B27F4">
      <w:pPr>
        <w:pStyle w:val="ListParagraph"/>
        <w:widowControl w:val="0"/>
        <w:numPr>
          <w:ilvl w:val="1"/>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Time burdens: unpaid and farm labor</w:t>
      </w:r>
    </w:p>
    <w:p w14:paraId="29192FC6" w14:textId="77777777" w:rsidR="00C25FA5" w:rsidRPr="005516CD" w:rsidRDefault="00C25FA5" w:rsidP="006B27F4">
      <w:pPr>
        <w:pStyle w:val="ListParagraph"/>
        <w:widowControl w:val="0"/>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 xml:space="preserve">Participation: </w:t>
      </w:r>
    </w:p>
    <w:p w14:paraId="464A8C41" w14:textId="77777777" w:rsidR="00C25FA5" w:rsidRPr="005516CD" w:rsidRDefault="00C25FA5" w:rsidP="006B27F4">
      <w:pPr>
        <w:pStyle w:val="ListParagraph"/>
        <w:widowControl w:val="0"/>
        <w:numPr>
          <w:ilvl w:val="1"/>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Women’s inclusion in the development of management plans for landscape conservation (local and national level) and socio-economic development plans</w:t>
      </w:r>
    </w:p>
    <w:p w14:paraId="34F384D6" w14:textId="77777777" w:rsidR="00C25FA5" w:rsidRPr="005516CD" w:rsidRDefault="00C25FA5" w:rsidP="006B27F4">
      <w:pPr>
        <w:pStyle w:val="ListParagraph"/>
        <w:widowControl w:val="0"/>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Business development services component targeting rural women entrepreneur groups.</w:t>
      </w:r>
    </w:p>
    <w:p w14:paraId="7D3BDCCE" w14:textId="77777777" w:rsidR="00C25FA5" w:rsidRPr="005516CD" w:rsidRDefault="00C25FA5" w:rsidP="00C25FA5">
      <w:pPr>
        <w:widowControl w:val="0"/>
        <w:autoSpaceDE w:val="0"/>
        <w:autoSpaceDN w:val="0"/>
        <w:adjustRightInd w:val="0"/>
        <w:jc w:val="both"/>
        <w:rPr>
          <w:rFonts w:asciiTheme="majorHAnsi" w:hAnsiTheme="majorHAnsi" w:cstheme="majorHAnsi"/>
          <w:sz w:val="20"/>
          <w:szCs w:val="20"/>
        </w:rPr>
      </w:pPr>
    </w:p>
    <w:p w14:paraId="7C92CD95" w14:textId="77777777" w:rsidR="00C25FA5" w:rsidRPr="005516CD" w:rsidRDefault="00C25FA5" w:rsidP="00C25FA5">
      <w:pPr>
        <w:widowControl w:val="0"/>
        <w:autoSpaceDE w:val="0"/>
        <w:autoSpaceDN w:val="0"/>
        <w:adjustRightInd w:val="0"/>
        <w:jc w:val="both"/>
        <w:rPr>
          <w:rFonts w:asciiTheme="majorHAnsi" w:hAnsiTheme="majorHAnsi" w:cstheme="majorHAnsi"/>
          <w:sz w:val="20"/>
          <w:szCs w:val="20"/>
        </w:rPr>
      </w:pPr>
      <w:r w:rsidRPr="005516CD">
        <w:rPr>
          <w:rFonts w:asciiTheme="majorHAnsi" w:hAnsiTheme="majorHAnsi" w:cstheme="majorHAnsi"/>
          <w:sz w:val="20"/>
          <w:szCs w:val="20"/>
        </w:rPr>
        <w:t>Qualitative outcomes:</w:t>
      </w:r>
    </w:p>
    <w:p w14:paraId="26E5CBFC" w14:textId="77777777" w:rsidR="00C25FA5" w:rsidRPr="005516CD" w:rsidRDefault="00C25FA5" w:rsidP="006B27F4">
      <w:pPr>
        <w:pStyle w:val="ListParagraph"/>
        <w:widowControl w:val="0"/>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Opportunities to generate additional income. Women are more likely to respond to incentives that address their family’s basic needs, such as better health and nutrition;</w:t>
      </w:r>
    </w:p>
    <w:p w14:paraId="58CF49F4" w14:textId="77777777" w:rsidR="00C25FA5" w:rsidRPr="005516CD" w:rsidRDefault="00C25FA5" w:rsidP="006B27F4">
      <w:pPr>
        <w:pStyle w:val="ListParagraph"/>
        <w:widowControl w:val="0"/>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Contribution to improved self-esteem and empowerment of women in the community;</w:t>
      </w:r>
    </w:p>
    <w:p w14:paraId="2354F374" w14:textId="77777777" w:rsidR="00C25FA5" w:rsidRPr="005516CD" w:rsidRDefault="00C25FA5" w:rsidP="006B27F4">
      <w:pPr>
        <w:pStyle w:val="ListParagraph"/>
        <w:widowControl w:val="0"/>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jc w:val="both"/>
        <w:rPr>
          <w:rFonts w:asciiTheme="majorHAnsi" w:hAnsiTheme="majorHAnsi" w:cstheme="majorHAnsi"/>
          <w:sz w:val="20"/>
          <w:szCs w:val="20"/>
        </w:rPr>
      </w:pPr>
      <w:r w:rsidRPr="005516CD">
        <w:rPr>
          <w:rFonts w:asciiTheme="majorHAnsi" w:hAnsiTheme="majorHAnsi" w:cstheme="majorHAnsi"/>
          <w:sz w:val="20"/>
          <w:szCs w:val="20"/>
        </w:rPr>
        <w:t>Expanded involvement in public and project decision-making as a result of initiation of women into active participation in income generating activities;</w:t>
      </w:r>
    </w:p>
    <w:p w14:paraId="0D0C6C81" w14:textId="77777777" w:rsidR="00C25FA5" w:rsidRPr="005516CD" w:rsidRDefault="00C25FA5" w:rsidP="006B27F4">
      <w:pPr>
        <w:pStyle w:val="ListParagraph"/>
        <w:widowControl w:val="0"/>
        <w:numPr>
          <w:ilvl w:val="0"/>
          <w:numId w:val="1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contextualSpacing/>
        <w:rPr>
          <w:rFonts w:asciiTheme="majorHAnsi" w:eastAsia="Calibri" w:hAnsiTheme="majorHAnsi" w:cstheme="majorHAnsi"/>
          <w:sz w:val="20"/>
          <w:szCs w:val="20"/>
          <w:lang w:val="en-CA"/>
        </w:rPr>
        <w:sectPr w:rsidR="00C25FA5" w:rsidRPr="005516CD" w:rsidSect="00F91241">
          <w:pgSz w:w="12240" w:h="15840"/>
          <w:pgMar w:top="1440" w:right="1440" w:bottom="1440" w:left="1440" w:header="720" w:footer="720" w:gutter="0"/>
          <w:cols w:space="720"/>
          <w:docGrid w:linePitch="360"/>
        </w:sectPr>
      </w:pPr>
      <w:r w:rsidRPr="005516CD">
        <w:rPr>
          <w:rFonts w:asciiTheme="majorHAnsi" w:hAnsiTheme="majorHAnsi" w:cstheme="majorHAnsi"/>
          <w:sz w:val="20"/>
          <w:szCs w:val="20"/>
        </w:rPr>
        <w:t>Support for training/capacity building and knowledge-sharing activities enable women’s empowerment and involvement (or increased involvement)</w:t>
      </w:r>
    </w:p>
    <w:p w14:paraId="30AB4FA8" w14:textId="77777777" w:rsidR="00C25FA5" w:rsidRPr="005516CD" w:rsidRDefault="00C25FA5" w:rsidP="006B27F4">
      <w:pPr>
        <w:pStyle w:val="ParagraphGenderAssessment"/>
        <w:numPr>
          <w:ilvl w:val="0"/>
          <w:numId w:val="135"/>
        </w:numPr>
        <w:ind w:left="284" w:hanging="284"/>
        <w:rPr>
          <w:rFonts w:cstheme="majorHAnsi"/>
          <w:b/>
          <w:color w:val="000000"/>
          <w:sz w:val="20"/>
          <w:szCs w:val="20"/>
        </w:rPr>
      </w:pPr>
      <w:r w:rsidRPr="005516CD">
        <w:rPr>
          <w:rFonts w:cstheme="majorHAnsi"/>
          <w:b/>
          <w:color w:val="000000"/>
          <w:sz w:val="20"/>
          <w:szCs w:val="20"/>
        </w:rPr>
        <w:t xml:space="preserve">Proposed Gender Action Plan </w:t>
      </w:r>
    </w:p>
    <w:p w14:paraId="371B9BC0" w14:textId="692F4FB8" w:rsidR="00C25FA5" w:rsidRDefault="00C25FA5" w:rsidP="00D80894">
      <w:pPr>
        <w:jc w:val="both"/>
        <w:rPr>
          <w:rFonts w:asciiTheme="majorHAnsi" w:hAnsiTheme="majorHAnsi" w:cstheme="majorHAnsi"/>
          <w:sz w:val="20"/>
          <w:szCs w:val="20"/>
        </w:rPr>
      </w:pPr>
      <w:r w:rsidRPr="005516CD">
        <w:rPr>
          <w:rFonts w:asciiTheme="majorHAnsi" w:hAnsiTheme="majorHAnsi" w:cstheme="majorHAnsi"/>
          <w:sz w:val="20"/>
          <w:szCs w:val="20"/>
        </w:rPr>
        <w:t xml:space="preserve">This Gender Action plan provides entry points for gender-responsive actions to be taken under each of the Activity areas of the project.  In addition, specific indicators are also proposed to measure and track progress on these actions at the activity level.  This can be incorporated into the detailed M&amp;E plan which will be developed at the start of </w:t>
      </w:r>
      <w:proofErr w:type="gramStart"/>
      <w:r w:rsidRPr="005516CD">
        <w:rPr>
          <w:rFonts w:asciiTheme="majorHAnsi" w:hAnsiTheme="majorHAnsi" w:cstheme="majorHAnsi"/>
          <w:sz w:val="20"/>
          <w:szCs w:val="20"/>
        </w:rPr>
        <w:t>implementation, and</w:t>
      </w:r>
      <w:proofErr w:type="gramEnd"/>
      <w:r w:rsidRPr="005516CD">
        <w:rPr>
          <w:rFonts w:asciiTheme="majorHAnsi" w:hAnsiTheme="majorHAnsi" w:cstheme="majorHAnsi"/>
          <w:sz w:val="20"/>
          <w:szCs w:val="20"/>
        </w:rPr>
        <w:t xml:space="preserve"> provides concrete recommendations on how to ensure gender (including disaggregated data) continues to be collected and measured throughout implementation. </w:t>
      </w:r>
      <w:r w:rsidR="00D80894" w:rsidRPr="005516CD">
        <w:rPr>
          <w:rFonts w:asciiTheme="majorHAnsi" w:hAnsiTheme="majorHAnsi" w:cstheme="majorHAnsi"/>
          <w:sz w:val="20"/>
          <w:szCs w:val="20"/>
        </w:rPr>
        <w:t xml:space="preserve"> In</w:t>
      </w:r>
      <w:r w:rsidR="008A757B" w:rsidRPr="005516CD">
        <w:rPr>
          <w:rFonts w:asciiTheme="majorHAnsi" w:hAnsiTheme="majorHAnsi" w:cstheme="majorHAnsi"/>
          <w:sz w:val="20"/>
          <w:szCs w:val="20"/>
        </w:rPr>
        <w:t>dicators have been provided. Ba</w:t>
      </w:r>
      <w:r w:rsidR="00D80894" w:rsidRPr="005516CD">
        <w:rPr>
          <w:rFonts w:asciiTheme="majorHAnsi" w:hAnsiTheme="majorHAnsi" w:cstheme="majorHAnsi"/>
          <w:sz w:val="20"/>
          <w:szCs w:val="20"/>
        </w:rPr>
        <w:t>selines will be determined in first year of implementation</w:t>
      </w:r>
      <w:r w:rsidR="008A757B" w:rsidRPr="005516CD">
        <w:rPr>
          <w:rFonts w:asciiTheme="majorHAnsi" w:hAnsiTheme="majorHAnsi" w:cstheme="majorHAnsi"/>
          <w:sz w:val="20"/>
          <w:szCs w:val="20"/>
        </w:rPr>
        <w:t>. For the participation indicators found below a participation t</w:t>
      </w:r>
      <w:r w:rsidR="00D80894" w:rsidRPr="005516CD">
        <w:rPr>
          <w:rFonts w:asciiTheme="majorHAnsi" w:hAnsiTheme="majorHAnsi" w:cstheme="majorHAnsi"/>
          <w:sz w:val="20"/>
          <w:szCs w:val="20"/>
        </w:rPr>
        <w:t>arge</w:t>
      </w:r>
      <w:r w:rsidR="008A757B" w:rsidRPr="005516CD">
        <w:rPr>
          <w:rFonts w:asciiTheme="majorHAnsi" w:hAnsiTheme="majorHAnsi" w:cstheme="majorHAnsi"/>
          <w:sz w:val="20"/>
          <w:szCs w:val="20"/>
        </w:rPr>
        <w:t xml:space="preserve">t of </w:t>
      </w:r>
      <w:r w:rsidR="00D80894" w:rsidRPr="005516CD">
        <w:rPr>
          <w:rFonts w:asciiTheme="majorHAnsi" w:hAnsiTheme="majorHAnsi" w:cstheme="majorHAnsi"/>
          <w:sz w:val="20"/>
          <w:szCs w:val="20"/>
        </w:rPr>
        <w:t xml:space="preserve">30% </w:t>
      </w:r>
      <w:r w:rsidR="008A757B" w:rsidRPr="005516CD">
        <w:rPr>
          <w:rFonts w:asciiTheme="majorHAnsi" w:hAnsiTheme="majorHAnsi" w:cstheme="majorHAnsi"/>
          <w:sz w:val="20"/>
          <w:szCs w:val="20"/>
        </w:rPr>
        <w:t xml:space="preserve">has been set as a minimum requirement. </w:t>
      </w:r>
      <w:r w:rsidR="00D80894" w:rsidRPr="005516CD">
        <w:rPr>
          <w:rFonts w:asciiTheme="majorHAnsi" w:hAnsiTheme="majorHAnsi" w:cstheme="majorHAnsi"/>
          <w:sz w:val="20"/>
          <w:szCs w:val="20"/>
        </w:rPr>
        <w:t xml:space="preserve">For </w:t>
      </w:r>
      <w:r w:rsidR="008A757B" w:rsidRPr="005516CD">
        <w:rPr>
          <w:rFonts w:asciiTheme="majorHAnsi" w:hAnsiTheme="majorHAnsi" w:cstheme="majorHAnsi"/>
          <w:sz w:val="20"/>
          <w:szCs w:val="20"/>
        </w:rPr>
        <w:t xml:space="preserve">the </w:t>
      </w:r>
      <w:r w:rsidR="00D80894" w:rsidRPr="005516CD">
        <w:rPr>
          <w:rFonts w:asciiTheme="majorHAnsi" w:hAnsiTheme="majorHAnsi" w:cstheme="majorHAnsi"/>
          <w:sz w:val="20"/>
          <w:szCs w:val="20"/>
        </w:rPr>
        <w:t>training indicators, targets will be determined in the first year of implementation according to the established baseline.</w:t>
      </w:r>
    </w:p>
    <w:p w14:paraId="57123244" w14:textId="701F2E2C" w:rsidR="00A924CA" w:rsidRDefault="00A924CA" w:rsidP="00D80894">
      <w:pPr>
        <w:jc w:val="both"/>
        <w:rPr>
          <w:rFonts w:asciiTheme="majorHAnsi" w:hAnsiTheme="majorHAnsi" w:cstheme="majorHAnsi"/>
          <w:sz w:val="20"/>
          <w:szCs w:val="20"/>
        </w:rPr>
      </w:pPr>
    </w:p>
    <w:p w14:paraId="773B3528" w14:textId="1602754D" w:rsidR="00A924CA" w:rsidRPr="005516CD" w:rsidRDefault="00A924CA" w:rsidP="00D80894">
      <w:pPr>
        <w:jc w:val="both"/>
        <w:rPr>
          <w:rFonts w:asciiTheme="majorHAnsi" w:hAnsiTheme="majorHAnsi" w:cstheme="majorHAnsi"/>
          <w:sz w:val="20"/>
          <w:szCs w:val="20"/>
        </w:rPr>
      </w:pPr>
      <w:r w:rsidRPr="00A924CA">
        <w:rPr>
          <w:rFonts w:asciiTheme="majorHAnsi" w:hAnsiTheme="majorHAnsi" w:cstheme="majorHAnsi"/>
          <w:sz w:val="20"/>
          <w:szCs w:val="20"/>
          <w:highlight w:val="yellow"/>
        </w:rPr>
        <w:t>For all outputs, focus group or other participatory methods will be used to seek qualitative information on progress in relation to the objectives, regarding the effectiveness and implications of participation by women, youth and other vulnerable people.</w:t>
      </w:r>
    </w:p>
    <w:p w14:paraId="3932E5AC" w14:textId="77777777" w:rsidR="00C25FA5" w:rsidRPr="005516CD" w:rsidRDefault="00C25FA5" w:rsidP="00C25FA5">
      <w:pPr>
        <w:rPr>
          <w:rFonts w:asciiTheme="majorHAnsi" w:hAnsiTheme="majorHAnsi" w:cstheme="majorHAnsi"/>
          <w:sz w:val="20"/>
          <w:szCs w:val="20"/>
        </w:rPr>
      </w:pPr>
    </w:p>
    <w:tbl>
      <w:tblPr>
        <w:tblStyle w:val="TableGrid"/>
        <w:tblW w:w="13266" w:type="dxa"/>
        <w:tblInd w:w="-185" w:type="dxa"/>
        <w:tblLook w:val="04A0" w:firstRow="1" w:lastRow="0" w:firstColumn="1" w:lastColumn="0" w:noHBand="0" w:noVBand="1"/>
      </w:tblPr>
      <w:tblGrid>
        <w:gridCol w:w="2864"/>
        <w:gridCol w:w="4043"/>
        <w:gridCol w:w="4563"/>
        <w:gridCol w:w="1796"/>
      </w:tblGrid>
      <w:tr w:rsidR="00C25FA5" w:rsidRPr="005516CD" w14:paraId="6F5F74DC" w14:textId="77777777" w:rsidTr="004F03F5">
        <w:trPr>
          <w:tblHeader/>
        </w:trPr>
        <w:tc>
          <w:tcPr>
            <w:tcW w:w="2864" w:type="dxa"/>
            <w:shd w:val="clear" w:color="auto" w:fill="EDEDED" w:themeFill="text2" w:themeFillTint="33"/>
          </w:tcPr>
          <w:p w14:paraId="70A1D7EA" w14:textId="77777777" w:rsidR="00C25FA5" w:rsidRPr="005516CD" w:rsidRDefault="00C25FA5" w:rsidP="004F03F5">
            <w:pPr>
              <w:rPr>
                <w:rFonts w:asciiTheme="majorHAnsi" w:hAnsiTheme="majorHAnsi" w:cstheme="majorHAnsi"/>
                <w:b/>
                <w:sz w:val="20"/>
                <w:szCs w:val="20"/>
              </w:rPr>
            </w:pPr>
          </w:p>
        </w:tc>
        <w:tc>
          <w:tcPr>
            <w:tcW w:w="4043" w:type="dxa"/>
            <w:shd w:val="clear" w:color="auto" w:fill="EDEDED" w:themeFill="text2" w:themeFillTint="33"/>
          </w:tcPr>
          <w:p w14:paraId="0BE52372" w14:textId="77777777" w:rsidR="00C25FA5" w:rsidRPr="005516CD" w:rsidRDefault="00C25FA5" w:rsidP="004F03F5">
            <w:pPr>
              <w:rPr>
                <w:rFonts w:asciiTheme="majorHAnsi" w:hAnsiTheme="majorHAnsi" w:cstheme="majorHAnsi"/>
                <w:b/>
                <w:sz w:val="20"/>
                <w:szCs w:val="20"/>
              </w:rPr>
            </w:pPr>
            <w:r w:rsidRPr="005516CD">
              <w:rPr>
                <w:rFonts w:asciiTheme="majorHAnsi" w:hAnsiTheme="majorHAnsi" w:cstheme="majorHAnsi"/>
                <w:b/>
                <w:sz w:val="20"/>
                <w:szCs w:val="20"/>
              </w:rPr>
              <w:t>Objectives</w:t>
            </w:r>
          </w:p>
        </w:tc>
        <w:tc>
          <w:tcPr>
            <w:tcW w:w="4563" w:type="dxa"/>
            <w:shd w:val="clear" w:color="auto" w:fill="EDEDED" w:themeFill="text2" w:themeFillTint="33"/>
          </w:tcPr>
          <w:p w14:paraId="708D9491" w14:textId="77777777" w:rsidR="00C25FA5" w:rsidRPr="005516CD" w:rsidRDefault="00C25FA5" w:rsidP="004F03F5">
            <w:pPr>
              <w:rPr>
                <w:rFonts w:asciiTheme="majorHAnsi" w:hAnsiTheme="majorHAnsi" w:cstheme="majorHAnsi"/>
                <w:b/>
                <w:sz w:val="20"/>
                <w:szCs w:val="20"/>
              </w:rPr>
            </w:pPr>
            <w:r w:rsidRPr="005516CD">
              <w:rPr>
                <w:rFonts w:asciiTheme="majorHAnsi" w:hAnsiTheme="majorHAnsi" w:cstheme="majorHAnsi"/>
                <w:b/>
                <w:sz w:val="20"/>
                <w:szCs w:val="20"/>
              </w:rPr>
              <w:t>Indicators</w:t>
            </w:r>
          </w:p>
        </w:tc>
        <w:tc>
          <w:tcPr>
            <w:tcW w:w="1796" w:type="dxa"/>
            <w:shd w:val="clear" w:color="auto" w:fill="EDEDED" w:themeFill="text2" w:themeFillTint="33"/>
          </w:tcPr>
          <w:p w14:paraId="02897BCF" w14:textId="77777777" w:rsidR="00C25FA5" w:rsidRPr="005516CD" w:rsidRDefault="00C25FA5" w:rsidP="004F03F5">
            <w:pPr>
              <w:rPr>
                <w:rFonts w:asciiTheme="majorHAnsi" w:hAnsiTheme="majorHAnsi" w:cstheme="majorHAnsi"/>
                <w:b/>
                <w:sz w:val="20"/>
                <w:szCs w:val="20"/>
              </w:rPr>
            </w:pPr>
            <w:r w:rsidRPr="005516CD">
              <w:rPr>
                <w:rFonts w:asciiTheme="majorHAnsi" w:hAnsiTheme="majorHAnsi" w:cstheme="majorHAnsi"/>
                <w:b/>
                <w:sz w:val="20"/>
                <w:szCs w:val="20"/>
              </w:rPr>
              <w:t>Responsible Institutions</w:t>
            </w:r>
          </w:p>
        </w:tc>
      </w:tr>
      <w:tr w:rsidR="00C25FA5" w:rsidRPr="005516CD" w14:paraId="638CE5D5" w14:textId="77777777" w:rsidTr="004F03F5">
        <w:tc>
          <w:tcPr>
            <w:tcW w:w="13266" w:type="dxa"/>
            <w:gridSpan w:val="4"/>
            <w:shd w:val="clear" w:color="auto" w:fill="EDEDED" w:themeFill="text2" w:themeFillTint="33"/>
          </w:tcPr>
          <w:p w14:paraId="3C1312C3" w14:textId="77777777" w:rsidR="00C25FA5" w:rsidRPr="005516CD" w:rsidRDefault="00C25FA5" w:rsidP="004F03F5">
            <w:pPr>
              <w:spacing w:before="40" w:after="40"/>
              <w:rPr>
                <w:rFonts w:asciiTheme="majorHAnsi" w:hAnsiTheme="majorHAnsi" w:cstheme="majorHAnsi"/>
                <w:sz w:val="20"/>
                <w:szCs w:val="20"/>
              </w:rPr>
            </w:pPr>
            <w:r w:rsidRPr="005516CD">
              <w:rPr>
                <w:rFonts w:asciiTheme="majorHAnsi" w:hAnsiTheme="majorHAnsi" w:cstheme="majorHAnsi"/>
                <w:b/>
                <w:sz w:val="20"/>
                <w:szCs w:val="20"/>
              </w:rPr>
              <w:t>Results and long-term effects for women:</w:t>
            </w:r>
            <w:r w:rsidRPr="005516CD">
              <w:rPr>
                <w:rFonts w:asciiTheme="majorHAnsi" w:hAnsiTheme="majorHAnsi" w:cstheme="majorHAnsi"/>
                <w:sz w:val="20"/>
                <w:szCs w:val="20"/>
              </w:rPr>
              <w:t xml:space="preserve"> </w:t>
            </w:r>
            <w:bookmarkStart w:id="458" w:name="OLE_LINK3"/>
            <w:bookmarkStart w:id="459" w:name="OLE_LINK4"/>
            <w:r w:rsidRPr="005516CD">
              <w:rPr>
                <w:rFonts w:asciiTheme="majorHAnsi" w:hAnsiTheme="majorHAnsi" w:cstheme="majorHAnsi"/>
                <w:sz w:val="20"/>
                <w:szCs w:val="20"/>
              </w:rPr>
              <w:t>Increase in farmed areas / Increase in and diversification of production/ increase in family food supply and food security / Access to new activities and jobs / Reinforcement of women’s entrepreneurship / Increased income and economic independence / Better access to financial/extension services and credit / Access to training and professionalization / Capacity-building of women/Increase in the number of women in decision-making bodies</w:t>
            </w:r>
            <w:bookmarkEnd w:id="458"/>
            <w:bookmarkEnd w:id="459"/>
            <w:r w:rsidRPr="005516CD">
              <w:rPr>
                <w:rFonts w:asciiTheme="majorHAnsi" w:hAnsiTheme="majorHAnsi" w:cstheme="majorHAnsi"/>
                <w:sz w:val="20"/>
                <w:szCs w:val="20"/>
              </w:rPr>
              <w:t xml:space="preserve"> and/or cooperatives/ / / access to water-fuel wood resources/reducing workload/the visibility of women’s productive work;</w:t>
            </w:r>
          </w:p>
          <w:p w14:paraId="42C3908A" w14:textId="77777777" w:rsidR="00C25FA5" w:rsidRPr="005516CD" w:rsidRDefault="00C25FA5" w:rsidP="004F03F5">
            <w:pPr>
              <w:spacing w:before="40" w:after="40"/>
              <w:rPr>
                <w:rFonts w:asciiTheme="majorHAnsi" w:hAnsiTheme="majorHAnsi" w:cstheme="majorHAnsi"/>
                <w:sz w:val="20"/>
                <w:szCs w:val="20"/>
              </w:rPr>
            </w:pPr>
          </w:p>
        </w:tc>
      </w:tr>
      <w:tr w:rsidR="00C25FA5" w:rsidRPr="005516CD" w14:paraId="2B867A27" w14:textId="77777777" w:rsidTr="004F03F5">
        <w:tc>
          <w:tcPr>
            <w:tcW w:w="13266" w:type="dxa"/>
            <w:gridSpan w:val="4"/>
            <w:shd w:val="clear" w:color="auto" w:fill="EDEDED" w:themeFill="text2" w:themeFillTint="33"/>
          </w:tcPr>
          <w:p w14:paraId="2F5A0534" w14:textId="77777777" w:rsidR="00C25FA5" w:rsidRPr="005516CD" w:rsidRDefault="00C25FA5" w:rsidP="004F03F5">
            <w:pPr>
              <w:spacing w:before="40" w:after="40"/>
              <w:rPr>
                <w:rFonts w:asciiTheme="majorHAnsi" w:hAnsiTheme="majorHAnsi" w:cstheme="majorHAnsi"/>
                <w:b/>
                <w:sz w:val="20"/>
                <w:szCs w:val="20"/>
              </w:rPr>
            </w:pPr>
            <w:r w:rsidRPr="005516CD">
              <w:rPr>
                <w:rFonts w:asciiTheme="majorHAnsi" w:hAnsiTheme="majorHAnsi" w:cstheme="majorHAnsi"/>
                <w:b/>
                <w:sz w:val="20"/>
                <w:szCs w:val="20"/>
              </w:rPr>
              <w:t>Component 1: Creation of enabling conditions for the application and scaling-up of the landscape management model</w:t>
            </w:r>
          </w:p>
        </w:tc>
      </w:tr>
      <w:tr w:rsidR="00C25FA5" w:rsidRPr="005516CD" w14:paraId="252DE106" w14:textId="77777777" w:rsidTr="004F03F5">
        <w:trPr>
          <w:trHeight w:val="384"/>
        </w:trPr>
        <w:tc>
          <w:tcPr>
            <w:tcW w:w="2864" w:type="dxa"/>
          </w:tcPr>
          <w:p w14:paraId="6108F0F9"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Output 1.1:</w:t>
            </w:r>
          </w:p>
          <w:p w14:paraId="2F117340"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Decision making tools to optimize the configuration of landscape elements in relation to spatial aspects of connectivity, biological importance, production potential, vulnerability and flows of ecosystem services</w:t>
            </w:r>
          </w:p>
        </w:tc>
        <w:tc>
          <w:tcPr>
            <w:tcW w:w="4043" w:type="dxa"/>
          </w:tcPr>
          <w:p w14:paraId="4B7F1C37"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Community consultation and participation that is inclusive to women, youth, and other vulnerable people for decision-making and planning of buffer zones, corridors and PAs;</w:t>
            </w:r>
          </w:p>
          <w:p w14:paraId="666A4C22"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Ensure local access to information for women, youth, and other vulnerable people</w:t>
            </w:r>
          </w:p>
          <w:p w14:paraId="16F7B29C"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Sensitize decision-makers/trainers/technical teams to gender issues and importance of gender mainstreaming in regional planning and policies.</w:t>
            </w:r>
          </w:p>
          <w:p w14:paraId="378BC09F"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Promote the inclusion of projects led by women and women’s advocacy groups in landscape management activities;</w:t>
            </w:r>
          </w:p>
        </w:tc>
        <w:tc>
          <w:tcPr>
            <w:tcW w:w="4563" w:type="dxa"/>
          </w:tcPr>
          <w:p w14:paraId="07696536"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and % of men and women consulted, participating in decision-making</w:t>
            </w:r>
          </w:p>
          <w:p w14:paraId="715C8D19" w14:textId="77777777" w:rsidR="00C25FA5" w:rsidRPr="005516CD" w:rsidRDefault="00C25FA5" w:rsidP="004F03F5">
            <w:pPr>
              <w:pStyle w:val="ParagraphGenderAssessment"/>
              <w:jc w:val="left"/>
              <w:rPr>
                <w:rFonts w:cstheme="majorHAnsi"/>
                <w:sz w:val="20"/>
                <w:szCs w:val="20"/>
              </w:rPr>
            </w:pPr>
            <w:r w:rsidRPr="005516CD">
              <w:rPr>
                <w:rFonts w:cstheme="majorHAnsi"/>
                <w:bCs/>
                <w:noProof/>
                <w:sz w:val="19"/>
                <w:szCs w:val="19"/>
              </w:rPr>
              <w:t>Number of women involved in dialogue, coordination and conflict resolution mechanisms</w:t>
            </w:r>
          </w:p>
          <w:p w14:paraId="069DF90A"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and % of participatory workshops</w:t>
            </w:r>
          </w:p>
          <w:p w14:paraId="756798F8"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Number/% of decision-makers/trainers/technical teams sensitized</w:t>
            </w:r>
          </w:p>
          <w:p w14:paraId="226465F8"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Numbers of women and men per Project team</w:t>
            </w:r>
          </w:p>
          <w:p w14:paraId="1D8554E9" w14:textId="77777777" w:rsidR="00247DC1" w:rsidRDefault="00C25FA5" w:rsidP="00305853">
            <w:pPr>
              <w:pStyle w:val="ParagraphGenderAssessment"/>
              <w:jc w:val="left"/>
              <w:rPr>
                <w:rFonts w:cstheme="majorHAnsi"/>
                <w:sz w:val="20"/>
                <w:szCs w:val="20"/>
              </w:rPr>
            </w:pPr>
            <w:r w:rsidRPr="005516CD">
              <w:rPr>
                <w:rFonts w:cstheme="majorHAnsi"/>
                <w:sz w:val="20"/>
                <w:szCs w:val="20"/>
              </w:rPr>
              <w:t>Number of men and women participants from staff/public institutions/municipalities</w:t>
            </w:r>
          </w:p>
          <w:p w14:paraId="00A8A8F3" w14:textId="38DC6E5E" w:rsidR="007A223C" w:rsidRPr="005516CD" w:rsidRDefault="007A223C" w:rsidP="00305853">
            <w:pPr>
              <w:pStyle w:val="ParagraphGenderAssessment"/>
              <w:jc w:val="left"/>
            </w:pPr>
          </w:p>
        </w:tc>
        <w:tc>
          <w:tcPr>
            <w:tcW w:w="1796" w:type="dxa"/>
          </w:tcPr>
          <w:p w14:paraId="61661B30" w14:textId="77777777" w:rsidR="00C25FA5" w:rsidRPr="005516CD" w:rsidRDefault="00C25FA5" w:rsidP="004F03F5">
            <w:pPr>
              <w:pStyle w:val="CommentText"/>
              <w:rPr>
                <w:rFonts w:asciiTheme="majorHAnsi" w:hAnsiTheme="majorHAnsi" w:cstheme="majorHAnsi"/>
              </w:rPr>
            </w:pPr>
            <w:r w:rsidRPr="005516CD">
              <w:rPr>
                <w:rFonts w:asciiTheme="majorHAnsi" w:hAnsiTheme="majorHAnsi" w:cstheme="majorHAnsi"/>
              </w:rPr>
              <w:t>UNDP/FAO</w:t>
            </w:r>
          </w:p>
        </w:tc>
      </w:tr>
      <w:tr w:rsidR="00C25FA5" w:rsidRPr="005516CD" w14:paraId="543B8FDD" w14:textId="77777777" w:rsidTr="004F03F5">
        <w:trPr>
          <w:trHeight w:val="896"/>
        </w:trPr>
        <w:tc>
          <w:tcPr>
            <w:tcW w:w="2864" w:type="dxa"/>
          </w:tcPr>
          <w:p w14:paraId="6C1E674A"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Output 1.2:</w:t>
            </w:r>
          </w:p>
          <w:p w14:paraId="656D5FFE" w14:textId="77777777" w:rsidR="00C25FA5" w:rsidRPr="005516CD" w:rsidRDefault="00C25FA5" w:rsidP="004F03F5">
            <w:pPr>
              <w:spacing w:before="40" w:after="40"/>
              <w:rPr>
                <w:rFonts w:asciiTheme="majorHAnsi" w:hAnsiTheme="majorHAnsi" w:cstheme="majorHAnsi"/>
                <w:sz w:val="20"/>
                <w:szCs w:val="20"/>
              </w:rPr>
            </w:pPr>
            <w:r w:rsidRPr="005516CD">
              <w:rPr>
                <w:rFonts w:asciiTheme="majorHAnsi" w:hAnsiTheme="majorHAnsi" w:cstheme="majorHAnsi"/>
                <w:sz w:val="20"/>
                <w:szCs w:val="20"/>
              </w:rPr>
              <w:t>Socially- and institutionally sustainable mechanisms for governance in support of tree-rich production systems</w:t>
            </w:r>
          </w:p>
        </w:tc>
        <w:tc>
          <w:tcPr>
            <w:tcW w:w="4043" w:type="dxa"/>
          </w:tcPr>
          <w:p w14:paraId="30087282"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Sensitize decision-makers/trainers/technical teams to gender issues and importance of gender mainstreaming</w:t>
            </w:r>
          </w:p>
          <w:p w14:paraId="4F1DB9E5"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Promote the representation of women in positions of responsibility and power;</w:t>
            </w:r>
          </w:p>
          <w:p w14:paraId="427169C5"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Promote the inclusion of projects led by women and women’s advocacy groups in landscape management activities;</w:t>
            </w:r>
          </w:p>
          <w:p w14:paraId="13F393C5"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Capacity-building of women and community groups for sustainable landscape management;</w:t>
            </w:r>
          </w:p>
          <w:p w14:paraId="0278A0F2"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Review and integrate women’s and elder’s ecological/ethno-botanical knowledge into decision making and management practices;</w:t>
            </w:r>
          </w:p>
          <w:p w14:paraId="68C3161D"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 xml:space="preserve">Ensure local communities, women, and other vulnerable groups are aware of and can access information relevant to their land occupancy and use rights </w:t>
            </w:r>
          </w:p>
        </w:tc>
        <w:tc>
          <w:tcPr>
            <w:tcW w:w="4563" w:type="dxa"/>
          </w:tcPr>
          <w:p w14:paraId="1F344B34" w14:textId="77777777" w:rsidR="00C25FA5" w:rsidRPr="005516CD" w:rsidRDefault="00C25FA5" w:rsidP="004F03F5">
            <w:pPr>
              <w:pStyle w:val="ParagraphGenderAssessment"/>
              <w:rPr>
                <w:rFonts w:cstheme="majorHAnsi"/>
                <w:sz w:val="20"/>
                <w:szCs w:val="20"/>
              </w:rPr>
            </w:pPr>
            <w:r w:rsidRPr="005516CD">
              <w:rPr>
                <w:rFonts w:cstheme="majorHAnsi"/>
                <w:sz w:val="20"/>
                <w:szCs w:val="20"/>
              </w:rPr>
              <w:t>Number of trained technicians and extension agents</w:t>
            </w:r>
          </w:p>
          <w:p w14:paraId="3435CD41" w14:textId="77777777" w:rsidR="00C25FA5" w:rsidRPr="005516CD" w:rsidRDefault="00C25FA5" w:rsidP="004F03F5">
            <w:pPr>
              <w:pStyle w:val="ParagraphGenderAssessment"/>
              <w:rPr>
                <w:rFonts w:cstheme="majorHAnsi"/>
                <w:sz w:val="20"/>
                <w:szCs w:val="20"/>
              </w:rPr>
            </w:pPr>
            <w:r w:rsidRPr="005516CD">
              <w:rPr>
                <w:rFonts w:cstheme="majorHAnsi"/>
                <w:sz w:val="20"/>
                <w:szCs w:val="20"/>
              </w:rPr>
              <w:t>Number/% of trained women and men in local communities</w:t>
            </w:r>
          </w:p>
          <w:p w14:paraId="0F0FF568" w14:textId="77777777" w:rsidR="00C25FA5" w:rsidRPr="005516CD" w:rsidRDefault="00C25FA5" w:rsidP="004F03F5">
            <w:pPr>
              <w:pStyle w:val="ParagraphGenderAssessment"/>
              <w:rPr>
                <w:rFonts w:cstheme="majorHAnsi"/>
                <w:sz w:val="20"/>
                <w:szCs w:val="20"/>
              </w:rPr>
            </w:pPr>
            <w:r w:rsidRPr="005516CD">
              <w:rPr>
                <w:rFonts w:cstheme="majorHAnsi"/>
                <w:sz w:val="20"/>
                <w:szCs w:val="20"/>
              </w:rPr>
              <w:t>Number/% of decision-makers/trainers/technical teams sensitized</w:t>
            </w:r>
          </w:p>
          <w:p w14:paraId="7246527F" w14:textId="77777777" w:rsidR="00C25FA5" w:rsidRPr="005516CD" w:rsidRDefault="00C25FA5" w:rsidP="004F03F5">
            <w:pPr>
              <w:pStyle w:val="ParagraphGenderAssessment"/>
              <w:rPr>
                <w:rFonts w:cstheme="majorHAnsi"/>
                <w:sz w:val="20"/>
                <w:szCs w:val="20"/>
              </w:rPr>
            </w:pPr>
            <w:r w:rsidRPr="005516CD">
              <w:rPr>
                <w:rFonts w:cstheme="majorHAnsi"/>
                <w:sz w:val="20"/>
                <w:szCs w:val="20"/>
              </w:rPr>
              <w:t>Numbers of men and women in Project teams</w:t>
            </w:r>
          </w:p>
          <w:p w14:paraId="0ED7C96D" w14:textId="77777777" w:rsidR="00C25FA5" w:rsidRPr="005516CD" w:rsidRDefault="00C25FA5" w:rsidP="004F03F5">
            <w:pPr>
              <w:jc w:val="both"/>
              <w:rPr>
                <w:rFonts w:asciiTheme="majorHAnsi" w:hAnsiTheme="majorHAnsi" w:cstheme="majorHAnsi"/>
                <w:sz w:val="20"/>
                <w:szCs w:val="20"/>
              </w:rPr>
            </w:pPr>
            <w:r w:rsidRPr="005516CD">
              <w:rPr>
                <w:rFonts w:asciiTheme="majorHAnsi" w:hAnsiTheme="majorHAnsi" w:cstheme="majorHAnsi"/>
                <w:sz w:val="20"/>
                <w:szCs w:val="20"/>
              </w:rPr>
              <w:t>Number and % of participatory workshops</w:t>
            </w:r>
          </w:p>
          <w:p w14:paraId="075714AC" w14:textId="77777777" w:rsidR="00C25FA5" w:rsidRPr="005516CD" w:rsidRDefault="00C25FA5" w:rsidP="004F03F5">
            <w:pPr>
              <w:jc w:val="both"/>
              <w:rPr>
                <w:rFonts w:asciiTheme="majorHAnsi" w:hAnsiTheme="majorHAnsi" w:cstheme="majorHAnsi"/>
                <w:sz w:val="20"/>
                <w:szCs w:val="20"/>
              </w:rPr>
            </w:pPr>
            <w:r w:rsidRPr="005516CD">
              <w:rPr>
                <w:rFonts w:asciiTheme="majorHAnsi" w:hAnsiTheme="majorHAnsi" w:cstheme="majorHAnsi"/>
                <w:sz w:val="20"/>
                <w:szCs w:val="20"/>
              </w:rPr>
              <w:t>Number of staff/public institutions/municipalities</w:t>
            </w:r>
          </w:p>
          <w:p w14:paraId="32C0B532" w14:textId="77777777" w:rsidR="00C25FA5" w:rsidRPr="005516CD" w:rsidRDefault="00C25FA5" w:rsidP="004F03F5">
            <w:pPr>
              <w:pStyle w:val="ParagraphGenderAssessment"/>
              <w:rPr>
                <w:rFonts w:cstheme="majorHAnsi"/>
                <w:sz w:val="20"/>
                <w:szCs w:val="20"/>
              </w:rPr>
            </w:pPr>
            <w:r w:rsidRPr="005516CD">
              <w:rPr>
                <w:rFonts w:cstheme="majorHAnsi"/>
                <w:sz w:val="20"/>
                <w:szCs w:val="20"/>
              </w:rPr>
              <w:t>Numbers of women or women's groups represented</w:t>
            </w:r>
          </w:p>
          <w:p w14:paraId="25F4072C" w14:textId="77777777" w:rsidR="00C25FA5" w:rsidRPr="005516CD" w:rsidRDefault="00C25FA5" w:rsidP="004F03F5">
            <w:pPr>
              <w:pStyle w:val="ParagraphGenderAssessment"/>
              <w:rPr>
                <w:rFonts w:cstheme="majorHAnsi"/>
                <w:sz w:val="20"/>
                <w:szCs w:val="20"/>
              </w:rPr>
            </w:pPr>
            <w:r w:rsidRPr="005516CD">
              <w:rPr>
                <w:rFonts w:cstheme="majorHAnsi"/>
                <w:sz w:val="20"/>
                <w:szCs w:val="20"/>
              </w:rPr>
              <w:t>Number of Women representatives as managers/executives/cooperatives</w:t>
            </w:r>
          </w:p>
          <w:p w14:paraId="1DC3EBD1" w14:textId="77777777" w:rsidR="00C25FA5" w:rsidRPr="005516CD" w:rsidRDefault="00C25FA5" w:rsidP="007A223C">
            <w:pPr>
              <w:pStyle w:val="ParagraphGenderAssessment"/>
              <w:rPr>
                <w:rFonts w:cstheme="majorHAnsi"/>
                <w:sz w:val="20"/>
                <w:szCs w:val="20"/>
              </w:rPr>
            </w:pPr>
            <w:r w:rsidRPr="005516CD">
              <w:rPr>
                <w:rFonts w:cstheme="majorHAnsi"/>
                <w:sz w:val="20"/>
                <w:szCs w:val="20"/>
              </w:rPr>
              <w:t>Number and % of men and women consulted, participating</w:t>
            </w:r>
          </w:p>
          <w:p w14:paraId="5E5AF05C" w14:textId="37C68278" w:rsidR="00C25FA5" w:rsidRDefault="00247DC1" w:rsidP="00917B13">
            <w:pPr>
              <w:pStyle w:val="ParagraphGenderAssessment"/>
              <w:rPr>
                <w:rFonts w:cstheme="majorHAnsi"/>
                <w:sz w:val="20"/>
                <w:szCs w:val="20"/>
              </w:rPr>
            </w:pPr>
            <w:r w:rsidRPr="005516CD">
              <w:rPr>
                <w:rFonts w:cstheme="majorHAnsi"/>
                <w:sz w:val="20"/>
                <w:szCs w:val="20"/>
              </w:rPr>
              <w:t>Number of f</w:t>
            </w:r>
            <w:r w:rsidR="00C25FA5" w:rsidRPr="005516CD">
              <w:rPr>
                <w:rFonts w:cstheme="majorHAnsi"/>
                <w:sz w:val="20"/>
                <w:szCs w:val="20"/>
              </w:rPr>
              <w:t>ollow-up Reports and information sharing strategies</w:t>
            </w:r>
          </w:p>
          <w:p w14:paraId="334FB196" w14:textId="32AE1308" w:rsidR="00247DC1" w:rsidRPr="005516CD" w:rsidRDefault="00247DC1" w:rsidP="00917B13">
            <w:pPr>
              <w:pStyle w:val="ParagraphGenderAssessment"/>
              <w:rPr>
                <w:rFonts w:cstheme="majorHAnsi"/>
                <w:sz w:val="20"/>
                <w:szCs w:val="20"/>
              </w:rPr>
            </w:pPr>
            <w:r w:rsidRPr="00917B13">
              <w:rPr>
                <w:rFonts w:cstheme="majorHAnsi"/>
                <w:sz w:val="20"/>
                <w:szCs w:val="20"/>
                <w:u w:val="single"/>
              </w:rPr>
              <w:t>Baseline:</w:t>
            </w:r>
            <w:r w:rsidRPr="005516CD">
              <w:rPr>
                <w:rFonts w:cstheme="majorHAnsi"/>
                <w:sz w:val="20"/>
                <w:szCs w:val="20"/>
              </w:rPr>
              <w:t xml:space="preserve"> To de determined in first year of implementation</w:t>
            </w:r>
          </w:p>
          <w:p w14:paraId="606A30CC" w14:textId="77777777" w:rsidR="00247DC1" w:rsidRPr="005516CD" w:rsidRDefault="00247DC1" w:rsidP="004F03F5">
            <w:pPr>
              <w:jc w:val="both"/>
              <w:rPr>
                <w:rFonts w:asciiTheme="majorHAnsi" w:hAnsiTheme="majorHAnsi" w:cstheme="majorHAnsi"/>
                <w:sz w:val="20"/>
                <w:szCs w:val="20"/>
              </w:rPr>
            </w:pPr>
            <w:r w:rsidRPr="00917B13">
              <w:rPr>
                <w:rFonts w:asciiTheme="majorHAnsi" w:hAnsiTheme="majorHAnsi" w:cstheme="majorHAnsi"/>
                <w:sz w:val="20"/>
                <w:szCs w:val="20"/>
                <w:u w:val="single"/>
              </w:rPr>
              <w:t>Target:</w:t>
            </w:r>
            <w:r w:rsidRPr="005516CD">
              <w:rPr>
                <w:rFonts w:asciiTheme="majorHAnsi" w:hAnsiTheme="majorHAnsi" w:cstheme="majorHAnsi"/>
                <w:sz w:val="20"/>
                <w:szCs w:val="20"/>
              </w:rPr>
              <w:t xml:space="preserve"> 30% for participation indicators. For training indicators, targets will be determined in the first year of implementation according to the established baseline.</w:t>
            </w:r>
          </w:p>
        </w:tc>
        <w:tc>
          <w:tcPr>
            <w:tcW w:w="1796" w:type="dxa"/>
          </w:tcPr>
          <w:p w14:paraId="64DED919" w14:textId="77777777" w:rsidR="00C25FA5" w:rsidRPr="005516CD" w:rsidRDefault="00C25FA5" w:rsidP="004F03F5">
            <w:pPr>
              <w:pStyle w:val="CommentText"/>
              <w:rPr>
                <w:rFonts w:asciiTheme="majorHAnsi" w:hAnsiTheme="majorHAnsi" w:cstheme="majorHAnsi"/>
              </w:rPr>
            </w:pPr>
            <w:r w:rsidRPr="005516CD">
              <w:rPr>
                <w:rFonts w:asciiTheme="majorHAnsi" w:hAnsiTheme="majorHAnsi" w:cstheme="majorHAnsi"/>
              </w:rPr>
              <w:t>UNDP/FAO</w:t>
            </w:r>
          </w:p>
        </w:tc>
      </w:tr>
      <w:tr w:rsidR="00C25FA5" w:rsidRPr="005516CD" w14:paraId="7BBF3038" w14:textId="77777777" w:rsidTr="004F03F5">
        <w:trPr>
          <w:trHeight w:val="896"/>
        </w:trPr>
        <w:tc>
          <w:tcPr>
            <w:tcW w:w="2864" w:type="dxa"/>
          </w:tcPr>
          <w:p w14:paraId="0C0AEDD3"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Output 1.3 Market-based instruments to facilitate the delivery of environmental benefits:</w:t>
            </w:r>
          </w:p>
        </w:tc>
        <w:tc>
          <w:tcPr>
            <w:tcW w:w="4043" w:type="dxa"/>
          </w:tcPr>
          <w:p w14:paraId="1A5277A5" w14:textId="77777777" w:rsidR="00C25FA5" w:rsidRPr="005516CD" w:rsidRDefault="00C25FA5" w:rsidP="004F03F5">
            <w:pPr>
              <w:ind w:left="33"/>
              <w:rPr>
                <w:rFonts w:asciiTheme="majorHAnsi" w:hAnsiTheme="majorHAnsi" w:cstheme="majorHAnsi"/>
                <w:color w:val="000000"/>
                <w:sz w:val="20"/>
                <w:szCs w:val="20"/>
              </w:rPr>
            </w:pPr>
            <w:r w:rsidRPr="005516CD">
              <w:rPr>
                <w:rFonts w:asciiTheme="majorHAnsi" w:hAnsiTheme="majorHAnsi" w:cstheme="majorHAnsi"/>
                <w:color w:val="000000"/>
                <w:sz w:val="20"/>
                <w:szCs w:val="20"/>
              </w:rPr>
              <w:t>Promote commitment to gender and gender equality among cooperatives and private sector actors;</w:t>
            </w:r>
          </w:p>
          <w:p w14:paraId="68C4AD0F" w14:textId="77777777" w:rsidR="00C25FA5" w:rsidRPr="005516CD" w:rsidRDefault="00C25FA5" w:rsidP="004F03F5">
            <w:pPr>
              <w:ind w:left="33"/>
              <w:rPr>
                <w:rFonts w:asciiTheme="majorHAnsi" w:hAnsiTheme="majorHAnsi" w:cstheme="majorHAnsi"/>
                <w:color w:val="000000"/>
                <w:sz w:val="20"/>
                <w:szCs w:val="20"/>
              </w:rPr>
            </w:pPr>
          </w:p>
          <w:p w14:paraId="5C301A86" w14:textId="77777777" w:rsidR="00C25FA5" w:rsidRPr="005516CD" w:rsidRDefault="00C25FA5" w:rsidP="004F03F5">
            <w:pPr>
              <w:ind w:left="33"/>
              <w:rPr>
                <w:rFonts w:asciiTheme="majorHAnsi" w:hAnsiTheme="majorHAnsi" w:cstheme="majorHAnsi"/>
                <w:color w:val="000000"/>
                <w:sz w:val="20"/>
                <w:szCs w:val="20"/>
              </w:rPr>
            </w:pPr>
            <w:r w:rsidRPr="005516CD">
              <w:rPr>
                <w:rFonts w:asciiTheme="majorHAnsi" w:hAnsiTheme="majorHAnsi" w:cstheme="majorHAnsi"/>
                <w:color w:val="000000"/>
                <w:sz w:val="20"/>
                <w:szCs w:val="20"/>
              </w:rPr>
              <w:t>Strict policy on women's participation in value chain development, standards and certifications</w:t>
            </w:r>
          </w:p>
          <w:p w14:paraId="3C766D1B" w14:textId="77777777" w:rsidR="00C25FA5" w:rsidRPr="005516CD" w:rsidRDefault="00C25FA5" w:rsidP="004F03F5">
            <w:pPr>
              <w:rPr>
                <w:rFonts w:asciiTheme="majorHAnsi" w:hAnsiTheme="majorHAnsi" w:cstheme="majorHAnsi"/>
                <w:color w:val="000000"/>
                <w:sz w:val="20"/>
                <w:szCs w:val="20"/>
              </w:rPr>
            </w:pPr>
          </w:p>
          <w:p w14:paraId="26448A43" w14:textId="77777777" w:rsidR="00C25FA5" w:rsidRPr="005516CD" w:rsidRDefault="00C25FA5" w:rsidP="004F03F5">
            <w:pPr>
              <w:ind w:left="33"/>
              <w:rPr>
                <w:rFonts w:asciiTheme="majorHAnsi" w:hAnsiTheme="majorHAnsi" w:cstheme="majorHAnsi"/>
                <w:bCs/>
                <w:color w:val="000000"/>
                <w:sz w:val="20"/>
                <w:szCs w:val="20"/>
              </w:rPr>
            </w:pPr>
            <w:r w:rsidRPr="005516CD">
              <w:rPr>
                <w:rFonts w:asciiTheme="majorHAnsi" w:hAnsiTheme="majorHAnsi" w:cstheme="majorHAnsi"/>
                <w:color w:val="000000"/>
                <w:sz w:val="20"/>
                <w:szCs w:val="20"/>
              </w:rPr>
              <w:t xml:space="preserve">Promote women’s participation within cooperatives and encourage </w:t>
            </w:r>
            <w:r w:rsidRPr="005516CD">
              <w:rPr>
                <w:rFonts w:asciiTheme="majorHAnsi" w:hAnsiTheme="majorHAnsi" w:cstheme="majorHAnsi"/>
                <w:bCs/>
                <w:color w:val="000000"/>
                <w:sz w:val="20"/>
                <w:szCs w:val="20"/>
              </w:rPr>
              <w:t xml:space="preserve">women's access to places of power in cooperatives; </w:t>
            </w:r>
          </w:p>
          <w:p w14:paraId="2E7903EF" w14:textId="77777777" w:rsidR="00C25FA5" w:rsidRPr="005516CD" w:rsidRDefault="00C25FA5" w:rsidP="004F03F5">
            <w:pPr>
              <w:ind w:left="33"/>
              <w:rPr>
                <w:rFonts w:asciiTheme="majorHAnsi" w:hAnsiTheme="majorHAnsi" w:cstheme="majorHAnsi"/>
                <w:bCs/>
                <w:color w:val="000000"/>
                <w:sz w:val="20"/>
                <w:szCs w:val="20"/>
              </w:rPr>
            </w:pPr>
          </w:p>
          <w:p w14:paraId="7398A842" w14:textId="77777777" w:rsidR="00C25FA5" w:rsidRPr="005516CD" w:rsidRDefault="00C25FA5" w:rsidP="004F03F5">
            <w:pPr>
              <w:ind w:left="33"/>
              <w:contextualSpacing/>
              <w:rPr>
                <w:rFonts w:asciiTheme="majorHAnsi" w:hAnsiTheme="majorHAnsi" w:cstheme="majorHAnsi"/>
                <w:color w:val="000000"/>
                <w:sz w:val="20"/>
                <w:szCs w:val="20"/>
              </w:rPr>
            </w:pPr>
            <w:r w:rsidRPr="005516CD">
              <w:rPr>
                <w:rFonts w:asciiTheme="majorHAnsi" w:hAnsiTheme="majorHAnsi" w:cstheme="majorHAnsi"/>
                <w:color w:val="000000"/>
                <w:sz w:val="20"/>
                <w:szCs w:val="20"/>
              </w:rPr>
              <w:t>Capacity-building of women, both individually and collectively, to support productive activities and involvement in value chains</w:t>
            </w:r>
          </w:p>
          <w:p w14:paraId="427BF445" w14:textId="77777777" w:rsidR="00C25FA5" w:rsidRPr="005516CD" w:rsidRDefault="00C25FA5" w:rsidP="004F03F5">
            <w:pPr>
              <w:rPr>
                <w:rFonts w:asciiTheme="majorHAnsi" w:hAnsiTheme="majorHAnsi" w:cstheme="majorHAnsi"/>
                <w:color w:val="000000"/>
                <w:sz w:val="20"/>
                <w:szCs w:val="20"/>
              </w:rPr>
            </w:pPr>
          </w:p>
          <w:p w14:paraId="2856E47E" w14:textId="77777777" w:rsidR="00C25FA5" w:rsidRPr="005516CD" w:rsidRDefault="00C25FA5" w:rsidP="004F03F5">
            <w:pPr>
              <w:ind w:left="33"/>
              <w:rPr>
                <w:rFonts w:asciiTheme="majorHAnsi" w:hAnsiTheme="majorHAnsi" w:cstheme="majorHAnsi"/>
                <w:color w:val="000000"/>
                <w:sz w:val="20"/>
                <w:szCs w:val="20"/>
              </w:rPr>
            </w:pPr>
            <w:r w:rsidRPr="005516CD">
              <w:rPr>
                <w:rFonts w:asciiTheme="majorHAnsi" w:hAnsiTheme="majorHAnsi" w:cstheme="majorHAnsi"/>
                <w:color w:val="000000"/>
                <w:sz w:val="20"/>
                <w:szCs w:val="20"/>
              </w:rPr>
              <w:t>Development and promotion of projects led by women;</w:t>
            </w:r>
          </w:p>
        </w:tc>
        <w:tc>
          <w:tcPr>
            <w:tcW w:w="4563" w:type="dxa"/>
          </w:tcPr>
          <w:p w14:paraId="28887F0E" w14:textId="77777777" w:rsidR="00C25FA5" w:rsidRPr="005516CD" w:rsidRDefault="00C25FA5" w:rsidP="004F03F5">
            <w:pPr>
              <w:pStyle w:val="ParagraphGenderAssessment"/>
              <w:rPr>
                <w:sz w:val="20"/>
                <w:szCs w:val="20"/>
              </w:rPr>
            </w:pPr>
            <w:r w:rsidRPr="005516CD">
              <w:rPr>
                <w:sz w:val="20"/>
                <w:szCs w:val="20"/>
              </w:rPr>
              <w:t>Number of women's groups/cooperatives/outside cooperatives</w:t>
            </w:r>
          </w:p>
          <w:p w14:paraId="177F084A" w14:textId="77777777" w:rsidR="00C25FA5" w:rsidRPr="005516CD" w:rsidRDefault="00C25FA5" w:rsidP="004F03F5">
            <w:pPr>
              <w:pStyle w:val="ParagraphGenderAssessment"/>
              <w:rPr>
                <w:sz w:val="20"/>
                <w:szCs w:val="20"/>
              </w:rPr>
            </w:pPr>
            <w:r w:rsidRPr="005516CD">
              <w:rPr>
                <w:sz w:val="20"/>
                <w:szCs w:val="20"/>
              </w:rPr>
              <w:t xml:space="preserve">Number of </w:t>
            </w:r>
            <w:proofErr w:type="gramStart"/>
            <w:r w:rsidRPr="005516CD">
              <w:rPr>
                <w:sz w:val="20"/>
                <w:szCs w:val="20"/>
              </w:rPr>
              <w:t>women/group</w:t>
            </w:r>
            <w:proofErr w:type="gramEnd"/>
          </w:p>
          <w:p w14:paraId="7F6DCE4E" w14:textId="77777777" w:rsidR="00C25FA5" w:rsidRPr="005516CD" w:rsidRDefault="00C25FA5" w:rsidP="004F03F5">
            <w:pPr>
              <w:pStyle w:val="ParagraphGenderAssessment"/>
              <w:rPr>
                <w:sz w:val="20"/>
                <w:szCs w:val="20"/>
              </w:rPr>
            </w:pPr>
            <w:r w:rsidRPr="005516CD">
              <w:rPr>
                <w:sz w:val="20"/>
                <w:szCs w:val="20"/>
              </w:rPr>
              <w:t>Number of female members;</w:t>
            </w:r>
          </w:p>
          <w:p w14:paraId="329074DB" w14:textId="77777777" w:rsidR="00C25FA5" w:rsidRPr="005516CD" w:rsidRDefault="00C25FA5" w:rsidP="004F03F5">
            <w:pPr>
              <w:pStyle w:val="ParagraphGenderAssessment"/>
              <w:rPr>
                <w:sz w:val="20"/>
                <w:szCs w:val="20"/>
              </w:rPr>
            </w:pPr>
            <w:r w:rsidRPr="005516CD">
              <w:rPr>
                <w:sz w:val="20"/>
                <w:szCs w:val="20"/>
              </w:rPr>
              <w:t>Number of female executives/co-operatives</w:t>
            </w:r>
          </w:p>
          <w:p w14:paraId="6ADFCC66" w14:textId="77777777" w:rsidR="00C25FA5" w:rsidRPr="005516CD" w:rsidRDefault="00C25FA5" w:rsidP="004F03F5">
            <w:pPr>
              <w:pStyle w:val="ParagraphGenderAssessment"/>
              <w:rPr>
                <w:sz w:val="20"/>
                <w:szCs w:val="20"/>
              </w:rPr>
            </w:pPr>
            <w:r w:rsidRPr="005516CD">
              <w:rPr>
                <w:sz w:val="20"/>
                <w:szCs w:val="20"/>
              </w:rPr>
              <w:t>Number of individual or collective projects/activities developed/business initiatives</w:t>
            </w:r>
          </w:p>
          <w:p w14:paraId="197AD879" w14:textId="77777777" w:rsidR="00C25FA5" w:rsidRDefault="00C25FA5" w:rsidP="00247DC1">
            <w:pPr>
              <w:pStyle w:val="ParagraphGenderAssessment"/>
              <w:rPr>
                <w:sz w:val="20"/>
                <w:szCs w:val="20"/>
              </w:rPr>
            </w:pPr>
            <w:r w:rsidRPr="005516CD">
              <w:rPr>
                <w:sz w:val="20"/>
                <w:szCs w:val="20"/>
              </w:rPr>
              <w:t>Number of awareness workshops and trainings for women's groups/number of participants;</w:t>
            </w:r>
          </w:p>
          <w:p w14:paraId="26B152E7" w14:textId="67D4EB8C" w:rsidR="00A924CA" w:rsidRPr="005516CD" w:rsidRDefault="00A924CA" w:rsidP="00247DC1">
            <w:pPr>
              <w:pStyle w:val="ParagraphGenderAssessment"/>
              <w:rPr>
                <w:sz w:val="20"/>
                <w:szCs w:val="20"/>
              </w:rPr>
            </w:pPr>
          </w:p>
        </w:tc>
        <w:tc>
          <w:tcPr>
            <w:tcW w:w="1796" w:type="dxa"/>
          </w:tcPr>
          <w:p w14:paraId="7BC6267B" w14:textId="77777777" w:rsidR="00C25FA5" w:rsidRPr="005516CD" w:rsidRDefault="00C25FA5" w:rsidP="004F03F5">
            <w:pPr>
              <w:pStyle w:val="CommentText"/>
              <w:rPr>
                <w:rFonts w:asciiTheme="majorHAnsi" w:hAnsiTheme="majorHAnsi" w:cstheme="majorHAnsi"/>
              </w:rPr>
            </w:pPr>
            <w:r w:rsidRPr="005516CD">
              <w:rPr>
                <w:rFonts w:asciiTheme="majorHAnsi" w:hAnsiTheme="majorHAnsi" w:cstheme="majorHAnsi"/>
              </w:rPr>
              <w:t>UNDP/FAO</w:t>
            </w:r>
          </w:p>
        </w:tc>
      </w:tr>
      <w:tr w:rsidR="00C25FA5" w:rsidRPr="005516CD" w14:paraId="3ED5CA66" w14:textId="77777777" w:rsidTr="004F03F5">
        <w:tc>
          <w:tcPr>
            <w:tcW w:w="13266" w:type="dxa"/>
            <w:gridSpan w:val="4"/>
            <w:shd w:val="clear" w:color="auto" w:fill="EDEDED" w:themeFill="text2" w:themeFillTint="33"/>
          </w:tcPr>
          <w:p w14:paraId="70A9D824" w14:textId="77777777" w:rsidR="00C25FA5" w:rsidRPr="005516CD" w:rsidRDefault="00C25FA5" w:rsidP="004F03F5">
            <w:pPr>
              <w:jc w:val="both"/>
              <w:rPr>
                <w:rFonts w:asciiTheme="majorHAnsi" w:hAnsiTheme="majorHAnsi" w:cstheme="majorHAnsi"/>
                <w:b/>
                <w:sz w:val="20"/>
                <w:szCs w:val="20"/>
              </w:rPr>
            </w:pPr>
            <w:r w:rsidRPr="005516CD">
              <w:rPr>
                <w:rFonts w:asciiTheme="majorHAnsi" w:hAnsiTheme="majorHAnsi" w:cstheme="majorHAnsi"/>
                <w:b/>
                <w:sz w:val="20"/>
                <w:szCs w:val="20"/>
              </w:rPr>
              <w:t xml:space="preserve">Component 2: </w:t>
            </w:r>
            <w:r w:rsidRPr="005516CD">
              <w:rPr>
                <w:rFonts w:asciiTheme="majorHAnsi" w:hAnsiTheme="majorHAnsi" w:cstheme="majorHAnsi"/>
                <w:b/>
                <w:bCs/>
                <w:noProof/>
                <w:sz w:val="20"/>
                <w:szCs w:val="20"/>
              </w:rPr>
              <w:t>Conservation compatible tree-based production systems as part of sustainable landscape mosaics</w:t>
            </w:r>
          </w:p>
        </w:tc>
      </w:tr>
      <w:tr w:rsidR="00C25FA5" w:rsidRPr="005516CD" w14:paraId="2CC9EDCB" w14:textId="77777777" w:rsidTr="004F03F5">
        <w:trPr>
          <w:trHeight w:val="830"/>
        </w:trPr>
        <w:tc>
          <w:tcPr>
            <w:tcW w:w="2864" w:type="dxa"/>
          </w:tcPr>
          <w:p w14:paraId="2AC2857F"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Output 2.1:</w:t>
            </w:r>
          </w:p>
          <w:p w14:paraId="038815D5"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Improved service delivery systems for technical assistance:</w:t>
            </w:r>
          </w:p>
        </w:tc>
        <w:tc>
          <w:tcPr>
            <w:tcW w:w="4043" w:type="dxa"/>
          </w:tcPr>
          <w:p w14:paraId="16BA44CE"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Improve women’s access to technical and financial assistance for green value chains and certification systems</w:t>
            </w:r>
          </w:p>
          <w:p w14:paraId="02EE3DB3" w14:textId="77777777" w:rsidR="00C25FA5" w:rsidRPr="005516CD" w:rsidRDefault="00C25FA5" w:rsidP="004F03F5">
            <w:pPr>
              <w:rPr>
                <w:rFonts w:asciiTheme="majorHAnsi" w:hAnsiTheme="majorHAnsi" w:cstheme="majorHAnsi"/>
                <w:sz w:val="20"/>
                <w:szCs w:val="20"/>
              </w:rPr>
            </w:pPr>
          </w:p>
          <w:p w14:paraId="08C1AB9C"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 xml:space="preserve">Promote </w:t>
            </w:r>
            <w:r w:rsidRPr="005516CD">
              <w:rPr>
                <w:rFonts w:asciiTheme="majorHAnsi" w:hAnsiTheme="majorHAnsi" w:cstheme="majorHAnsi"/>
                <w:color w:val="000000"/>
                <w:sz w:val="20"/>
                <w:szCs w:val="20"/>
              </w:rPr>
              <w:t xml:space="preserve">commitments to gender and equality among </w:t>
            </w:r>
            <w:r w:rsidRPr="005516CD">
              <w:rPr>
                <w:rFonts w:asciiTheme="majorHAnsi" w:hAnsiTheme="majorHAnsi" w:cstheme="majorHAnsi"/>
                <w:sz w:val="20"/>
                <w:szCs w:val="20"/>
              </w:rPr>
              <w:t>private sector actors and private sector plans</w:t>
            </w:r>
          </w:p>
          <w:p w14:paraId="08E14044"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Participation of women, youth, and other vulnerable people in Field schools</w:t>
            </w:r>
          </w:p>
          <w:p w14:paraId="446B2AD7" w14:textId="77777777" w:rsidR="00C25FA5" w:rsidRPr="005516CD" w:rsidRDefault="00C25FA5" w:rsidP="004F03F5">
            <w:pPr>
              <w:rPr>
                <w:rFonts w:asciiTheme="majorHAnsi" w:hAnsiTheme="majorHAnsi" w:cstheme="majorHAnsi"/>
                <w:sz w:val="20"/>
                <w:szCs w:val="20"/>
              </w:rPr>
            </w:pPr>
          </w:p>
        </w:tc>
        <w:tc>
          <w:tcPr>
            <w:tcW w:w="4563" w:type="dxa"/>
          </w:tcPr>
          <w:p w14:paraId="5E5742E3" w14:textId="77777777" w:rsidR="00C25FA5" w:rsidRPr="005516CD" w:rsidRDefault="00C25FA5" w:rsidP="004F03F5">
            <w:pPr>
              <w:pStyle w:val="ListParagraph"/>
              <w:rPr>
                <w:rFonts w:asciiTheme="majorHAnsi" w:hAnsiTheme="majorHAnsi" w:cstheme="majorHAnsi"/>
                <w:sz w:val="20"/>
                <w:szCs w:val="20"/>
              </w:rPr>
            </w:pPr>
          </w:p>
          <w:p w14:paraId="54ADEE08"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 xml:space="preserve">Number/% of women and men participating in Field schools, number of </w:t>
            </w:r>
            <w:proofErr w:type="gramStart"/>
            <w:r w:rsidRPr="005516CD">
              <w:rPr>
                <w:rFonts w:asciiTheme="majorHAnsi" w:hAnsiTheme="majorHAnsi" w:cstheme="majorHAnsi"/>
                <w:sz w:val="20"/>
                <w:szCs w:val="20"/>
              </w:rPr>
              <w:t>workshops/number</w:t>
            </w:r>
            <w:proofErr w:type="gramEnd"/>
            <w:r w:rsidRPr="005516CD">
              <w:rPr>
                <w:rFonts w:asciiTheme="majorHAnsi" w:hAnsiTheme="majorHAnsi" w:cstheme="majorHAnsi"/>
                <w:sz w:val="20"/>
                <w:szCs w:val="20"/>
              </w:rPr>
              <w:t xml:space="preserve"> of extension packages</w:t>
            </w:r>
          </w:p>
          <w:p w14:paraId="2F919481" w14:textId="77777777" w:rsidR="00C25FA5" w:rsidRPr="005516CD" w:rsidRDefault="00C25FA5" w:rsidP="004F03F5">
            <w:pPr>
              <w:rPr>
                <w:rFonts w:asciiTheme="majorHAnsi" w:hAnsiTheme="majorHAnsi" w:cstheme="majorHAnsi"/>
                <w:sz w:val="20"/>
                <w:szCs w:val="20"/>
              </w:rPr>
            </w:pPr>
          </w:p>
          <w:p w14:paraId="7EFAEC68"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of new value chains and % men and women in these industries</w:t>
            </w:r>
          </w:p>
          <w:p w14:paraId="7B4C3FEC"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Number/% of decision-makers/trainers/technical teams sensitized on gender and gender equality</w:t>
            </w:r>
          </w:p>
          <w:p w14:paraId="373D4189"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Number women and men/% beneficiaries receiving loans, trees (cacao, coffee and others), or additional material/financial assistance</w:t>
            </w:r>
          </w:p>
          <w:p w14:paraId="440807E6" w14:textId="77777777" w:rsidR="00C25FA5" w:rsidRPr="005516CD" w:rsidRDefault="00C25FA5" w:rsidP="004F03F5">
            <w:pPr>
              <w:pStyle w:val="ParagraphGenderAssessment"/>
              <w:jc w:val="left"/>
              <w:rPr>
                <w:rFonts w:cstheme="majorHAnsi"/>
                <w:sz w:val="20"/>
                <w:szCs w:val="20"/>
                <w:lang w:val="en-GB"/>
              </w:rPr>
            </w:pPr>
            <w:r w:rsidRPr="005516CD">
              <w:rPr>
                <w:rFonts w:cstheme="majorHAnsi"/>
                <w:sz w:val="20"/>
                <w:szCs w:val="20"/>
                <w:lang w:val="en-GB"/>
              </w:rPr>
              <w:t>Number of coffee/cocoa plants distributed to producers (subsidised/partially subsidised/non-subsidised), % men and women.</w:t>
            </w:r>
          </w:p>
          <w:p w14:paraId="0323E850"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Total/% land area under cacao and/or coffee cultivation that is managed by women and men.</w:t>
            </w:r>
          </w:p>
        </w:tc>
        <w:tc>
          <w:tcPr>
            <w:tcW w:w="1796" w:type="dxa"/>
          </w:tcPr>
          <w:p w14:paraId="1393EBCE"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rPr>
              <w:t>UNDP/FAO</w:t>
            </w:r>
          </w:p>
        </w:tc>
      </w:tr>
      <w:tr w:rsidR="00C25FA5" w:rsidRPr="005516CD" w14:paraId="77FF8E13" w14:textId="77777777" w:rsidTr="004F03F5">
        <w:trPr>
          <w:trHeight w:val="842"/>
        </w:trPr>
        <w:tc>
          <w:tcPr>
            <w:tcW w:w="2864" w:type="dxa"/>
          </w:tcPr>
          <w:p w14:paraId="59B458D0"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Output 2.2: Improved financing mechanisms for tree-based production systems:</w:t>
            </w:r>
          </w:p>
        </w:tc>
        <w:tc>
          <w:tcPr>
            <w:tcW w:w="4043" w:type="dxa"/>
          </w:tcPr>
          <w:p w14:paraId="76C01C1E" w14:textId="77777777" w:rsidR="00C25FA5" w:rsidRPr="005516CD" w:rsidRDefault="00C25FA5" w:rsidP="004E3C8E">
            <w:pPr>
              <w:rPr>
                <w:rFonts w:asciiTheme="majorHAnsi" w:hAnsiTheme="majorHAnsi" w:cstheme="majorHAnsi"/>
                <w:sz w:val="20"/>
                <w:szCs w:val="20"/>
              </w:rPr>
            </w:pPr>
            <w:r w:rsidRPr="005516CD">
              <w:rPr>
                <w:rFonts w:asciiTheme="majorHAnsi" w:hAnsiTheme="majorHAnsi" w:cstheme="majorHAnsi"/>
                <w:sz w:val="20"/>
                <w:szCs w:val="20"/>
              </w:rPr>
              <w:t>Promote gender mainstreaming in financial mechanisms (through institutions such as savings banks and cooperatives) and Government incentive programmes to improve access to women</w:t>
            </w:r>
          </w:p>
        </w:tc>
        <w:tc>
          <w:tcPr>
            <w:tcW w:w="4563" w:type="dxa"/>
          </w:tcPr>
          <w:p w14:paraId="4303B511" w14:textId="642AE960" w:rsidR="00C25FA5"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of awareness workshops and trainings for gender mainstreaming and gender equality</w:t>
            </w:r>
          </w:p>
          <w:p w14:paraId="5D47E0F7" w14:textId="6E5D38CB" w:rsidR="00A924CA" w:rsidRPr="00A924CA" w:rsidRDefault="00A924CA" w:rsidP="004F03F5">
            <w:pPr>
              <w:rPr>
                <w:rFonts w:asciiTheme="majorHAnsi" w:hAnsiTheme="majorHAnsi" w:cstheme="majorHAnsi"/>
                <w:sz w:val="20"/>
                <w:szCs w:val="20"/>
              </w:rPr>
            </w:pPr>
          </w:p>
          <w:p w14:paraId="004624EC" w14:textId="77777777" w:rsidR="00C25FA5" w:rsidRPr="005516CD" w:rsidRDefault="00C25FA5" w:rsidP="004F03F5">
            <w:pPr>
              <w:rPr>
                <w:rFonts w:asciiTheme="majorHAnsi" w:hAnsiTheme="majorHAnsi" w:cstheme="majorHAnsi"/>
                <w:sz w:val="20"/>
                <w:szCs w:val="20"/>
              </w:rPr>
            </w:pPr>
          </w:p>
        </w:tc>
        <w:tc>
          <w:tcPr>
            <w:tcW w:w="1796" w:type="dxa"/>
          </w:tcPr>
          <w:p w14:paraId="1E0319C0"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rPr>
              <w:t>UNDP/FAO</w:t>
            </w:r>
          </w:p>
        </w:tc>
      </w:tr>
      <w:tr w:rsidR="00C25FA5" w:rsidRPr="005516CD" w14:paraId="7B101174" w14:textId="77777777" w:rsidTr="004F03F5">
        <w:trPr>
          <w:trHeight w:val="842"/>
        </w:trPr>
        <w:tc>
          <w:tcPr>
            <w:tcW w:w="2864" w:type="dxa"/>
          </w:tcPr>
          <w:p w14:paraId="21FA6764"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Output 2.3 Participatory systems for knowledge generation and development:</w:t>
            </w:r>
          </w:p>
        </w:tc>
        <w:tc>
          <w:tcPr>
            <w:tcW w:w="4043" w:type="dxa"/>
          </w:tcPr>
          <w:p w14:paraId="1E5D1DCE" w14:textId="77777777" w:rsidR="00C25FA5" w:rsidRPr="005516CD" w:rsidRDefault="00C25FA5" w:rsidP="004F03F5">
            <w:pPr>
              <w:ind w:left="33"/>
              <w:contextualSpacing/>
              <w:rPr>
                <w:rFonts w:asciiTheme="majorHAnsi" w:hAnsiTheme="majorHAnsi" w:cstheme="majorHAnsi"/>
                <w:color w:val="000000"/>
                <w:sz w:val="20"/>
                <w:szCs w:val="20"/>
              </w:rPr>
            </w:pPr>
            <w:r w:rsidRPr="005516CD">
              <w:rPr>
                <w:rFonts w:asciiTheme="majorHAnsi" w:hAnsiTheme="majorHAnsi" w:cstheme="majorHAnsi"/>
                <w:sz w:val="20"/>
                <w:szCs w:val="20"/>
              </w:rPr>
              <w:t xml:space="preserve">Capacity building </w:t>
            </w:r>
            <w:r w:rsidRPr="005516CD">
              <w:rPr>
                <w:rFonts w:asciiTheme="majorHAnsi" w:hAnsiTheme="majorHAnsi" w:cstheme="majorHAnsi"/>
                <w:color w:val="000000"/>
                <w:sz w:val="20"/>
                <w:szCs w:val="20"/>
              </w:rPr>
              <w:t>of women, both individually and collectively, to support diversified productive activities</w:t>
            </w:r>
          </w:p>
          <w:p w14:paraId="754D1D55" w14:textId="77777777" w:rsidR="00C25FA5" w:rsidRPr="005516CD" w:rsidRDefault="00C25FA5" w:rsidP="004F03F5">
            <w:pPr>
              <w:rPr>
                <w:rFonts w:asciiTheme="majorHAnsi" w:hAnsiTheme="majorHAnsi" w:cstheme="majorHAnsi"/>
                <w:sz w:val="20"/>
                <w:szCs w:val="20"/>
              </w:rPr>
            </w:pPr>
          </w:p>
          <w:p w14:paraId="2A6B3A3F"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Knowledge sharing and integration of women’s and elder’s ecological/ethno-botanical knowledge into management practices;</w:t>
            </w:r>
          </w:p>
          <w:p w14:paraId="6EA639CE" w14:textId="77777777" w:rsidR="00C25FA5" w:rsidRPr="005516CD" w:rsidRDefault="00C25FA5" w:rsidP="004F03F5">
            <w:pPr>
              <w:rPr>
                <w:rFonts w:asciiTheme="majorHAnsi" w:hAnsiTheme="majorHAnsi" w:cstheme="majorHAnsi"/>
                <w:sz w:val="20"/>
                <w:szCs w:val="20"/>
              </w:rPr>
            </w:pPr>
          </w:p>
          <w:p w14:paraId="7A049981"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Ensure local communities, women, and other vulnerable groups are aware of and can access information relevant to their land occupancy and use rights</w:t>
            </w:r>
          </w:p>
          <w:p w14:paraId="1D81EBDE" w14:textId="77777777" w:rsidR="00C25FA5" w:rsidRPr="005516CD" w:rsidRDefault="00C25FA5" w:rsidP="004F03F5">
            <w:pPr>
              <w:rPr>
                <w:rFonts w:asciiTheme="majorHAnsi" w:hAnsiTheme="majorHAnsi" w:cstheme="majorHAnsi"/>
                <w:sz w:val="20"/>
                <w:szCs w:val="20"/>
              </w:rPr>
            </w:pPr>
          </w:p>
          <w:p w14:paraId="1C425CD2" w14:textId="77777777" w:rsidR="00C25FA5" w:rsidRPr="005516CD" w:rsidRDefault="00C25FA5" w:rsidP="004F03F5">
            <w:pPr>
              <w:ind w:left="33"/>
              <w:rPr>
                <w:rFonts w:asciiTheme="majorHAnsi" w:hAnsiTheme="majorHAnsi" w:cstheme="majorHAnsi"/>
                <w:bCs/>
                <w:color w:val="000000"/>
                <w:sz w:val="20"/>
                <w:szCs w:val="20"/>
              </w:rPr>
            </w:pPr>
            <w:r w:rsidRPr="005516CD">
              <w:rPr>
                <w:rFonts w:asciiTheme="majorHAnsi" w:hAnsiTheme="majorHAnsi" w:cstheme="majorHAnsi"/>
                <w:color w:val="000000"/>
                <w:sz w:val="20"/>
                <w:szCs w:val="20"/>
              </w:rPr>
              <w:t xml:space="preserve">Promote women’s participation within cooperatives and encourage </w:t>
            </w:r>
            <w:r w:rsidRPr="005516CD">
              <w:rPr>
                <w:rFonts w:asciiTheme="majorHAnsi" w:hAnsiTheme="majorHAnsi" w:cstheme="majorHAnsi"/>
                <w:bCs/>
                <w:color w:val="000000"/>
                <w:sz w:val="20"/>
                <w:szCs w:val="20"/>
              </w:rPr>
              <w:t xml:space="preserve">women's access to places of power in cooperatives; </w:t>
            </w:r>
          </w:p>
          <w:p w14:paraId="38EFAE78" w14:textId="77777777" w:rsidR="00C25FA5" w:rsidRPr="005516CD" w:rsidRDefault="00C25FA5" w:rsidP="004F03F5">
            <w:pPr>
              <w:pStyle w:val="ParagraphGenderAssessment"/>
              <w:jc w:val="left"/>
              <w:rPr>
                <w:rFonts w:cstheme="majorHAnsi"/>
                <w:sz w:val="20"/>
                <w:szCs w:val="20"/>
              </w:rPr>
            </w:pPr>
            <w:r w:rsidRPr="005516CD">
              <w:rPr>
                <w:rFonts w:cstheme="majorHAnsi"/>
                <w:sz w:val="20"/>
                <w:szCs w:val="20"/>
              </w:rPr>
              <w:t>Promote the inclusion of projects led by women and women’s advocacy groups in diversified management activities;</w:t>
            </w:r>
          </w:p>
        </w:tc>
        <w:tc>
          <w:tcPr>
            <w:tcW w:w="4563" w:type="dxa"/>
          </w:tcPr>
          <w:p w14:paraId="5E0504B0"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of women and men participating in activities</w:t>
            </w:r>
          </w:p>
          <w:p w14:paraId="0191BEA4" w14:textId="77777777" w:rsidR="00C25FA5" w:rsidRPr="005516CD" w:rsidRDefault="00C25FA5" w:rsidP="004F03F5">
            <w:pPr>
              <w:rPr>
                <w:rFonts w:asciiTheme="majorHAnsi" w:hAnsiTheme="majorHAnsi" w:cstheme="majorHAnsi"/>
                <w:sz w:val="20"/>
                <w:szCs w:val="20"/>
              </w:rPr>
            </w:pPr>
          </w:p>
          <w:p w14:paraId="4F4B3FDE" w14:textId="2F50F4BA" w:rsidR="00C25FA5"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Percentage of participatory activities promoting production in gardens, diversified and nutritious varieties, and crops for sale in domestic markets</w:t>
            </w:r>
          </w:p>
          <w:p w14:paraId="14DDFA86" w14:textId="77777777" w:rsidR="00C25FA5" w:rsidRPr="005516CD" w:rsidRDefault="00C25FA5" w:rsidP="004F03F5">
            <w:pPr>
              <w:rPr>
                <w:rFonts w:asciiTheme="majorHAnsi" w:hAnsiTheme="majorHAnsi" w:cstheme="majorHAnsi"/>
                <w:sz w:val="20"/>
                <w:szCs w:val="20"/>
              </w:rPr>
            </w:pPr>
          </w:p>
          <w:p w14:paraId="22E0A193" w14:textId="77777777" w:rsidR="00C25FA5" w:rsidRPr="005516CD" w:rsidRDefault="00C25FA5" w:rsidP="004F03F5">
            <w:pPr>
              <w:rPr>
                <w:rFonts w:asciiTheme="majorHAnsi" w:hAnsiTheme="majorHAnsi" w:cstheme="majorHAnsi"/>
                <w:sz w:val="20"/>
                <w:szCs w:val="20"/>
              </w:rPr>
            </w:pPr>
          </w:p>
        </w:tc>
        <w:tc>
          <w:tcPr>
            <w:tcW w:w="1796" w:type="dxa"/>
          </w:tcPr>
          <w:p w14:paraId="1EA35567"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rPr>
              <w:t>UNDP/FAO</w:t>
            </w:r>
          </w:p>
        </w:tc>
      </w:tr>
      <w:tr w:rsidR="00C25FA5" w:rsidRPr="005516CD" w14:paraId="04DC6ECA" w14:textId="77777777" w:rsidTr="004F03F5">
        <w:trPr>
          <w:trHeight w:val="842"/>
        </w:trPr>
        <w:tc>
          <w:tcPr>
            <w:tcW w:w="2864" w:type="dxa"/>
          </w:tcPr>
          <w:p w14:paraId="327A8275"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Output 2.4 Capacities for generating revenue from other tree-based systems on farm:</w:t>
            </w:r>
          </w:p>
        </w:tc>
        <w:tc>
          <w:tcPr>
            <w:tcW w:w="4043" w:type="dxa"/>
          </w:tcPr>
          <w:p w14:paraId="20EB8AF6"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 xml:space="preserve">Promote entrepreneurship among women and build women’s capacities </w:t>
            </w:r>
          </w:p>
          <w:p w14:paraId="073ECBA6" w14:textId="77777777" w:rsidR="00C25FA5" w:rsidRPr="005516CD" w:rsidRDefault="00C25FA5" w:rsidP="004F03F5">
            <w:pPr>
              <w:rPr>
                <w:rFonts w:asciiTheme="majorHAnsi" w:hAnsiTheme="majorHAnsi" w:cstheme="majorHAnsi"/>
                <w:sz w:val="20"/>
                <w:szCs w:val="20"/>
              </w:rPr>
            </w:pPr>
          </w:p>
          <w:p w14:paraId="0F174F56"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Improve women’s and women-led household income, empower women economically</w:t>
            </w:r>
          </w:p>
          <w:p w14:paraId="0C4B5A48" w14:textId="77777777" w:rsidR="00C25FA5" w:rsidRPr="005516CD" w:rsidRDefault="00C25FA5" w:rsidP="004F03F5">
            <w:pPr>
              <w:rPr>
                <w:rFonts w:asciiTheme="majorHAnsi" w:hAnsiTheme="majorHAnsi" w:cstheme="majorHAnsi"/>
                <w:sz w:val="20"/>
                <w:szCs w:val="20"/>
              </w:rPr>
            </w:pPr>
          </w:p>
          <w:p w14:paraId="41D32CEF"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color w:val="000000"/>
                <w:sz w:val="20"/>
                <w:szCs w:val="20"/>
              </w:rPr>
              <w:t xml:space="preserve">Promote women’s participation within cooperatives and encourage </w:t>
            </w:r>
            <w:r w:rsidRPr="005516CD">
              <w:rPr>
                <w:rFonts w:asciiTheme="majorHAnsi" w:hAnsiTheme="majorHAnsi" w:cstheme="majorHAnsi"/>
                <w:bCs/>
                <w:color w:val="000000"/>
                <w:sz w:val="20"/>
                <w:szCs w:val="20"/>
              </w:rPr>
              <w:t>women's access to places of power in cooperatives</w:t>
            </w:r>
          </w:p>
        </w:tc>
        <w:tc>
          <w:tcPr>
            <w:tcW w:w="4563" w:type="dxa"/>
          </w:tcPr>
          <w:p w14:paraId="5D6FB02D"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Total/% area of other tree-based systems that are managed by women and men.</w:t>
            </w:r>
          </w:p>
          <w:p w14:paraId="20C6A902" w14:textId="77777777" w:rsidR="00C25FA5" w:rsidRPr="005516CD" w:rsidRDefault="00C25FA5" w:rsidP="004F03F5">
            <w:pPr>
              <w:rPr>
                <w:rFonts w:asciiTheme="majorHAnsi" w:hAnsiTheme="majorHAnsi" w:cstheme="majorHAnsi"/>
                <w:sz w:val="20"/>
                <w:szCs w:val="20"/>
              </w:rPr>
            </w:pPr>
          </w:p>
          <w:p w14:paraId="004E7278"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 xml:space="preserve">Number/% of women and men participating in activities targeting commercialization of tree products, small-scale processing, transformation of products into handicrafts - Total/% of participatory activities </w:t>
            </w:r>
          </w:p>
          <w:p w14:paraId="5C8A16AC" w14:textId="77777777" w:rsidR="00C25FA5" w:rsidRPr="005516CD" w:rsidRDefault="00C25FA5" w:rsidP="004F03F5">
            <w:pPr>
              <w:rPr>
                <w:rFonts w:asciiTheme="majorHAnsi" w:hAnsiTheme="majorHAnsi" w:cstheme="majorHAnsi"/>
                <w:sz w:val="20"/>
                <w:szCs w:val="20"/>
              </w:rPr>
            </w:pPr>
          </w:p>
          <w:p w14:paraId="38949D5A"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of women-led households/% women beneficiaries with improved annual income</w:t>
            </w:r>
          </w:p>
          <w:p w14:paraId="386557E4" w14:textId="77777777" w:rsidR="00C25FA5" w:rsidRPr="005516CD" w:rsidRDefault="00C25FA5" w:rsidP="004F03F5">
            <w:pPr>
              <w:rPr>
                <w:rFonts w:asciiTheme="majorHAnsi" w:hAnsiTheme="majorHAnsi" w:cstheme="majorHAnsi"/>
                <w:sz w:val="20"/>
                <w:szCs w:val="20"/>
              </w:rPr>
            </w:pPr>
          </w:p>
          <w:p w14:paraId="22E9A9A2"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 xml:space="preserve">Number/% of women and men in new and previously established cooperatives and community organizations </w:t>
            </w:r>
          </w:p>
          <w:p w14:paraId="791D8397" w14:textId="77777777" w:rsidR="00C25FA5" w:rsidRPr="005516CD" w:rsidRDefault="00C25FA5" w:rsidP="004F03F5">
            <w:pPr>
              <w:rPr>
                <w:rFonts w:asciiTheme="majorHAnsi" w:hAnsiTheme="majorHAnsi" w:cstheme="majorHAnsi"/>
                <w:sz w:val="20"/>
                <w:szCs w:val="20"/>
              </w:rPr>
            </w:pPr>
          </w:p>
          <w:p w14:paraId="7C4E2C97"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of women and men in positions of power in new and previously established cooperatives and community organizations</w:t>
            </w:r>
          </w:p>
          <w:p w14:paraId="5E119D0E" w14:textId="77777777" w:rsidR="00C25FA5" w:rsidRPr="005516CD" w:rsidRDefault="00C25FA5" w:rsidP="004F03F5">
            <w:pPr>
              <w:rPr>
                <w:rFonts w:asciiTheme="majorHAnsi" w:hAnsiTheme="majorHAnsi" w:cstheme="majorHAnsi"/>
                <w:sz w:val="20"/>
                <w:szCs w:val="20"/>
              </w:rPr>
            </w:pPr>
          </w:p>
          <w:p w14:paraId="64C31A32" w14:textId="77777777" w:rsidR="00C25FA5" w:rsidRPr="005516CD" w:rsidRDefault="00C25FA5" w:rsidP="004E3C8E">
            <w:pPr>
              <w:rPr>
                <w:rFonts w:asciiTheme="majorHAnsi" w:hAnsiTheme="majorHAnsi" w:cstheme="majorHAnsi"/>
                <w:sz w:val="20"/>
                <w:szCs w:val="20"/>
              </w:rPr>
            </w:pPr>
            <w:r w:rsidRPr="005516CD">
              <w:rPr>
                <w:rFonts w:asciiTheme="majorHAnsi" w:hAnsiTheme="majorHAnsi" w:cstheme="majorHAnsi"/>
                <w:sz w:val="20"/>
                <w:szCs w:val="20"/>
              </w:rPr>
              <w:t>Number of new value chains for tree-based products - total number of value chains for tree-based products</w:t>
            </w:r>
          </w:p>
        </w:tc>
        <w:tc>
          <w:tcPr>
            <w:tcW w:w="1796" w:type="dxa"/>
          </w:tcPr>
          <w:p w14:paraId="2BD0D086"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rPr>
              <w:t>UNDP/FAO</w:t>
            </w:r>
          </w:p>
        </w:tc>
      </w:tr>
      <w:tr w:rsidR="00C25FA5" w:rsidRPr="005516CD" w14:paraId="78D43742" w14:textId="77777777" w:rsidTr="004F03F5">
        <w:tc>
          <w:tcPr>
            <w:tcW w:w="13266" w:type="dxa"/>
            <w:gridSpan w:val="4"/>
            <w:shd w:val="clear" w:color="auto" w:fill="EDEDED" w:themeFill="text2" w:themeFillTint="33"/>
          </w:tcPr>
          <w:p w14:paraId="1792E126" w14:textId="77777777" w:rsidR="00C25FA5" w:rsidRPr="005516CD" w:rsidRDefault="00C25FA5" w:rsidP="004F03F5">
            <w:pPr>
              <w:rPr>
                <w:rFonts w:asciiTheme="majorHAnsi" w:hAnsiTheme="majorHAnsi" w:cstheme="majorHAnsi"/>
                <w:b/>
                <w:sz w:val="20"/>
                <w:szCs w:val="20"/>
              </w:rPr>
            </w:pPr>
            <w:r w:rsidRPr="005516CD">
              <w:rPr>
                <w:rFonts w:asciiTheme="majorHAnsi" w:hAnsiTheme="majorHAnsi" w:cstheme="majorHAnsi"/>
                <w:b/>
                <w:sz w:val="20"/>
                <w:szCs w:val="20"/>
              </w:rPr>
              <w:t>Component 3:</w:t>
            </w:r>
            <w:r w:rsidRPr="005516CD">
              <w:rPr>
                <w:rFonts w:asciiTheme="majorHAnsi" w:hAnsiTheme="majorHAnsi" w:cstheme="majorHAnsi"/>
                <w:b/>
                <w:bCs/>
                <w:noProof/>
                <w:sz w:val="20"/>
                <w:szCs w:val="20"/>
              </w:rPr>
              <w:t xml:space="preserve"> Knowledge management and learning</w:t>
            </w:r>
          </w:p>
        </w:tc>
      </w:tr>
      <w:tr w:rsidR="00C25FA5" w:rsidRPr="005516CD" w14:paraId="1E6ADADB" w14:textId="77777777" w:rsidTr="004F03F5">
        <w:trPr>
          <w:trHeight w:val="1274"/>
        </w:trPr>
        <w:tc>
          <w:tcPr>
            <w:tcW w:w="2864" w:type="dxa"/>
          </w:tcPr>
          <w:p w14:paraId="0058D19F"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 xml:space="preserve">Output 3.1 </w:t>
            </w:r>
          </w:p>
          <w:p w14:paraId="6A6E70F0"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bCs/>
                <w:noProof/>
                <w:sz w:val="20"/>
                <w:szCs w:val="20"/>
              </w:rPr>
              <w:t>Knowledge management and dissemination/scaling up strategy</w:t>
            </w:r>
          </w:p>
        </w:tc>
        <w:tc>
          <w:tcPr>
            <w:tcW w:w="4043" w:type="dxa"/>
          </w:tcPr>
          <w:p w14:paraId="29EF9F87" w14:textId="77777777" w:rsidR="00C25FA5" w:rsidRPr="005516CD" w:rsidRDefault="00C25FA5" w:rsidP="004F03F5">
            <w:pPr>
              <w:widowControl w:val="0"/>
              <w:autoSpaceDE w:val="0"/>
              <w:autoSpaceDN w:val="0"/>
              <w:adjustRightInd w:val="0"/>
              <w:jc w:val="both"/>
              <w:rPr>
                <w:rFonts w:asciiTheme="majorHAnsi" w:eastAsiaTheme="minorEastAsia" w:hAnsiTheme="majorHAnsi" w:cstheme="majorHAnsi"/>
                <w:sz w:val="20"/>
                <w:szCs w:val="20"/>
              </w:rPr>
            </w:pPr>
            <w:r w:rsidRPr="005516CD">
              <w:rPr>
                <w:rFonts w:asciiTheme="majorHAnsi" w:eastAsiaTheme="minorEastAsia" w:hAnsiTheme="majorHAnsi" w:cstheme="majorHAnsi"/>
                <w:sz w:val="20"/>
                <w:szCs w:val="20"/>
              </w:rPr>
              <w:t>Establishment of a gender/observatory section for landscape management and tree-based systems;</w:t>
            </w:r>
          </w:p>
          <w:p w14:paraId="68C7B4F7" w14:textId="77777777" w:rsidR="00C25FA5" w:rsidRPr="005516CD" w:rsidRDefault="00C25FA5" w:rsidP="004F03F5">
            <w:pPr>
              <w:widowControl w:val="0"/>
              <w:autoSpaceDE w:val="0"/>
              <w:autoSpaceDN w:val="0"/>
              <w:adjustRightInd w:val="0"/>
              <w:rPr>
                <w:rFonts w:asciiTheme="majorHAnsi" w:eastAsiaTheme="minorEastAsia" w:hAnsiTheme="majorHAnsi" w:cstheme="majorHAnsi"/>
                <w:sz w:val="20"/>
                <w:szCs w:val="20"/>
              </w:rPr>
            </w:pPr>
          </w:p>
        </w:tc>
        <w:tc>
          <w:tcPr>
            <w:tcW w:w="4563" w:type="dxa"/>
          </w:tcPr>
          <w:p w14:paraId="5076470A"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Data broken down by gender and overall analyses</w:t>
            </w:r>
          </w:p>
          <w:p w14:paraId="64902645" w14:textId="77777777" w:rsidR="00C25FA5" w:rsidRPr="005516CD" w:rsidRDefault="00C25FA5" w:rsidP="004F03F5">
            <w:pPr>
              <w:rPr>
                <w:rFonts w:asciiTheme="majorHAnsi" w:hAnsiTheme="majorHAnsi" w:cstheme="majorHAnsi"/>
                <w:sz w:val="20"/>
                <w:szCs w:val="20"/>
              </w:rPr>
            </w:pPr>
          </w:p>
          <w:p w14:paraId="09190487" w14:textId="77777777" w:rsidR="00C25FA5" w:rsidRPr="005516CD" w:rsidRDefault="00C25FA5" w:rsidP="004F03F5">
            <w:pPr>
              <w:rPr>
                <w:rFonts w:asciiTheme="majorHAnsi" w:eastAsiaTheme="minorEastAsia" w:hAnsiTheme="majorHAnsi" w:cstheme="majorHAnsi"/>
                <w:sz w:val="20"/>
                <w:szCs w:val="20"/>
              </w:rPr>
            </w:pPr>
            <w:r w:rsidRPr="005516CD">
              <w:rPr>
                <w:rFonts w:asciiTheme="majorHAnsi" w:hAnsiTheme="majorHAnsi" w:cstheme="majorHAnsi"/>
                <w:sz w:val="20"/>
                <w:szCs w:val="20"/>
              </w:rPr>
              <w:t xml:space="preserve">Number of documents/publications produced with gender data </w:t>
            </w:r>
          </w:p>
        </w:tc>
        <w:tc>
          <w:tcPr>
            <w:tcW w:w="1796" w:type="dxa"/>
          </w:tcPr>
          <w:p w14:paraId="1FCF7242" w14:textId="77777777" w:rsidR="00C25FA5" w:rsidRPr="005516CD" w:rsidRDefault="00C25FA5" w:rsidP="004F03F5">
            <w:pPr>
              <w:jc w:val="both"/>
              <w:rPr>
                <w:rFonts w:asciiTheme="majorHAnsi" w:hAnsiTheme="majorHAnsi" w:cstheme="majorHAnsi"/>
                <w:sz w:val="20"/>
                <w:szCs w:val="20"/>
              </w:rPr>
            </w:pPr>
          </w:p>
          <w:p w14:paraId="745EFED4" w14:textId="77777777" w:rsidR="00C25FA5" w:rsidRPr="005516CD" w:rsidRDefault="00C25FA5" w:rsidP="004F03F5">
            <w:pPr>
              <w:jc w:val="both"/>
              <w:rPr>
                <w:rFonts w:asciiTheme="majorHAnsi" w:hAnsiTheme="majorHAnsi" w:cstheme="majorHAnsi"/>
                <w:sz w:val="20"/>
                <w:szCs w:val="20"/>
              </w:rPr>
            </w:pPr>
            <w:r w:rsidRPr="005516CD">
              <w:rPr>
                <w:rFonts w:asciiTheme="majorHAnsi" w:hAnsiTheme="majorHAnsi" w:cstheme="majorHAnsi"/>
              </w:rPr>
              <w:t>UNDP/FAO</w:t>
            </w:r>
          </w:p>
          <w:p w14:paraId="7B62F556" w14:textId="77777777" w:rsidR="00C25FA5" w:rsidRPr="005516CD" w:rsidRDefault="00C25FA5" w:rsidP="004F03F5">
            <w:pPr>
              <w:jc w:val="both"/>
              <w:rPr>
                <w:rFonts w:asciiTheme="majorHAnsi" w:hAnsiTheme="majorHAnsi" w:cstheme="majorHAnsi"/>
                <w:sz w:val="20"/>
                <w:szCs w:val="20"/>
              </w:rPr>
            </w:pPr>
          </w:p>
        </w:tc>
      </w:tr>
      <w:tr w:rsidR="00C25FA5" w:rsidRPr="005516CD" w14:paraId="32D03949" w14:textId="77777777" w:rsidTr="004F03F5">
        <w:trPr>
          <w:trHeight w:val="1300"/>
        </w:trPr>
        <w:tc>
          <w:tcPr>
            <w:tcW w:w="2864" w:type="dxa"/>
          </w:tcPr>
          <w:p w14:paraId="045ACBB8"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 xml:space="preserve">Output 3.2 </w:t>
            </w:r>
          </w:p>
          <w:p w14:paraId="2A460240"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Communication strategy to ensure that project objectives, concepts, principles and progress are effectively communicated to all key stakeholder categories</w:t>
            </w:r>
          </w:p>
        </w:tc>
        <w:tc>
          <w:tcPr>
            <w:tcW w:w="4043" w:type="dxa"/>
          </w:tcPr>
          <w:p w14:paraId="5AD111C3" w14:textId="77777777" w:rsidR="00C25FA5" w:rsidRPr="005516CD" w:rsidRDefault="00C25FA5" w:rsidP="004F03F5">
            <w:pPr>
              <w:widowControl w:val="0"/>
              <w:autoSpaceDE w:val="0"/>
              <w:autoSpaceDN w:val="0"/>
              <w:adjustRightInd w:val="0"/>
              <w:jc w:val="both"/>
              <w:rPr>
                <w:rFonts w:asciiTheme="majorHAnsi" w:eastAsiaTheme="minorEastAsia" w:hAnsiTheme="majorHAnsi" w:cstheme="majorHAnsi"/>
                <w:sz w:val="20"/>
                <w:szCs w:val="20"/>
              </w:rPr>
            </w:pPr>
            <w:r w:rsidRPr="005516CD">
              <w:rPr>
                <w:rFonts w:asciiTheme="majorHAnsi" w:eastAsiaTheme="minorEastAsia" w:hAnsiTheme="majorHAnsi" w:cstheme="majorHAnsi"/>
                <w:sz w:val="20"/>
                <w:szCs w:val="20"/>
              </w:rPr>
              <w:t>Ensure that communication strategy is gender-responsive by accounting for the differing information needs and access constraints that women may have</w:t>
            </w:r>
          </w:p>
        </w:tc>
        <w:tc>
          <w:tcPr>
            <w:tcW w:w="4563" w:type="dxa"/>
          </w:tcPr>
          <w:p w14:paraId="21A34EBE"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of men and women beneficiaries aware of project objectives and progress</w:t>
            </w:r>
          </w:p>
          <w:p w14:paraId="11108DE4" w14:textId="77777777" w:rsidR="00C25FA5" w:rsidRPr="005516CD" w:rsidRDefault="00C25FA5" w:rsidP="004F03F5">
            <w:pPr>
              <w:rPr>
                <w:rFonts w:asciiTheme="majorHAnsi" w:hAnsiTheme="majorHAnsi" w:cstheme="majorHAnsi"/>
                <w:sz w:val="20"/>
                <w:szCs w:val="20"/>
              </w:rPr>
            </w:pPr>
          </w:p>
          <w:p w14:paraId="43202684" w14:textId="77777777" w:rsidR="00C25FA5" w:rsidRPr="005516CD" w:rsidRDefault="00C25FA5" w:rsidP="004F03F5">
            <w:pPr>
              <w:rPr>
                <w:rFonts w:asciiTheme="majorHAnsi" w:hAnsiTheme="majorHAnsi" w:cstheme="majorHAnsi"/>
                <w:sz w:val="20"/>
                <w:szCs w:val="20"/>
              </w:rPr>
            </w:pPr>
          </w:p>
        </w:tc>
        <w:tc>
          <w:tcPr>
            <w:tcW w:w="1796" w:type="dxa"/>
          </w:tcPr>
          <w:p w14:paraId="437262C1" w14:textId="77777777" w:rsidR="00C25FA5" w:rsidRPr="005516CD" w:rsidRDefault="00C25FA5" w:rsidP="004F03F5">
            <w:pPr>
              <w:jc w:val="both"/>
              <w:rPr>
                <w:rFonts w:asciiTheme="majorHAnsi" w:hAnsiTheme="majorHAnsi" w:cstheme="majorHAnsi"/>
                <w:sz w:val="20"/>
                <w:szCs w:val="20"/>
              </w:rPr>
            </w:pPr>
            <w:r w:rsidRPr="005516CD">
              <w:rPr>
                <w:rFonts w:asciiTheme="majorHAnsi" w:hAnsiTheme="majorHAnsi" w:cstheme="majorHAnsi"/>
              </w:rPr>
              <w:t>UNDP/FAO</w:t>
            </w:r>
          </w:p>
          <w:p w14:paraId="164366EC" w14:textId="77777777" w:rsidR="00C25FA5" w:rsidRPr="005516CD" w:rsidRDefault="00C25FA5" w:rsidP="004F03F5">
            <w:pPr>
              <w:jc w:val="both"/>
              <w:rPr>
                <w:rFonts w:asciiTheme="majorHAnsi" w:hAnsiTheme="majorHAnsi" w:cstheme="majorHAnsi"/>
                <w:sz w:val="20"/>
                <w:szCs w:val="20"/>
              </w:rPr>
            </w:pPr>
          </w:p>
        </w:tc>
      </w:tr>
      <w:tr w:rsidR="00C25FA5" w:rsidRPr="005516CD" w14:paraId="578394C6" w14:textId="77777777" w:rsidTr="004F03F5">
        <w:trPr>
          <w:trHeight w:val="842"/>
        </w:trPr>
        <w:tc>
          <w:tcPr>
            <w:tcW w:w="2864" w:type="dxa"/>
          </w:tcPr>
          <w:p w14:paraId="79327F48"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Output 3.3</w:t>
            </w:r>
          </w:p>
          <w:p w14:paraId="2149DE3A"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bCs/>
                <w:noProof/>
                <w:sz w:val="20"/>
                <w:szCs w:val="20"/>
              </w:rPr>
              <w:t>Monitoring and evaluation strategy</w:t>
            </w:r>
          </w:p>
        </w:tc>
        <w:tc>
          <w:tcPr>
            <w:tcW w:w="4043" w:type="dxa"/>
          </w:tcPr>
          <w:p w14:paraId="29DF0E4B" w14:textId="77777777" w:rsidR="00C25FA5" w:rsidRPr="005516CD" w:rsidRDefault="00C25FA5" w:rsidP="004F03F5">
            <w:pPr>
              <w:pStyle w:val="textetero"/>
              <w:numPr>
                <w:ilvl w:val="0"/>
                <w:numId w:val="0"/>
              </w:numPr>
              <w:ind w:left="-35"/>
              <w:rPr>
                <w:rFonts w:asciiTheme="majorHAnsi" w:eastAsiaTheme="minorEastAsia" w:hAnsiTheme="majorHAnsi" w:cstheme="majorHAnsi"/>
                <w:sz w:val="20"/>
                <w:szCs w:val="20"/>
              </w:rPr>
            </w:pPr>
            <w:r w:rsidRPr="005516CD">
              <w:rPr>
                <w:rFonts w:asciiTheme="majorHAnsi" w:eastAsiaTheme="minorEastAsia" w:hAnsiTheme="majorHAnsi" w:cstheme="majorHAnsi"/>
                <w:sz w:val="20"/>
                <w:szCs w:val="20"/>
              </w:rPr>
              <w:t>Set up of monitoring with project data broken down by gender;</w:t>
            </w:r>
          </w:p>
          <w:p w14:paraId="6D342810" w14:textId="77777777" w:rsidR="00C25FA5" w:rsidRPr="005516CD" w:rsidRDefault="00C25FA5" w:rsidP="004F03F5">
            <w:pPr>
              <w:widowControl w:val="0"/>
              <w:autoSpaceDE w:val="0"/>
              <w:autoSpaceDN w:val="0"/>
              <w:adjustRightInd w:val="0"/>
              <w:rPr>
                <w:rFonts w:asciiTheme="majorHAnsi" w:eastAsiaTheme="minorEastAsia" w:hAnsiTheme="majorHAnsi" w:cstheme="majorHAnsi"/>
                <w:sz w:val="20"/>
                <w:szCs w:val="20"/>
              </w:rPr>
            </w:pPr>
            <w:r w:rsidRPr="005516CD">
              <w:rPr>
                <w:rFonts w:asciiTheme="majorHAnsi" w:hAnsiTheme="majorHAnsi" w:cstheme="majorHAnsi"/>
                <w:sz w:val="20"/>
                <w:szCs w:val="20"/>
              </w:rPr>
              <w:t>Production of research and dissemination of findings</w:t>
            </w:r>
            <w:r w:rsidRPr="005516CD">
              <w:rPr>
                <w:rFonts w:asciiTheme="majorHAnsi" w:eastAsiaTheme="minorEastAsia" w:hAnsiTheme="majorHAnsi" w:cstheme="majorHAnsi"/>
                <w:sz w:val="20"/>
                <w:szCs w:val="20"/>
              </w:rPr>
              <w:t xml:space="preserve"> on gender/biodiversity/agriculture;</w:t>
            </w:r>
          </w:p>
          <w:p w14:paraId="04F1DF55" w14:textId="77777777" w:rsidR="00C25FA5" w:rsidRPr="005516CD" w:rsidRDefault="00C25FA5" w:rsidP="004F03F5">
            <w:pPr>
              <w:widowControl w:val="0"/>
              <w:autoSpaceDE w:val="0"/>
              <w:autoSpaceDN w:val="0"/>
              <w:adjustRightInd w:val="0"/>
              <w:rPr>
                <w:rFonts w:asciiTheme="majorHAnsi" w:eastAsiaTheme="minorEastAsia" w:hAnsiTheme="majorHAnsi" w:cstheme="majorHAnsi"/>
                <w:sz w:val="20"/>
                <w:szCs w:val="20"/>
              </w:rPr>
            </w:pPr>
          </w:p>
          <w:p w14:paraId="4E117A8C" w14:textId="77777777" w:rsidR="00C25FA5" w:rsidRPr="005516CD" w:rsidRDefault="00C25FA5" w:rsidP="004F03F5">
            <w:pPr>
              <w:widowControl w:val="0"/>
              <w:autoSpaceDE w:val="0"/>
              <w:autoSpaceDN w:val="0"/>
              <w:adjustRightInd w:val="0"/>
              <w:rPr>
                <w:rFonts w:asciiTheme="majorHAnsi" w:eastAsiaTheme="minorEastAsia" w:hAnsiTheme="majorHAnsi" w:cstheme="majorHAnsi"/>
                <w:sz w:val="20"/>
                <w:szCs w:val="20"/>
              </w:rPr>
            </w:pPr>
            <w:r w:rsidRPr="005516CD">
              <w:rPr>
                <w:rFonts w:asciiTheme="majorHAnsi" w:eastAsiaTheme="minorEastAsia" w:hAnsiTheme="majorHAnsi" w:cstheme="majorHAnsi"/>
                <w:sz w:val="20"/>
                <w:szCs w:val="20"/>
              </w:rPr>
              <w:t>Systematize the lessons learned through comparative analyses of the impact on women-led households (e.g. changes to the division of labour according to gender, observed changes to production-reproduction activities, benefits, etc.);</w:t>
            </w:r>
          </w:p>
          <w:p w14:paraId="0F972F52" w14:textId="77777777" w:rsidR="00C25FA5" w:rsidRPr="005516CD" w:rsidRDefault="00C25FA5" w:rsidP="004F03F5">
            <w:pPr>
              <w:widowControl w:val="0"/>
              <w:autoSpaceDE w:val="0"/>
              <w:autoSpaceDN w:val="0"/>
              <w:adjustRightInd w:val="0"/>
              <w:rPr>
                <w:rFonts w:asciiTheme="majorHAnsi" w:eastAsiaTheme="minorEastAsia" w:hAnsiTheme="majorHAnsi" w:cstheme="majorHAnsi"/>
                <w:sz w:val="20"/>
                <w:szCs w:val="20"/>
              </w:rPr>
            </w:pPr>
          </w:p>
          <w:p w14:paraId="35FF03D4" w14:textId="77777777" w:rsidR="00C25FA5" w:rsidRPr="005516CD" w:rsidRDefault="00C25FA5" w:rsidP="004F03F5">
            <w:pPr>
              <w:widowControl w:val="0"/>
              <w:autoSpaceDE w:val="0"/>
              <w:autoSpaceDN w:val="0"/>
              <w:adjustRightInd w:val="0"/>
              <w:rPr>
                <w:rFonts w:asciiTheme="majorHAnsi" w:eastAsiaTheme="minorEastAsia" w:hAnsiTheme="majorHAnsi" w:cstheme="majorHAnsi"/>
                <w:sz w:val="20"/>
                <w:szCs w:val="20"/>
              </w:rPr>
            </w:pPr>
            <w:r w:rsidRPr="005516CD">
              <w:rPr>
                <w:rFonts w:asciiTheme="majorHAnsi" w:eastAsiaTheme="minorEastAsia" w:hAnsiTheme="majorHAnsi" w:cstheme="majorHAnsi"/>
                <w:sz w:val="20"/>
                <w:szCs w:val="20"/>
              </w:rPr>
              <w:t>Contribution to information and knowledge on project impacts/effects by gender and inequalities/leverage for action;</w:t>
            </w:r>
          </w:p>
        </w:tc>
        <w:tc>
          <w:tcPr>
            <w:tcW w:w="4563" w:type="dxa"/>
          </w:tcPr>
          <w:p w14:paraId="1342A7D9"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of women and women-headed households with better access to agricultural extension services</w:t>
            </w:r>
          </w:p>
          <w:p w14:paraId="7F2DDC69" w14:textId="77777777" w:rsidR="00C25FA5" w:rsidRPr="005516CD" w:rsidRDefault="00C25FA5" w:rsidP="004F03F5">
            <w:pPr>
              <w:rPr>
                <w:rFonts w:asciiTheme="majorHAnsi" w:hAnsiTheme="majorHAnsi" w:cstheme="majorHAnsi"/>
                <w:sz w:val="20"/>
                <w:szCs w:val="20"/>
              </w:rPr>
            </w:pPr>
          </w:p>
          <w:p w14:paraId="1D6DAB46"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of women and women-headed households with better access to finance for the sustainability of tree-based production systems</w:t>
            </w:r>
          </w:p>
          <w:p w14:paraId="13504B1D" w14:textId="77777777" w:rsidR="00C25FA5" w:rsidRPr="005516CD" w:rsidRDefault="00C25FA5" w:rsidP="004F03F5">
            <w:pPr>
              <w:rPr>
                <w:rFonts w:asciiTheme="majorHAnsi" w:hAnsiTheme="majorHAnsi" w:cstheme="majorHAnsi"/>
                <w:sz w:val="20"/>
                <w:szCs w:val="20"/>
              </w:rPr>
            </w:pPr>
          </w:p>
          <w:p w14:paraId="0A5E513C" w14:textId="77777777" w:rsidR="00C25FA5" w:rsidRPr="005516CD" w:rsidRDefault="00C25FA5" w:rsidP="004F03F5">
            <w:pPr>
              <w:rPr>
                <w:rFonts w:asciiTheme="majorHAnsi" w:hAnsiTheme="majorHAnsi" w:cstheme="majorHAnsi"/>
                <w:sz w:val="20"/>
                <w:szCs w:val="20"/>
              </w:rPr>
            </w:pPr>
          </w:p>
          <w:p w14:paraId="5F5F1907" w14:textId="77777777" w:rsidR="00C25FA5" w:rsidRPr="005516CD" w:rsidRDefault="00C25FA5" w:rsidP="004F03F5">
            <w:pPr>
              <w:rPr>
                <w:rFonts w:asciiTheme="majorHAnsi" w:hAnsiTheme="majorHAnsi" w:cstheme="majorHAnsi"/>
                <w:sz w:val="20"/>
                <w:szCs w:val="20"/>
              </w:rPr>
            </w:pPr>
            <w:r w:rsidRPr="005516CD">
              <w:rPr>
                <w:rFonts w:asciiTheme="majorHAnsi" w:hAnsiTheme="majorHAnsi" w:cstheme="majorHAnsi"/>
                <w:sz w:val="20"/>
                <w:szCs w:val="20"/>
              </w:rPr>
              <w:t>Number of women and women-headed households involved in the transformation of products from tree-based production systems</w:t>
            </w:r>
          </w:p>
        </w:tc>
        <w:tc>
          <w:tcPr>
            <w:tcW w:w="1796" w:type="dxa"/>
          </w:tcPr>
          <w:p w14:paraId="5E4FFE27" w14:textId="77777777" w:rsidR="00C25FA5" w:rsidRPr="005516CD" w:rsidRDefault="00C25FA5" w:rsidP="004F03F5">
            <w:pPr>
              <w:jc w:val="both"/>
              <w:rPr>
                <w:rFonts w:asciiTheme="majorHAnsi" w:hAnsiTheme="majorHAnsi" w:cstheme="majorHAnsi"/>
                <w:sz w:val="20"/>
                <w:szCs w:val="20"/>
              </w:rPr>
            </w:pPr>
            <w:r w:rsidRPr="005516CD">
              <w:rPr>
                <w:rFonts w:asciiTheme="majorHAnsi" w:hAnsiTheme="majorHAnsi" w:cstheme="majorHAnsi"/>
              </w:rPr>
              <w:t>UNDP/FAO</w:t>
            </w:r>
          </w:p>
          <w:p w14:paraId="3DD60B7D" w14:textId="77777777" w:rsidR="00C25FA5" w:rsidRPr="005516CD" w:rsidRDefault="00C25FA5" w:rsidP="004F03F5">
            <w:pPr>
              <w:jc w:val="both"/>
              <w:rPr>
                <w:rFonts w:asciiTheme="majorHAnsi" w:hAnsiTheme="majorHAnsi" w:cstheme="majorHAnsi"/>
                <w:sz w:val="20"/>
                <w:szCs w:val="20"/>
              </w:rPr>
            </w:pPr>
          </w:p>
        </w:tc>
      </w:tr>
    </w:tbl>
    <w:p w14:paraId="6DEF4C04" w14:textId="77777777" w:rsidR="0049559D" w:rsidRPr="005516CD" w:rsidRDefault="0049559D" w:rsidP="007B146B">
      <w:pPr>
        <w:pStyle w:val="Body"/>
        <w:rPr>
          <w:lang w:val="en-US"/>
        </w:rPr>
      </w:pPr>
      <w:bookmarkStart w:id="460" w:name="_Ref485213751"/>
      <w:bookmarkStart w:id="461" w:name="_Ref476213465"/>
      <w:bookmarkStart w:id="462" w:name="_Ref476214135"/>
      <w:bookmarkStart w:id="463" w:name="_Ref476214257"/>
      <w:bookmarkStart w:id="464" w:name="_Toc431150461"/>
      <w:bookmarkStart w:id="465" w:name="_Toc444091070"/>
      <w:bookmarkStart w:id="466" w:name="_Toc451527238"/>
      <w:bookmarkStart w:id="467" w:name="_Toc454219656"/>
    </w:p>
    <w:p w14:paraId="1044185D" w14:textId="77777777" w:rsidR="00E97020" w:rsidRPr="005516CD" w:rsidRDefault="00E97020" w:rsidP="00D66519">
      <w:pPr>
        <w:pStyle w:val="Heading3"/>
        <w:widowControl/>
        <w:numPr>
          <w:ilvl w:val="0"/>
          <w:numId w:val="51"/>
        </w:numPr>
        <w:pBdr>
          <w:top w:val="none" w:sz="0" w:space="0" w:color="auto"/>
          <w:left w:val="none" w:sz="0" w:space="0" w:color="auto"/>
          <w:bottom w:val="none" w:sz="0" w:space="0" w:color="auto"/>
          <w:right w:val="none" w:sz="0" w:space="0" w:color="auto"/>
          <w:between w:val="none" w:sz="0" w:space="0" w:color="auto"/>
          <w:bar w:val="none" w:sz="0" w:color="auto"/>
        </w:pBdr>
        <w:tabs>
          <w:tab w:val="clear" w:pos="2160"/>
          <w:tab w:val="clear" w:pos="9360"/>
        </w:tabs>
        <w:spacing w:before="120" w:after="120"/>
        <w:ind w:left="425" w:hanging="357"/>
        <w:rPr>
          <w:rFonts w:asciiTheme="majorHAnsi" w:hAnsiTheme="majorHAnsi" w:cstheme="majorHAnsi"/>
          <w:lang w:val="en-US"/>
        </w:rPr>
        <w:sectPr w:rsidR="00E97020" w:rsidRPr="005516CD" w:rsidSect="004E3C8E">
          <w:pgSz w:w="15840" w:h="12240" w:orient="landscape"/>
          <w:pgMar w:top="1440" w:right="1440" w:bottom="1440" w:left="1440" w:header="708" w:footer="432" w:gutter="0"/>
          <w:cols w:space="720"/>
          <w:docGrid w:linePitch="326"/>
        </w:sectPr>
      </w:pPr>
      <w:bookmarkStart w:id="468" w:name="_Ref485297735"/>
    </w:p>
    <w:p w14:paraId="1F675246" w14:textId="77777777" w:rsidR="006B2B2A" w:rsidRPr="005516CD" w:rsidRDefault="00E91A1B" w:rsidP="00FB5829">
      <w:pPr>
        <w:pStyle w:val="Heading2"/>
        <w:numPr>
          <w:ilvl w:val="1"/>
          <w:numId w:val="51"/>
        </w:numPr>
        <w:spacing w:after="0"/>
        <w:ind w:hanging="1440"/>
        <w:rPr>
          <w:rStyle w:val="None"/>
          <w:rFonts w:asciiTheme="majorHAnsi" w:eastAsia="Calibri" w:hAnsiTheme="majorHAnsi" w:cstheme="majorHAnsi"/>
          <w:b w:val="0"/>
          <w:bCs w:val="0"/>
          <w:color w:val="auto"/>
          <w:sz w:val="24"/>
          <w:szCs w:val="28"/>
          <w:bdr w:val="none" w:sz="0" w:space="0" w:color="auto"/>
        </w:rPr>
      </w:pPr>
      <w:bookmarkStart w:id="469" w:name="_Toc8933120"/>
      <w:r w:rsidRPr="005516CD">
        <w:rPr>
          <w:rStyle w:val="None"/>
          <w:rFonts w:asciiTheme="majorHAnsi" w:eastAsia="Calibri" w:hAnsiTheme="majorHAnsi" w:cstheme="majorHAnsi"/>
          <w:sz w:val="24"/>
        </w:rPr>
        <w:t>Target species of global conservation concern</w:t>
      </w:r>
      <w:bookmarkEnd w:id="460"/>
      <w:bookmarkEnd w:id="468"/>
      <w:bookmarkEnd w:id="469"/>
      <w:r w:rsidR="001F7F77" w:rsidRPr="005516CD">
        <w:rPr>
          <w:rStyle w:val="None"/>
          <w:rFonts w:asciiTheme="majorHAnsi" w:eastAsia="Calibri" w:hAnsiTheme="majorHAnsi" w:cstheme="majorHAnsi"/>
          <w:sz w:val="24"/>
        </w:rPr>
        <w:t xml:space="preserve"> </w:t>
      </w:r>
    </w:p>
    <w:p w14:paraId="59CBFA88" w14:textId="77777777" w:rsidR="00DB73E3" w:rsidRPr="005516CD" w:rsidRDefault="00DB73E3" w:rsidP="007B146B">
      <w:pPr>
        <w:ind w:right="1200"/>
        <w:rPr>
          <w:b/>
          <w:color w:val="000000"/>
          <w:sz w:val="18"/>
          <w:szCs w:val="20"/>
        </w:rPr>
      </w:pPr>
    </w:p>
    <w:tbl>
      <w:tblPr>
        <w:tblStyle w:val="TableGrid"/>
        <w:tblW w:w="13948" w:type="dxa"/>
        <w:tblLook w:val="04A0" w:firstRow="1" w:lastRow="0" w:firstColumn="1" w:lastColumn="0" w:noHBand="0" w:noVBand="1"/>
      </w:tblPr>
      <w:tblGrid>
        <w:gridCol w:w="1956"/>
        <w:gridCol w:w="1495"/>
        <w:gridCol w:w="10497"/>
      </w:tblGrid>
      <w:tr w:rsidR="00DB73E3" w:rsidRPr="005516CD" w14:paraId="71AB54C1" w14:textId="77777777" w:rsidTr="005B0548">
        <w:trPr>
          <w:tblHeader/>
        </w:trPr>
        <w:tc>
          <w:tcPr>
            <w:tcW w:w="1956" w:type="dxa"/>
          </w:tcPr>
          <w:p w14:paraId="0157089B" w14:textId="77777777" w:rsidR="00DB73E3" w:rsidRPr="005516CD" w:rsidRDefault="00DB73E3" w:rsidP="007B146B">
            <w:pPr>
              <w:jc w:val="center"/>
              <w:rPr>
                <w:rFonts w:asciiTheme="majorHAnsi" w:hAnsiTheme="majorHAnsi" w:cstheme="majorHAnsi"/>
                <w:b/>
                <w:sz w:val="20"/>
                <w:szCs w:val="20"/>
              </w:rPr>
            </w:pPr>
            <w:r w:rsidRPr="005516CD">
              <w:rPr>
                <w:rFonts w:asciiTheme="majorHAnsi" w:hAnsiTheme="majorHAnsi" w:cstheme="majorHAnsi"/>
                <w:b/>
                <w:sz w:val="20"/>
                <w:szCs w:val="20"/>
              </w:rPr>
              <w:t>Species</w:t>
            </w:r>
          </w:p>
        </w:tc>
        <w:tc>
          <w:tcPr>
            <w:tcW w:w="1495" w:type="dxa"/>
          </w:tcPr>
          <w:p w14:paraId="02F1C395" w14:textId="77777777" w:rsidR="00DB73E3" w:rsidRPr="005516CD" w:rsidRDefault="00DB73E3" w:rsidP="007B146B">
            <w:pPr>
              <w:jc w:val="center"/>
              <w:rPr>
                <w:rFonts w:asciiTheme="majorHAnsi" w:hAnsiTheme="majorHAnsi" w:cstheme="majorHAnsi"/>
                <w:b/>
                <w:sz w:val="20"/>
                <w:szCs w:val="20"/>
              </w:rPr>
            </w:pPr>
            <w:r w:rsidRPr="005516CD">
              <w:rPr>
                <w:rFonts w:asciiTheme="majorHAnsi" w:hAnsiTheme="majorHAnsi" w:cstheme="majorHAnsi"/>
                <w:b/>
                <w:sz w:val="20"/>
                <w:szCs w:val="20"/>
              </w:rPr>
              <w:t>Status</w:t>
            </w:r>
          </w:p>
        </w:tc>
        <w:tc>
          <w:tcPr>
            <w:tcW w:w="10497" w:type="dxa"/>
          </w:tcPr>
          <w:p w14:paraId="0FE8D11F" w14:textId="77777777" w:rsidR="00DB73E3" w:rsidRPr="005516CD" w:rsidRDefault="00DB73E3" w:rsidP="007B146B">
            <w:pPr>
              <w:jc w:val="center"/>
              <w:rPr>
                <w:rFonts w:asciiTheme="majorHAnsi" w:hAnsiTheme="majorHAnsi" w:cstheme="majorHAnsi"/>
                <w:b/>
                <w:sz w:val="20"/>
                <w:szCs w:val="20"/>
              </w:rPr>
            </w:pPr>
            <w:r w:rsidRPr="005516CD">
              <w:rPr>
                <w:rFonts w:asciiTheme="majorHAnsi" w:hAnsiTheme="majorHAnsi" w:cstheme="majorHAnsi"/>
                <w:b/>
                <w:sz w:val="20"/>
                <w:szCs w:val="20"/>
              </w:rPr>
              <w:t>Information of relevance to conservation</w:t>
            </w:r>
          </w:p>
        </w:tc>
      </w:tr>
      <w:tr w:rsidR="00DB73E3" w:rsidRPr="005516CD" w14:paraId="1B814E17" w14:textId="77777777" w:rsidTr="005B0548">
        <w:tc>
          <w:tcPr>
            <w:tcW w:w="13948" w:type="dxa"/>
            <w:gridSpan w:val="3"/>
            <w:shd w:val="clear" w:color="auto" w:fill="D9D9D9" w:themeFill="background1" w:themeFillShade="D9"/>
          </w:tcPr>
          <w:p w14:paraId="54DF7466" w14:textId="77777777" w:rsidR="00DB73E3" w:rsidRPr="005516CD" w:rsidRDefault="00DB73E3" w:rsidP="007B146B">
            <w:pPr>
              <w:rPr>
                <w:rFonts w:asciiTheme="majorHAnsi" w:hAnsiTheme="majorHAnsi" w:cstheme="majorHAnsi"/>
                <w:b/>
                <w:sz w:val="20"/>
                <w:szCs w:val="20"/>
              </w:rPr>
            </w:pPr>
            <w:r w:rsidRPr="005516CD">
              <w:rPr>
                <w:rFonts w:asciiTheme="majorHAnsi" w:hAnsiTheme="majorHAnsi" w:cstheme="majorHAnsi"/>
                <w:b/>
                <w:sz w:val="20"/>
                <w:szCs w:val="20"/>
              </w:rPr>
              <w:t>Amphibians</w:t>
            </w:r>
          </w:p>
        </w:tc>
      </w:tr>
      <w:tr w:rsidR="00DB73E3" w:rsidRPr="005516CD" w14:paraId="519CBF09" w14:textId="77777777" w:rsidTr="005B0548">
        <w:tc>
          <w:tcPr>
            <w:tcW w:w="1956" w:type="dxa"/>
          </w:tcPr>
          <w:p w14:paraId="4A9D8473"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i/>
                <w:color w:val="333333"/>
                <w:sz w:val="20"/>
                <w:szCs w:val="20"/>
              </w:rPr>
              <w:t>Eleutherodactylus</w:t>
            </w:r>
            <w:proofErr w:type="spellEnd"/>
            <w:r w:rsidRPr="005516CD">
              <w:rPr>
                <w:rFonts w:asciiTheme="majorHAnsi" w:eastAsia="Times New Roman" w:hAnsiTheme="majorHAnsi" w:cstheme="majorHAnsi"/>
                <w:i/>
                <w:color w:val="333333"/>
                <w:sz w:val="20"/>
                <w:szCs w:val="20"/>
              </w:rPr>
              <w:t xml:space="preserve"> </w:t>
            </w:r>
            <w:proofErr w:type="spellStart"/>
            <w:r w:rsidRPr="005516CD">
              <w:rPr>
                <w:rFonts w:asciiTheme="majorHAnsi" w:eastAsia="Times New Roman" w:hAnsiTheme="majorHAnsi" w:cstheme="majorHAnsi"/>
                <w:i/>
                <w:color w:val="333333"/>
                <w:sz w:val="20"/>
                <w:szCs w:val="20"/>
              </w:rPr>
              <w:t>grahami</w:t>
            </w:r>
            <w:proofErr w:type="spellEnd"/>
            <w:r w:rsidRPr="005516CD">
              <w:rPr>
                <w:rFonts w:asciiTheme="majorHAnsi" w:eastAsia="Times New Roman" w:hAnsiTheme="majorHAnsi" w:cstheme="majorHAnsi"/>
                <w:color w:val="0563C1"/>
                <w:sz w:val="20"/>
                <w:szCs w:val="20"/>
                <w:u w:val="single"/>
              </w:rPr>
              <w:t xml:space="preserve"> </w:t>
            </w:r>
            <w:hyperlink r:id="rId108" w:tooltip="view graham's robber frog profile" w:history="1">
              <w:r w:rsidRPr="005516CD">
                <w:rPr>
                  <w:rFonts w:asciiTheme="majorHAnsi" w:eastAsia="Times New Roman" w:hAnsiTheme="majorHAnsi" w:cstheme="majorHAnsi"/>
                  <w:color w:val="0563C1"/>
                  <w:sz w:val="20"/>
                  <w:szCs w:val="20"/>
                  <w:u w:val="single"/>
                </w:rPr>
                <w:t>Graham's Robber Frog</w:t>
              </w:r>
            </w:hyperlink>
          </w:p>
        </w:tc>
        <w:tc>
          <w:tcPr>
            <w:tcW w:w="1495" w:type="dxa"/>
          </w:tcPr>
          <w:p w14:paraId="17EEFD2E"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Endangered, endemic to NW Haiti</w:t>
            </w:r>
          </w:p>
        </w:tc>
        <w:tc>
          <w:tcPr>
            <w:tcW w:w="10497" w:type="dxa"/>
          </w:tcPr>
          <w:p w14:paraId="4673998A" w14:textId="77777777" w:rsidR="00DB73E3" w:rsidRPr="005516CD" w:rsidRDefault="00DB73E3" w:rsidP="007B146B">
            <w:pPr>
              <w:spacing w:after="120"/>
              <w:rPr>
                <w:rFonts w:asciiTheme="majorHAnsi" w:hAnsiTheme="majorHAnsi" w:cstheme="majorHAnsi"/>
                <w:color w:val="000000"/>
                <w:sz w:val="20"/>
                <w:szCs w:val="20"/>
                <w:shd w:val="clear" w:color="auto" w:fill="FFFFFF"/>
              </w:rPr>
            </w:pPr>
            <w:r w:rsidRPr="005516CD">
              <w:rPr>
                <w:rFonts w:asciiTheme="majorHAnsi" w:hAnsiTheme="majorHAnsi" w:cstheme="majorHAnsi"/>
                <w:b/>
                <w:noProof/>
                <w:sz w:val="20"/>
                <w:szCs w:val="20"/>
                <w:lang w:val="en-US" w:eastAsia="en-US"/>
              </w:rPr>
              <w:drawing>
                <wp:anchor distT="0" distB="0" distL="114300" distR="114300" simplePos="0" relativeHeight="251717632" behindDoc="1" locked="0" layoutInCell="1" allowOverlap="1" wp14:anchorId="1B8269D9" wp14:editId="75236612">
                  <wp:simplePos x="0" y="0"/>
                  <wp:positionH relativeFrom="column">
                    <wp:posOffset>4206240</wp:posOffset>
                  </wp:positionH>
                  <wp:positionV relativeFrom="paragraph">
                    <wp:posOffset>43815</wp:posOffset>
                  </wp:positionV>
                  <wp:extent cx="2263140" cy="1756410"/>
                  <wp:effectExtent l="0" t="0" r="3810" b="0"/>
                  <wp:wrapTight wrapText="bothSides">
                    <wp:wrapPolygon edited="0">
                      <wp:start x="0" y="0"/>
                      <wp:lineTo x="0" y="21319"/>
                      <wp:lineTo x="21455" y="21319"/>
                      <wp:lineTo x="21455" y="0"/>
                      <wp:lineTo x="0" y="0"/>
                    </wp:wrapPolygon>
                  </wp:wrapTight>
                  <wp:docPr id="1073741993" name="Picture 10737419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263140" cy="1756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Style w:val="Strong"/>
                <w:rFonts w:asciiTheme="majorHAnsi" w:hAnsiTheme="majorHAnsi" w:cstheme="majorHAnsi"/>
                <w:color w:val="000000"/>
                <w:sz w:val="20"/>
                <w:szCs w:val="20"/>
                <w:shd w:val="clear" w:color="auto" w:fill="FFFFFF"/>
              </w:rPr>
              <w:t xml:space="preserve">Justification: </w:t>
            </w:r>
            <w:r w:rsidRPr="005516CD">
              <w:rPr>
                <w:rFonts w:asciiTheme="majorHAnsi" w:hAnsiTheme="majorHAnsi" w:cstheme="majorHAnsi"/>
                <w:color w:val="000000"/>
                <w:sz w:val="20"/>
                <w:szCs w:val="20"/>
                <w:shd w:val="clear" w:color="auto" w:fill="FFFFFF"/>
              </w:rPr>
              <w:t>Listed as Endangered because its Extent of Occurrence is less than 5,000 km2, its distribution is severely fragmented, and there is continuing decline in the extent and quality of its habitat on Haiti.</w:t>
            </w:r>
          </w:p>
          <w:p w14:paraId="5BD61614"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Range Description: </w:t>
            </w:r>
            <w:r w:rsidRPr="005516CD">
              <w:rPr>
                <w:rFonts w:asciiTheme="majorHAnsi" w:hAnsiTheme="majorHAnsi" w:cstheme="majorHAnsi"/>
                <w:sz w:val="20"/>
                <w:szCs w:val="20"/>
              </w:rPr>
              <w:t xml:space="preserve">This species is restricted to the north-west of Haiti, ranging from 20-330m </w:t>
            </w:r>
            <w:proofErr w:type="spellStart"/>
            <w:r w:rsidRPr="005516CD">
              <w:rPr>
                <w:rFonts w:asciiTheme="majorHAnsi" w:hAnsiTheme="majorHAnsi" w:cstheme="majorHAnsi"/>
                <w:sz w:val="20"/>
                <w:szCs w:val="20"/>
              </w:rPr>
              <w:t>asl</w:t>
            </w:r>
            <w:proofErr w:type="spellEnd"/>
            <w:r w:rsidRPr="005516CD">
              <w:rPr>
                <w:rFonts w:asciiTheme="majorHAnsi" w:hAnsiTheme="majorHAnsi" w:cstheme="majorHAnsi"/>
                <w:sz w:val="20"/>
                <w:szCs w:val="20"/>
              </w:rPr>
              <w:t xml:space="preserve">. </w:t>
            </w:r>
          </w:p>
          <w:p w14:paraId="3F19DA07"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Habitat and Ecology: </w:t>
            </w:r>
            <w:r w:rsidRPr="005516CD">
              <w:rPr>
                <w:rFonts w:asciiTheme="majorHAnsi" w:hAnsiTheme="majorHAnsi" w:cstheme="majorHAnsi"/>
                <w:sz w:val="20"/>
                <w:szCs w:val="20"/>
              </w:rPr>
              <w:t>It is found on limestone ridges with boulders and xerophytic vegetation. Eggs are laid on the ground and it breeds by direct development.</w:t>
            </w:r>
          </w:p>
          <w:p w14:paraId="5DCE136F"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Major Threat(s): </w:t>
            </w:r>
            <w:r w:rsidRPr="005516CD">
              <w:rPr>
                <w:rFonts w:asciiTheme="majorHAnsi" w:hAnsiTheme="majorHAnsi" w:cstheme="majorHAnsi"/>
                <w:sz w:val="20"/>
                <w:szCs w:val="20"/>
              </w:rPr>
              <w:t>Extremely severe habitat destruction due to charcoaling and small-scale agriculture is taking place on the north-western peninsula of Haiti, which now looks like a lunar landscape, devoid of vegetation, although some pockets remain where this species might occur.</w:t>
            </w:r>
          </w:p>
          <w:p w14:paraId="45CC81CF"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sz w:val="20"/>
                <w:szCs w:val="20"/>
              </w:rPr>
              <w:t xml:space="preserve">Conservation Actions: </w:t>
            </w:r>
            <w:r w:rsidRPr="005516CD">
              <w:rPr>
                <w:rFonts w:asciiTheme="majorHAnsi" w:hAnsiTheme="majorHAnsi" w:cstheme="majorHAnsi"/>
                <w:sz w:val="20"/>
                <w:szCs w:val="20"/>
              </w:rPr>
              <w:t>It is not known to occur in any protected areas. There is an urgent need for effective protection of remaining suitable habitat in the range of this species.</w:t>
            </w:r>
          </w:p>
        </w:tc>
      </w:tr>
      <w:tr w:rsidR="00DB73E3" w:rsidRPr="005516CD" w14:paraId="64435EA0" w14:textId="77777777" w:rsidTr="005B0548">
        <w:tc>
          <w:tcPr>
            <w:tcW w:w="1956" w:type="dxa"/>
          </w:tcPr>
          <w:p w14:paraId="05599823" w14:textId="77777777" w:rsidR="00DB73E3" w:rsidRPr="005516CD" w:rsidRDefault="00DB73E3" w:rsidP="007B146B">
            <w:pPr>
              <w:rPr>
                <w:rFonts w:asciiTheme="majorHAnsi" w:hAnsiTheme="majorHAnsi" w:cstheme="majorHAnsi"/>
                <w:b/>
                <w:sz w:val="20"/>
                <w:szCs w:val="20"/>
              </w:rPr>
            </w:pPr>
            <w:proofErr w:type="spellStart"/>
            <w:r w:rsidRPr="005516CD">
              <w:rPr>
                <w:rFonts w:asciiTheme="majorHAnsi" w:eastAsia="Times New Roman" w:hAnsiTheme="majorHAnsi" w:cstheme="majorHAnsi"/>
                <w:i/>
                <w:color w:val="333333"/>
                <w:sz w:val="20"/>
                <w:szCs w:val="20"/>
              </w:rPr>
              <w:t>Eleutherodactylus</w:t>
            </w:r>
            <w:proofErr w:type="spellEnd"/>
            <w:r w:rsidRPr="005516CD">
              <w:rPr>
                <w:rFonts w:asciiTheme="majorHAnsi" w:eastAsia="Times New Roman" w:hAnsiTheme="majorHAnsi" w:cstheme="majorHAnsi"/>
                <w:i/>
                <w:color w:val="333333"/>
                <w:sz w:val="20"/>
                <w:szCs w:val="20"/>
              </w:rPr>
              <w:t xml:space="preserve"> </w:t>
            </w:r>
            <w:proofErr w:type="spellStart"/>
            <w:r w:rsidRPr="005516CD">
              <w:rPr>
                <w:rFonts w:asciiTheme="majorHAnsi" w:eastAsia="Times New Roman" w:hAnsiTheme="majorHAnsi" w:cstheme="majorHAnsi"/>
                <w:i/>
                <w:color w:val="333333"/>
                <w:sz w:val="20"/>
                <w:szCs w:val="20"/>
              </w:rPr>
              <w:t>lucioi</w:t>
            </w:r>
            <w:proofErr w:type="spellEnd"/>
            <w:r w:rsidRPr="005516CD">
              <w:rPr>
                <w:rFonts w:asciiTheme="majorHAnsi" w:eastAsia="Times New Roman" w:hAnsiTheme="majorHAnsi" w:cstheme="majorHAnsi"/>
                <w:color w:val="333333"/>
                <w:sz w:val="20"/>
                <w:szCs w:val="20"/>
              </w:rPr>
              <w:t xml:space="preserve"> (</w:t>
            </w:r>
            <w:hyperlink r:id="rId110" w:tooltip="view st. nicholas robber frog profile" w:history="1">
              <w:r w:rsidRPr="005516CD">
                <w:rPr>
                  <w:rFonts w:asciiTheme="majorHAnsi" w:eastAsia="Times New Roman" w:hAnsiTheme="majorHAnsi" w:cstheme="majorHAnsi"/>
                  <w:color w:val="0563C1"/>
                  <w:sz w:val="20"/>
                  <w:szCs w:val="20"/>
                  <w:u w:val="single"/>
                </w:rPr>
                <w:t>St. Nicholas Robber Frog</w:t>
              </w:r>
            </w:hyperlink>
            <w:r w:rsidRPr="005516CD">
              <w:rPr>
                <w:rFonts w:asciiTheme="majorHAnsi" w:eastAsia="Times New Roman" w:hAnsiTheme="majorHAnsi" w:cstheme="majorHAnsi"/>
                <w:color w:val="0563C1"/>
                <w:sz w:val="20"/>
                <w:szCs w:val="20"/>
                <w:u w:val="single"/>
              </w:rPr>
              <w:t>)</w:t>
            </w:r>
          </w:p>
        </w:tc>
        <w:tc>
          <w:tcPr>
            <w:tcW w:w="1495" w:type="dxa"/>
          </w:tcPr>
          <w:p w14:paraId="592E1E5A"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Critically Endangered, endemic to NW Haiti</w:t>
            </w:r>
          </w:p>
        </w:tc>
        <w:tc>
          <w:tcPr>
            <w:tcW w:w="10497" w:type="dxa"/>
          </w:tcPr>
          <w:p w14:paraId="594F3FE8"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 xml:space="preserve">Listed as Critically Endangered because of an expected population decline of greater than 80% over the next ten years, </w:t>
            </w:r>
            <w:r w:rsidRPr="005516CD">
              <w:rPr>
                <w:rFonts w:asciiTheme="majorHAnsi" w:hAnsiTheme="majorHAnsi" w:cstheme="majorHAnsi"/>
                <w:color w:val="000000"/>
                <w:sz w:val="20"/>
                <w:szCs w:val="20"/>
                <w:shd w:val="clear" w:color="auto" w:fill="FFFFFF"/>
              </w:rPr>
              <w:t>predicted</w:t>
            </w:r>
            <w:r w:rsidRPr="005516CD">
              <w:rPr>
                <w:rFonts w:asciiTheme="majorHAnsi" w:hAnsiTheme="majorHAnsi" w:cstheme="majorHAnsi"/>
                <w:sz w:val="20"/>
                <w:szCs w:val="20"/>
              </w:rPr>
              <w:t xml:space="preserve"> from severe degradation of the species' habitat; and because its Extent of Occurrence is less than 100 km2, its Area of Occupancy is less than 10km2, all individuals are in a single location, and there is continuing decline in the extent and quality of its habitat.</w:t>
            </w:r>
          </w:p>
          <w:p w14:paraId="50537F9F"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18656" behindDoc="1" locked="0" layoutInCell="1" allowOverlap="1" wp14:anchorId="6A0FC23D" wp14:editId="799B882E">
                  <wp:simplePos x="0" y="0"/>
                  <wp:positionH relativeFrom="column">
                    <wp:posOffset>4191000</wp:posOffset>
                  </wp:positionH>
                  <wp:positionV relativeFrom="paragraph">
                    <wp:posOffset>-741680</wp:posOffset>
                  </wp:positionV>
                  <wp:extent cx="2331720" cy="1854835"/>
                  <wp:effectExtent l="0" t="0" r="0" b="0"/>
                  <wp:wrapTight wrapText="bothSides">
                    <wp:wrapPolygon edited="0">
                      <wp:start x="0" y="0"/>
                      <wp:lineTo x="0" y="21297"/>
                      <wp:lineTo x="21353" y="21297"/>
                      <wp:lineTo x="21353" y="0"/>
                      <wp:lineTo x="0" y="0"/>
                    </wp:wrapPolygon>
                  </wp:wrapTight>
                  <wp:docPr id="1073741994" name="Picture 1073741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1" cstate="print">
                            <a:extLst>
                              <a:ext uri="{28A0092B-C50C-407E-A947-70E740481C1C}">
                                <a14:useLocalDpi xmlns:a14="http://schemas.microsoft.com/office/drawing/2010/main" val="0"/>
                              </a:ext>
                            </a:extLst>
                          </a:blip>
                          <a:srcRect/>
                          <a:stretch>
                            <a:fillRect/>
                          </a:stretch>
                        </pic:blipFill>
                        <pic:spPr bwMode="auto">
                          <a:xfrm>
                            <a:off x="0" y="0"/>
                            <a:ext cx="2331720" cy="1854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 xml:space="preserve">Range Description: </w:t>
            </w:r>
            <w:r w:rsidRPr="005516CD">
              <w:rPr>
                <w:rFonts w:asciiTheme="majorHAnsi" w:hAnsiTheme="majorHAnsi" w:cstheme="majorHAnsi"/>
                <w:sz w:val="20"/>
                <w:szCs w:val="20"/>
              </w:rPr>
              <w:t xml:space="preserve">This species is known from a single locality in the </w:t>
            </w:r>
            <w:proofErr w:type="spellStart"/>
            <w:r w:rsidRPr="005516CD">
              <w:rPr>
                <w:rFonts w:asciiTheme="majorHAnsi" w:hAnsiTheme="majorHAnsi" w:cstheme="majorHAnsi"/>
                <w:sz w:val="20"/>
                <w:szCs w:val="20"/>
              </w:rPr>
              <w:t>Presquile</w:t>
            </w:r>
            <w:proofErr w:type="spellEnd"/>
            <w:r w:rsidRPr="005516CD">
              <w:rPr>
                <w:rFonts w:asciiTheme="majorHAnsi" w:hAnsiTheme="majorHAnsi" w:cstheme="majorHAnsi"/>
                <w:sz w:val="20"/>
                <w:szCs w:val="20"/>
              </w:rPr>
              <w:t xml:space="preserve"> du Nord Ouest, Haiti, at around 100 m </w:t>
            </w:r>
            <w:proofErr w:type="spellStart"/>
            <w:r w:rsidRPr="005516CD">
              <w:rPr>
                <w:rFonts w:asciiTheme="majorHAnsi" w:hAnsiTheme="majorHAnsi" w:cstheme="majorHAnsi"/>
                <w:sz w:val="20"/>
                <w:szCs w:val="20"/>
              </w:rPr>
              <w:t>asl</w:t>
            </w:r>
            <w:proofErr w:type="spellEnd"/>
            <w:r w:rsidRPr="005516CD">
              <w:rPr>
                <w:rFonts w:asciiTheme="majorHAnsi" w:hAnsiTheme="majorHAnsi" w:cstheme="majorHAnsi"/>
                <w:sz w:val="20"/>
                <w:szCs w:val="20"/>
              </w:rPr>
              <w:t xml:space="preserve">. Lower/upper elevation limit: 100 metres. </w:t>
            </w:r>
          </w:p>
          <w:p w14:paraId="2E53D685"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Habitat and Ecology: </w:t>
            </w:r>
            <w:r w:rsidRPr="005516CD">
              <w:rPr>
                <w:rFonts w:asciiTheme="majorHAnsi" w:hAnsiTheme="majorHAnsi" w:cstheme="majorHAnsi"/>
                <w:sz w:val="20"/>
                <w:szCs w:val="20"/>
              </w:rPr>
              <w:t>The species was recorded in a rocky ravine in remnant riparian forest. Eggs are laid on the ground, and it breeds by direct development.</w:t>
            </w:r>
          </w:p>
          <w:p w14:paraId="61598B6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Major Threat(s): </w:t>
            </w:r>
            <w:r w:rsidRPr="005516CD">
              <w:rPr>
                <w:rFonts w:asciiTheme="majorHAnsi" w:hAnsiTheme="majorHAnsi" w:cstheme="majorHAnsi"/>
                <w:sz w:val="20"/>
                <w:szCs w:val="20"/>
              </w:rPr>
              <w:t>Logging by local people (charcoaling) and slash-and-burn agriculture are the main threats to the species.</w:t>
            </w:r>
          </w:p>
          <w:p w14:paraId="4345B527"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sz w:val="20"/>
                <w:szCs w:val="20"/>
              </w:rPr>
              <w:t xml:space="preserve">Conservation Actions: </w:t>
            </w:r>
            <w:r w:rsidRPr="005516CD">
              <w:rPr>
                <w:rFonts w:asciiTheme="majorHAnsi" w:hAnsiTheme="majorHAnsi" w:cstheme="majorHAnsi"/>
                <w:sz w:val="20"/>
                <w:szCs w:val="20"/>
              </w:rPr>
              <w:t>It is not known to occur in any protected areas. Further survey work is urgently needed to determine the population status of this species and whether or not it still survives in the wild. Maintenance of existing habitat at the type locality is also required.</w:t>
            </w:r>
          </w:p>
        </w:tc>
      </w:tr>
      <w:tr w:rsidR="00DB73E3" w:rsidRPr="005516CD" w14:paraId="3C807F8B" w14:textId="77777777" w:rsidTr="005B0548">
        <w:tc>
          <w:tcPr>
            <w:tcW w:w="1956" w:type="dxa"/>
          </w:tcPr>
          <w:p w14:paraId="07920894"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i/>
                <w:color w:val="333333"/>
                <w:sz w:val="20"/>
                <w:szCs w:val="20"/>
              </w:rPr>
              <w:t>Eleutherodactylus</w:t>
            </w:r>
            <w:proofErr w:type="spellEnd"/>
            <w:r w:rsidRPr="005516CD">
              <w:rPr>
                <w:rFonts w:asciiTheme="majorHAnsi" w:eastAsia="Times New Roman" w:hAnsiTheme="majorHAnsi" w:cstheme="majorHAnsi"/>
                <w:i/>
                <w:color w:val="333333"/>
                <w:sz w:val="20"/>
                <w:szCs w:val="20"/>
              </w:rPr>
              <w:t xml:space="preserve"> </w:t>
            </w:r>
            <w:proofErr w:type="spellStart"/>
            <w:r w:rsidRPr="005516CD">
              <w:rPr>
                <w:rFonts w:asciiTheme="majorHAnsi" w:eastAsia="Times New Roman" w:hAnsiTheme="majorHAnsi" w:cstheme="majorHAnsi"/>
                <w:i/>
                <w:color w:val="333333"/>
                <w:sz w:val="20"/>
                <w:szCs w:val="20"/>
              </w:rPr>
              <w:t>poolei</w:t>
            </w:r>
            <w:proofErr w:type="spellEnd"/>
            <w:r w:rsidRPr="005516CD">
              <w:rPr>
                <w:rFonts w:asciiTheme="majorHAnsi" w:eastAsia="Times New Roman" w:hAnsiTheme="majorHAnsi" w:cstheme="majorHAnsi"/>
                <w:color w:val="333333"/>
                <w:sz w:val="20"/>
                <w:szCs w:val="20"/>
              </w:rPr>
              <w:t xml:space="preserve"> (</w:t>
            </w:r>
            <w:hyperlink r:id="rId112" w:tooltip="view poole's robber frog profile" w:history="1">
              <w:r w:rsidRPr="005516CD">
                <w:rPr>
                  <w:rFonts w:asciiTheme="majorHAnsi" w:eastAsia="Times New Roman" w:hAnsiTheme="majorHAnsi" w:cstheme="majorHAnsi"/>
                  <w:color w:val="0563C1"/>
                  <w:sz w:val="20"/>
                  <w:szCs w:val="20"/>
                  <w:u w:val="single"/>
                </w:rPr>
                <w:t>Poole's Robber Frog</w:t>
              </w:r>
            </w:hyperlink>
            <w:r w:rsidRPr="005516CD">
              <w:rPr>
                <w:rFonts w:asciiTheme="majorHAnsi" w:eastAsia="Times New Roman" w:hAnsiTheme="majorHAnsi" w:cstheme="majorHAnsi"/>
                <w:color w:val="0563C1"/>
                <w:sz w:val="20"/>
                <w:szCs w:val="20"/>
                <w:u w:val="single"/>
              </w:rPr>
              <w:t>)</w:t>
            </w:r>
          </w:p>
        </w:tc>
        <w:tc>
          <w:tcPr>
            <w:tcW w:w="1495" w:type="dxa"/>
          </w:tcPr>
          <w:p w14:paraId="085FD130"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Critically Endangered, N Haiti</w:t>
            </w:r>
          </w:p>
        </w:tc>
        <w:tc>
          <w:tcPr>
            <w:tcW w:w="10497" w:type="dxa"/>
          </w:tcPr>
          <w:p w14:paraId="5EE8D37C"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19680" behindDoc="1" locked="0" layoutInCell="1" allowOverlap="1" wp14:anchorId="5EC44DBC" wp14:editId="2BE71D69">
                  <wp:simplePos x="0" y="0"/>
                  <wp:positionH relativeFrom="column">
                    <wp:posOffset>4155440</wp:posOffset>
                  </wp:positionH>
                  <wp:positionV relativeFrom="paragraph">
                    <wp:posOffset>755650</wp:posOffset>
                  </wp:positionV>
                  <wp:extent cx="2354580" cy="1737995"/>
                  <wp:effectExtent l="0" t="0" r="7620" b="0"/>
                  <wp:wrapTight wrapText="bothSides">
                    <wp:wrapPolygon edited="0">
                      <wp:start x="0" y="0"/>
                      <wp:lineTo x="0" y="21308"/>
                      <wp:lineTo x="21495" y="21308"/>
                      <wp:lineTo x="21495" y="0"/>
                      <wp:lineTo x="0" y="0"/>
                    </wp:wrapPolygon>
                  </wp:wrapTight>
                  <wp:docPr id="1073741995" name="Picture 10737419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3" cstate="print">
                            <a:extLst>
                              <a:ext uri="{28A0092B-C50C-407E-A947-70E740481C1C}">
                                <a14:useLocalDpi xmlns:a14="http://schemas.microsoft.com/office/drawing/2010/main" val="0"/>
                              </a:ext>
                            </a:extLst>
                          </a:blip>
                          <a:srcRect/>
                          <a:stretch>
                            <a:fillRect/>
                          </a:stretch>
                        </pic:blipFill>
                        <pic:spPr bwMode="auto">
                          <a:xfrm>
                            <a:off x="0" y="0"/>
                            <a:ext cx="2354580" cy="1737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 xml:space="preserve">Listed as Critically Endangered because of an expected population decline of greater than 80% over the next ten years, predicted from severe degradation of the species' habitat; and because its Extent of Occurrence is less than 100 km2 and its Area Of Occupancy is less than 10km2, all individuals are in a single location, and there is continuing decline in the extent and quality of its habitat around the Citadel </w:t>
            </w:r>
            <w:proofErr w:type="spellStart"/>
            <w:r w:rsidRPr="005516CD">
              <w:rPr>
                <w:rFonts w:asciiTheme="majorHAnsi" w:hAnsiTheme="majorHAnsi" w:cstheme="majorHAnsi"/>
                <w:sz w:val="20"/>
                <w:szCs w:val="20"/>
              </w:rPr>
              <w:t>Laferriere</w:t>
            </w:r>
            <w:proofErr w:type="spellEnd"/>
            <w:r w:rsidRPr="005516CD">
              <w:rPr>
                <w:rFonts w:asciiTheme="majorHAnsi" w:hAnsiTheme="majorHAnsi" w:cstheme="majorHAnsi"/>
                <w:sz w:val="20"/>
                <w:szCs w:val="20"/>
              </w:rPr>
              <w:t xml:space="preserve"> (Citadel of King Christophe), Haiti.</w:t>
            </w:r>
          </w:p>
          <w:p w14:paraId="25062CF7"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This species has a very restricted </w:t>
            </w:r>
            <w:proofErr w:type="gramStart"/>
            <w:r w:rsidRPr="005516CD">
              <w:rPr>
                <w:rFonts w:asciiTheme="majorHAnsi" w:hAnsiTheme="majorHAnsi" w:cstheme="majorHAnsi"/>
                <w:sz w:val="20"/>
                <w:szCs w:val="20"/>
              </w:rPr>
              <w:t>range, and</w:t>
            </w:r>
            <w:proofErr w:type="gramEnd"/>
            <w:r w:rsidRPr="005516CD">
              <w:rPr>
                <w:rFonts w:asciiTheme="majorHAnsi" w:hAnsiTheme="majorHAnsi" w:cstheme="majorHAnsi"/>
                <w:sz w:val="20"/>
                <w:szCs w:val="20"/>
              </w:rPr>
              <w:t xml:space="preserve"> is found only in and around the Citadel </w:t>
            </w:r>
            <w:proofErr w:type="spellStart"/>
            <w:r w:rsidRPr="005516CD">
              <w:rPr>
                <w:rFonts w:asciiTheme="majorHAnsi" w:hAnsiTheme="majorHAnsi" w:cstheme="majorHAnsi"/>
                <w:sz w:val="20"/>
                <w:szCs w:val="20"/>
              </w:rPr>
              <w:t>Laferriere</w:t>
            </w:r>
            <w:proofErr w:type="spellEnd"/>
            <w:r w:rsidRPr="005516CD">
              <w:rPr>
                <w:rFonts w:asciiTheme="majorHAnsi" w:hAnsiTheme="majorHAnsi" w:cstheme="majorHAnsi"/>
                <w:sz w:val="20"/>
                <w:szCs w:val="20"/>
              </w:rPr>
              <w:t xml:space="preserve"> (Citadel of King Christophe), a huge fortress built on the peak of a mountain nearly a thousand metres above the plain from which it rises, in northern Haiti. Its altitudinal range is from 550-650 m </w:t>
            </w:r>
            <w:proofErr w:type="spellStart"/>
            <w:r w:rsidRPr="005516CD">
              <w:rPr>
                <w:rFonts w:asciiTheme="majorHAnsi" w:hAnsiTheme="majorHAnsi" w:cstheme="majorHAnsi"/>
                <w:sz w:val="20"/>
                <w:szCs w:val="20"/>
              </w:rPr>
              <w:t>asl</w:t>
            </w:r>
            <w:proofErr w:type="spellEnd"/>
            <w:r w:rsidRPr="005516CD">
              <w:rPr>
                <w:rFonts w:asciiTheme="majorHAnsi" w:hAnsiTheme="majorHAnsi" w:cstheme="majorHAnsi"/>
                <w:sz w:val="20"/>
                <w:szCs w:val="20"/>
              </w:rPr>
              <w:t xml:space="preserve">. There is a second, albeit questionable, record from the nearby Carrefour </w:t>
            </w:r>
            <w:proofErr w:type="spellStart"/>
            <w:r w:rsidRPr="005516CD">
              <w:rPr>
                <w:rFonts w:asciiTheme="majorHAnsi" w:hAnsiTheme="majorHAnsi" w:cstheme="majorHAnsi"/>
                <w:sz w:val="20"/>
                <w:szCs w:val="20"/>
              </w:rPr>
              <w:t>Marmelade</w:t>
            </w:r>
            <w:proofErr w:type="spellEnd"/>
            <w:r w:rsidRPr="005516CD">
              <w:rPr>
                <w:rFonts w:asciiTheme="majorHAnsi" w:hAnsiTheme="majorHAnsi" w:cstheme="majorHAnsi"/>
                <w:sz w:val="20"/>
                <w:szCs w:val="20"/>
              </w:rPr>
              <w:t>.</w:t>
            </w:r>
          </w:p>
          <w:p w14:paraId="78F7CF4D"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It was recorded from a moist dungeon in an old fort and probably occurs in the surrounding forest. Eggs are laid on the ground and it breeds by direct development.</w:t>
            </w:r>
          </w:p>
          <w:p w14:paraId="55D8B96D"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Major Threat(s): </w:t>
            </w:r>
            <w:r w:rsidRPr="005516CD">
              <w:rPr>
                <w:rFonts w:asciiTheme="majorHAnsi" w:hAnsiTheme="majorHAnsi" w:cstheme="majorHAnsi"/>
                <w:sz w:val="20"/>
                <w:szCs w:val="20"/>
              </w:rPr>
              <w:t>The primary threat to this species is habitat destruction due to charcoal collection and subsistence farming.</w:t>
            </w:r>
          </w:p>
          <w:p w14:paraId="764E7F8F"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sz w:val="20"/>
                <w:szCs w:val="20"/>
              </w:rPr>
              <w:t xml:space="preserve">Conservation Actions: </w:t>
            </w:r>
            <w:r w:rsidRPr="005516CD">
              <w:rPr>
                <w:rFonts w:asciiTheme="majorHAnsi" w:hAnsiTheme="majorHAnsi" w:cstheme="majorHAnsi"/>
                <w:sz w:val="20"/>
                <w:szCs w:val="20"/>
              </w:rPr>
              <w:t xml:space="preserve">The Citadel </w:t>
            </w:r>
            <w:proofErr w:type="spellStart"/>
            <w:r w:rsidRPr="005516CD">
              <w:rPr>
                <w:rFonts w:asciiTheme="majorHAnsi" w:hAnsiTheme="majorHAnsi" w:cstheme="majorHAnsi"/>
                <w:sz w:val="20"/>
                <w:szCs w:val="20"/>
              </w:rPr>
              <w:t>Laferriere</w:t>
            </w:r>
            <w:proofErr w:type="spellEnd"/>
            <w:r w:rsidRPr="005516CD">
              <w:rPr>
                <w:rFonts w:asciiTheme="majorHAnsi" w:hAnsiTheme="majorHAnsi" w:cstheme="majorHAnsi"/>
                <w:sz w:val="20"/>
                <w:szCs w:val="20"/>
              </w:rPr>
              <w:t xml:space="preserve"> is a World Heritage Site (designated in 1982</w:t>
            </w:r>
            <w:proofErr w:type="gramStart"/>
            <w:r w:rsidRPr="005516CD">
              <w:rPr>
                <w:rFonts w:asciiTheme="majorHAnsi" w:hAnsiTheme="majorHAnsi" w:cstheme="majorHAnsi"/>
                <w:sz w:val="20"/>
                <w:szCs w:val="20"/>
              </w:rPr>
              <w:t>), and</w:t>
            </w:r>
            <w:proofErr w:type="gramEnd"/>
            <w:r w:rsidRPr="005516CD">
              <w:rPr>
                <w:rFonts w:asciiTheme="majorHAnsi" w:hAnsiTheme="majorHAnsi" w:cstheme="majorHAnsi"/>
                <w:sz w:val="20"/>
                <w:szCs w:val="20"/>
              </w:rPr>
              <w:t xml:space="preserve"> is one of the most popular tourist destinations in Haiti. The current status of the species is unclear, and further survey work is needed determine its population status. Maintenance of the surrounding forest is necessary.</w:t>
            </w:r>
          </w:p>
        </w:tc>
      </w:tr>
      <w:tr w:rsidR="00DB73E3" w:rsidRPr="005516CD" w14:paraId="686361AC" w14:textId="77777777" w:rsidTr="005B0548">
        <w:tc>
          <w:tcPr>
            <w:tcW w:w="1956" w:type="dxa"/>
          </w:tcPr>
          <w:p w14:paraId="28A9D53C"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i/>
                <w:color w:val="333333"/>
                <w:sz w:val="20"/>
                <w:szCs w:val="20"/>
              </w:rPr>
              <w:t>Eleutherodactylus</w:t>
            </w:r>
            <w:proofErr w:type="spellEnd"/>
            <w:r w:rsidRPr="005516CD">
              <w:rPr>
                <w:rFonts w:asciiTheme="majorHAnsi" w:eastAsia="Times New Roman" w:hAnsiTheme="majorHAnsi" w:cstheme="majorHAnsi"/>
                <w:i/>
                <w:color w:val="333333"/>
                <w:sz w:val="20"/>
                <w:szCs w:val="20"/>
              </w:rPr>
              <w:t xml:space="preserve"> </w:t>
            </w:r>
            <w:proofErr w:type="spellStart"/>
            <w:r w:rsidRPr="005516CD">
              <w:rPr>
                <w:rFonts w:asciiTheme="majorHAnsi" w:eastAsia="Times New Roman" w:hAnsiTheme="majorHAnsi" w:cstheme="majorHAnsi"/>
                <w:i/>
                <w:color w:val="333333"/>
                <w:sz w:val="20"/>
                <w:szCs w:val="20"/>
              </w:rPr>
              <w:t>rhodesi</w:t>
            </w:r>
            <w:proofErr w:type="spellEnd"/>
            <w:r w:rsidRPr="005516CD">
              <w:rPr>
                <w:rFonts w:asciiTheme="majorHAnsi" w:eastAsia="Times New Roman" w:hAnsiTheme="majorHAnsi" w:cstheme="majorHAnsi"/>
                <w:color w:val="333333"/>
                <w:sz w:val="20"/>
                <w:szCs w:val="20"/>
              </w:rPr>
              <w:t xml:space="preserve"> (</w:t>
            </w:r>
            <w:hyperlink r:id="rId114" w:tooltip="view rhode's robber frog profile" w:history="1">
              <w:r w:rsidRPr="005516CD">
                <w:rPr>
                  <w:rFonts w:asciiTheme="majorHAnsi" w:eastAsia="Times New Roman" w:hAnsiTheme="majorHAnsi" w:cstheme="majorHAnsi"/>
                  <w:color w:val="0563C1"/>
                  <w:sz w:val="20"/>
                  <w:szCs w:val="20"/>
                  <w:u w:val="single"/>
                </w:rPr>
                <w:t>Rhode's Robber Frog</w:t>
              </w:r>
            </w:hyperlink>
            <w:r w:rsidRPr="005516CD">
              <w:rPr>
                <w:rFonts w:asciiTheme="majorHAnsi" w:eastAsia="Times New Roman" w:hAnsiTheme="majorHAnsi" w:cstheme="majorHAnsi"/>
                <w:color w:val="0563C1"/>
                <w:sz w:val="20"/>
                <w:szCs w:val="20"/>
                <w:u w:val="single"/>
              </w:rPr>
              <w:t>)</w:t>
            </w:r>
          </w:p>
        </w:tc>
        <w:tc>
          <w:tcPr>
            <w:tcW w:w="1495" w:type="dxa"/>
          </w:tcPr>
          <w:p w14:paraId="16661B31"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Critically Endangered, endemic to NW Haiti</w:t>
            </w:r>
          </w:p>
        </w:tc>
        <w:tc>
          <w:tcPr>
            <w:tcW w:w="10497" w:type="dxa"/>
          </w:tcPr>
          <w:p w14:paraId="662DE9B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Justification</w:t>
            </w:r>
            <w:r w:rsidRPr="005516CD">
              <w:rPr>
                <w:rFonts w:asciiTheme="majorHAnsi" w:hAnsiTheme="majorHAnsi" w:cstheme="majorHAnsi"/>
                <w:sz w:val="20"/>
                <w:szCs w:val="20"/>
              </w:rPr>
              <w:t xml:space="preserve">: Listed as Critically Endangered because of an expected population decline of greater than 80% over the next ten years, predicted from severe degradation of the species' habitat on the </w:t>
            </w:r>
            <w:proofErr w:type="spellStart"/>
            <w:r w:rsidRPr="005516CD">
              <w:rPr>
                <w:rFonts w:asciiTheme="majorHAnsi" w:hAnsiTheme="majorHAnsi" w:cstheme="majorHAnsi"/>
                <w:sz w:val="20"/>
                <w:szCs w:val="20"/>
              </w:rPr>
              <w:t>Presqu'ile</w:t>
            </w:r>
            <w:proofErr w:type="spellEnd"/>
            <w:r w:rsidRPr="005516CD">
              <w:rPr>
                <w:rFonts w:asciiTheme="majorHAnsi" w:hAnsiTheme="majorHAnsi" w:cstheme="majorHAnsi"/>
                <w:sz w:val="20"/>
                <w:szCs w:val="20"/>
              </w:rPr>
              <w:t xml:space="preserve"> du Nord-Ouest, Haiti; and because its Extent of Occurrence is less than 100 km2 and its Area Of Occupancy is less than 10km2, all individuals are in a single location, and there is continuing decline in the extent and quality of its habitat.</w:t>
            </w:r>
          </w:p>
          <w:p w14:paraId="0A6BCCD4"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20704" behindDoc="1" locked="0" layoutInCell="1" allowOverlap="1" wp14:anchorId="5C5FFF23" wp14:editId="69CBD22E">
                  <wp:simplePos x="0" y="0"/>
                  <wp:positionH relativeFrom="column">
                    <wp:posOffset>4244340</wp:posOffset>
                  </wp:positionH>
                  <wp:positionV relativeFrom="paragraph">
                    <wp:posOffset>24130</wp:posOffset>
                  </wp:positionV>
                  <wp:extent cx="2324100" cy="1936750"/>
                  <wp:effectExtent l="0" t="0" r="0" b="6350"/>
                  <wp:wrapTight wrapText="bothSides">
                    <wp:wrapPolygon edited="0">
                      <wp:start x="0" y="0"/>
                      <wp:lineTo x="0" y="21458"/>
                      <wp:lineTo x="21423" y="21458"/>
                      <wp:lineTo x="21423" y="0"/>
                      <wp:lineTo x="0" y="0"/>
                    </wp:wrapPolygon>
                  </wp:wrapTight>
                  <wp:docPr id="1073741996" name="Picture 10737419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2324100" cy="1936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This species has a very restricted range (occurring in just one small area) on the north-eastern base of the </w:t>
            </w:r>
            <w:proofErr w:type="spellStart"/>
            <w:r w:rsidRPr="005516CD">
              <w:rPr>
                <w:rFonts w:asciiTheme="majorHAnsi" w:hAnsiTheme="majorHAnsi" w:cstheme="majorHAnsi"/>
                <w:sz w:val="20"/>
                <w:szCs w:val="20"/>
              </w:rPr>
              <w:t>Presqu'ile</w:t>
            </w:r>
            <w:proofErr w:type="spellEnd"/>
            <w:r w:rsidRPr="005516CD">
              <w:rPr>
                <w:rFonts w:asciiTheme="majorHAnsi" w:hAnsiTheme="majorHAnsi" w:cstheme="majorHAnsi"/>
                <w:sz w:val="20"/>
                <w:szCs w:val="20"/>
              </w:rPr>
              <w:t xml:space="preserve"> du Nord-Ouest, Haiti, at an altitude of around 30 m </w:t>
            </w:r>
            <w:proofErr w:type="spellStart"/>
            <w:r w:rsidRPr="005516CD">
              <w:rPr>
                <w:rFonts w:asciiTheme="majorHAnsi" w:hAnsiTheme="majorHAnsi" w:cstheme="majorHAnsi"/>
                <w:sz w:val="20"/>
                <w:szCs w:val="20"/>
              </w:rPr>
              <w:t>asl</w:t>
            </w:r>
            <w:proofErr w:type="spellEnd"/>
            <w:r w:rsidRPr="005516CD">
              <w:rPr>
                <w:rFonts w:asciiTheme="majorHAnsi" w:hAnsiTheme="majorHAnsi" w:cstheme="majorHAnsi"/>
                <w:sz w:val="20"/>
                <w:szCs w:val="20"/>
              </w:rPr>
              <w:t xml:space="preserve">. </w:t>
            </w:r>
          </w:p>
          <w:p w14:paraId="649D8F18"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It is a terrestrial species that has been found in leaf-litter and under rocks in forest. Eggs are laid on the ground and it breeds by direct development.</w:t>
            </w:r>
          </w:p>
          <w:p w14:paraId="0B8780C3"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Major Threat(s):</w:t>
            </w:r>
            <w:r w:rsidRPr="005516CD">
              <w:rPr>
                <w:rFonts w:asciiTheme="majorHAnsi" w:hAnsiTheme="majorHAnsi" w:cstheme="majorHAnsi"/>
                <w:sz w:val="20"/>
                <w:szCs w:val="20"/>
              </w:rPr>
              <w:t xml:space="preserve"> The main threat is extensive habitat destruction due to logging by local people (charcoaling) and slash-and-burn agriculture.</w:t>
            </w:r>
          </w:p>
        </w:tc>
      </w:tr>
      <w:tr w:rsidR="00DB73E3" w:rsidRPr="005516CD" w14:paraId="55664698" w14:textId="77777777" w:rsidTr="005B0548">
        <w:tc>
          <w:tcPr>
            <w:tcW w:w="1956" w:type="dxa"/>
          </w:tcPr>
          <w:p w14:paraId="47A70376"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i/>
                <w:color w:val="333333"/>
                <w:sz w:val="20"/>
                <w:szCs w:val="20"/>
              </w:rPr>
              <w:t>Eleutherodactylus</w:t>
            </w:r>
            <w:proofErr w:type="spellEnd"/>
            <w:r w:rsidRPr="005516CD">
              <w:rPr>
                <w:rFonts w:asciiTheme="majorHAnsi" w:eastAsia="Times New Roman" w:hAnsiTheme="majorHAnsi" w:cstheme="majorHAnsi"/>
                <w:i/>
                <w:color w:val="333333"/>
                <w:sz w:val="20"/>
                <w:szCs w:val="20"/>
              </w:rPr>
              <w:t xml:space="preserve"> </w:t>
            </w:r>
            <w:proofErr w:type="spellStart"/>
            <w:r w:rsidRPr="005516CD">
              <w:rPr>
                <w:rFonts w:asciiTheme="majorHAnsi" w:eastAsia="Times New Roman" w:hAnsiTheme="majorHAnsi" w:cstheme="majorHAnsi"/>
                <w:i/>
                <w:color w:val="333333"/>
                <w:sz w:val="20"/>
                <w:szCs w:val="20"/>
              </w:rPr>
              <w:t>schmidti</w:t>
            </w:r>
            <w:proofErr w:type="spellEnd"/>
            <w:r w:rsidRPr="005516CD">
              <w:rPr>
                <w:rFonts w:asciiTheme="majorHAnsi" w:eastAsia="Times New Roman" w:hAnsiTheme="majorHAnsi" w:cstheme="majorHAnsi"/>
                <w:color w:val="333333"/>
                <w:sz w:val="20"/>
                <w:szCs w:val="20"/>
              </w:rPr>
              <w:t xml:space="preserve"> (</w:t>
            </w:r>
            <w:hyperlink r:id="rId116" w:tooltip="view schmidt's robber frog profile" w:history="1">
              <w:r w:rsidRPr="005516CD">
                <w:rPr>
                  <w:rFonts w:asciiTheme="majorHAnsi" w:eastAsia="Times New Roman" w:hAnsiTheme="majorHAnsi" w:cstheme="majorHAnsi"/>
                  <w:color w:val="0563C1"/>
                  <w:sz w:val="20"/>
                  <w:szCs w:val="20"/>
                  <w:u w:val="single"/>
                </w:rPr>
                <w:t>Schmidt's Robber Frog</w:t>
              </w:r>
            </w:hyperlink>
            <w:r w:rsidRPr="005516CD">
              <w:rPr>
                <w:rFonts w:asciiTheme="majorHAnsi" w:eastAsia="Times New Roman" w:hAnsiTheme="majorHAnsi" w:cstheme="majorHAnsi"/>
                <w:color w:val="0563C1"/>
                <w:sz w:val="20"/>
                <w:szCs w:val="20"/>
                <w:u w:val="single"/>
              </w:rPr>
              <w:t>)</w:t>
            </w:r>
          </w:p>
        </w:tc>
        <w:tc>
          <w:tcPr>
            <w:tcW w:w="1495" w:type="dxa"/>
          </w:tcPr>
          <w:p w14:paraId="6D3CA8FF"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 xml:space="preserve">Critically Endangered,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w:t>
            </w:r>
          </w:p>
        </w:tc>
        <w:tc>
          <w:tcPr>
            <w:tcW w:w="10497" w:type="dxa"/>
          </w:tcPr>
          <w:p w14:paraId="4B2C2464"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21728" behindDoc="1" locked="0" layoutInCell="1" allowOverlap="1" wp14:anchorId="4B4B2133" wp14:editId="1C459059">
                  <wp:simplePos x="0" y="0"/>
                  <wp:positionH relativeFrom="column">
                    <wp:posOffset>4269740</wp:posOffset>
                  </wp:positionH>
                  <wp:positionV relativeFrom="paragraph">
                    <wp:posOffset>561975</wp:posOffset>
                  </wp:positionV>
                  <wp:extent cx="2316480" cy="1857375"/>
                  <wp:effectExtent l="0" t="0" r="7620" b="9525"/>
                  <wp:wrapTight wrapText="bothSides">
                    <wp:wrapPolygon edited="0">
                      <wp:start x="0" y="0"/>
                      <wp:lineTo x="0" y="21489"/>
                      <wp:lineTo x="21493" y="21489"/>
                      <wp:lineTo x="21493" y="0"/>
                      <wp:lineTo x="0" y="0"/>
                    </wp:wrapPolygon>
                  </wp:wrapTight>
                  <wp:docPr id="1073741997" name="Picture 1073741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7" cstate="print">
                            <a:extLst>
                              <a:ext uri="{28A0092B-C50C-407E-A947-70E740481C1C}">
                                <a14:useLocalDpi xmlns:a14="http://schemas.microsoft.com/office/drawing/2010/main" val="0"/>
                              </a:ext>
                            </a:extLst>
                          </a:blip>
                          <a:srcRect/>
                          <a:stretch>
                            <a:fillRect/>
                          </a:stretch>
                        </pic:blipFill>
                        <pic:spPr bwMode="auto">
                          <a:xfrm>
                            <a:off x="0" y="0"/>
                            <a:ext cx="2316480" cy="1857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Listed as Critically Endangered because of a population decline of greater than 80% over the last ten years, estimated from direct observation, a decline in the quality of its habitat, and the possible effects of chytridiomycosis.</w:t>
            </w:r>
          </w:p>
          <w:p w14:paraId="777CDD93"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Range Description: </w:t>
            </w:r>
            <w:r w:rsidRPr="005516CD">
              <w:rPr>
                <w:rFonts w:asciiTheme="majorHAnsi" w:hAnsiTheme="majorHAnsi" w:cstheme="majorHAnsi"/>
                <w:sz w:val="20"/>
                <w:szCs w:val="20"/>
              </w:rPr>
              <w:t xml:space="preserve">This species has a restricted range in the Cordillera Septentrional and Cordillera Central, in the Dominican Republic, and in the Massif du Nord, Haiti. It has been recorded from sea level to 1,758 m </w:t>
            </w:r>
            <w:proofErr w:type="spellStart"/>
            <w:r w:rsidRPr="005516CD">
              <w:rPr>
                <w:rFonts w:asciiTheme="majorHAnsi" w:hAnsiTheme="majorHAnsi" w:cstheme="majorHAnsi"/>
                <w:sz w:val="20"/>
                <w:szCs w:val="20"/>
              </w:rPr>
              <w:t>asl</w:t>
            </w:r>
            <w:proofErr w:type="spellEnd"/>
            <w:r w:rsidRPr="005516CD">
              <w:rPr>
                <w:rFonts w:asciiTheme="majorHAnsi" w:hAnsiTheme="majorHAnsi" w:cstheme="majorHAnsi"/>
                <w:sz w:val="20"/>
                <w:szCs w:val="20"/>
              </w:rPr>
              <w:t xml:space="preserve">. </w:t>
            </w:r>
          </w:p>
          <w:p w14:paraId="0C4D5B0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Population:</w:t>
            </w:r>
            <w:r w:rsidR="00974AD4" w:rsidRPr="005516CD">
              <w:rPr>
                <w:rFonts w:asciiTheme="majorHAnsi" w:hAnsiTheme="majorHAnsi" w:cstheme="majorHAnsi"/>
                <w:b/>
                <w:sz w:val="20"/>
                <w:szCs w:val="20"/>
              </w:rPr>
              <w:t xml:space="preserve"> </w:t>
            </w:r>
            <w:r w:rsidRPr="005516CD">
              <w:rPr>
                <w:rFonts w:asciiTheme="majorHAnsi" w:hAnsiTheme="majorHAnsi" w:cstheme="majorHAnsi"/>
                <w:sz w:val="20"/>
                <w:szCs w:val="20"/>
              </w:rPr>
              <w:t>It was common in the past and was known from many localities, but it has not been recorded since the mid 1980s. Extensive surveys were carried out within its range between 1998 and 2000 (M. Hernandez pers. comm.), but these failed to find any individuals, thus suggesting a catastrophic decline, even within suitable habitats.</w:t>
            </w:r>
          </w:p>
          <w:p w14:paraId="0EA9AA28"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Habitat and Ecology: </w:t>
            </w:r>
            <w:r w:rsidRPr="005516CD">
              <w:rPr>
                <w:rFonts w:asciiTheme="majorHAnsi" w:hAnsiTheme="majorHAnsi" w:cstheme="majorHAnsi"/>
                <w:sz w:val="20"/>
                <w:szCs w:val="20"/>
              </w:rPr>
              <w:t>It is usually found beside streams in mesic closed-canopy rainforests. Males call from the river and stream banks. Eggs are laid on the ground, and it breeds by direct development.</w:t>
            </w:r>
          </w:p>
          <w:p w14:paraId="1DF1841E"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sz w:val="20"/>
                <w:szCs w:val="20"/>
              </w:rPr>
              <w:t xml:space="preserve">Major Threat(s): </w:t>
            </w:r>
            <w:r w:rsidRPr="005516CD">
              <w:rPr>
                <w:rFonts w:asciiTheme="majorHAnsi" w:hAnsiTheme="majorHAnsi" w:cstheme="majorHAnsi"/>
                <w:sz w:val="20"/>
                <w:szCs w:val="20"/>
              </w:rPr>
              <w:t>In the Cordillera Central of the Dominican Republic, habitat destruction is taking place as a result of agricultural development (including livestock farming), and disturbance from ecotourism. However, chytridiomycosis is a possible reason for its decline within suitable habitats.</w:t>
            </w:r>
          </w:p>
        </w:tc>
      </w:tr>
      <w:tr w:rsidR="00DB73E3" w:rsidRPr="005516CD" w14:paraId="220FC811" w14:textId="77777777" w:rsidTr="005B0548">
        <w:tc>
          <w:tcPr>
            <w:tcW w:w="1956" w:type="dxa"/>
          </w:tcPr>
          <w:p w14:paraId="4FAF0AF0" w14:textId="77777777" w:rsidR="00DB73E3" w:rsidRPr="005516CD" w:rsidRDefault="00DB73E3" w:rsidP="007B146B">
            <w:pPr>
              <w:rPr>
                <w:rFonts w:asciiTheme="majorHAnsi" w:eastAsia="Times New Roman" w:hAnsiTheme="majorHAnsi" w:cstheme="majorHAnsi"/>
                <w:color w:val="333333"/>
                <w:sz w:val="20"/>
                <w:szCs w:val="20"/>
                <w:lang w:val="uz-Cyrl-UZ"/>
              </w:rPr>
            </w:pPr>
            <w:r w:rsidRPr="005516CD">
              <w:rPr>
                <w:rFonts w:asciiTheme="majorHAnsi" w:eastAsia="Times New Roman" w:hAnsiTheme="majorHAnsi" w:cstheme="majorHAnsi"/>
                <w:i/>
                <w:color w:val="333333"/>
                <w:sz w:val="20"/>
                <w:szCs w:val="20"/>
                <w:lang w:val="uz-Cyrl-UZ"/>
              </w:rPr>
              <w:t>Hypsiboas heilprini</w:t>
            </w:r>
            <w:r w:rsidRPr="005516CD">
              <w:rPr>
                <w:rFonts w:asciiTheme="majorHAnsi" w:eastAsia="Times New Roman" w:hAnsiTheme="majorHAnsi" w:cstheme="majorHAnsi"/>
                <w:color w:val="0563C1"/>
                <w:sz w:val="20"/>
                <w:szCs w:val="20"/>
                <w:u w:val="single"/>
                <w:lang w:val="uz-Cyrl-UZ"/>
              </w:rPr>
              <w:t xml:space="preserve"> </w:t>
            </w:r>
            <w:hyperlink r:id="rId118" w:tooltip="view los bracitos treefrog profile" w:history="1">
              <w:r w:rsidRPr="005516CD">
                <w:rPr>
                  <w:rFonts w:asciiTheme="majorHAnsi" w:eastAsia="Times New Roman" w:hAnsiTheme="majorHAnsi" w:cstheme="majorHAnsi"/>
                  <w:color w:val="0563C1"/>
                  <w:sz w:val="20"/>
                  <w:szCs w:val="20"/>
                  <w:u w:val="single"/>
                  <w:lang w:val="uz-Cyrl-UZ"/>
                </w:rPr>
                <w:t>Los Bracitos Treefrog</w:t>
              </w:r>
            </w:hyperlink>
          </w:p>
        </w:tc>
        <w:tc>
          <w:tcPr>
            <w:tcW w:w="1495" w:type="dxa"/>
          </w:tcPr>
          <w:p w14:paraId="09436B3D"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 xml:space="preserve">Vulnerable.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w:t>
            </w:r>
          </w:p>
        </w:tc>
        <w:tc>
          <w:tcPr>
            <w:tcW w:w="10497" w:type="dxa"/>
          </w:tcPr>
          <w:p w14:paraId="7A75B2A9"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Listed as Vulnerable given that its area of occupancy (AOO) is estimated to be between 1,527 and 2,000 km2,  its population is considered to be severely fragmented and there is a continuing decline in its extent of occurrence (EOO), AOO, and the area, extent and quality of its habitat throughout much of Hispaniola.</w:t>
            </w:r>
          </w:p>
          <w:p w14:paraId="105403BF"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22752" behindDoc="1" locked="0" layoutInCell="1" allowOverlap="1" wp14:anchorId="33BF729C" wp14:editId="529CA110">
                  <wp:simplePos x="0" y="0"/>
                  <wp:positionH relativeFrom="column">
                    <wp:posOffset>2956560</wp:posOffset>
                  </wp:positionH>
                  <wp:positionV relativeFrom="paragraph">
                    <wp:posOffset>15240</wp:posOffset>
                  </wp:positionV>
                  <wp:extent cx="3482340" cy="1548130"/>
                  <wp:effectExtent l="0" t="0" r="3810" b="0"/>
                  <wp:wrapTight wrapText="bothSides">
                    <wp:wrapPolygon edited="0">
                      <wp:start x="0" y="0"/>
                      <wp:lineTo x="0" y="21263"/>
                      <wp:lineTo x="21505" y="21263"/>
                      <wp:lineTo x="21505" y="0"/>
                      <wp:lineTo x="0" y="0"/>
                    </wp:wrapPolygon>
                  </wp:wrapTight>
                  <wp:docPr id="1073741998" name="Picture 10737419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482340" cy="1548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 xml:space="preserve">Range Description: </w:t>
            </w:r>
            <w:r w:rsidRPr="005516CD">
              <w:rPr>
                <w:rFonts w:asciiTheme="majorHAnsi" w:hAnsiTheme="majorHAnsi" w:cstheme="majorHAnsi"/>
                <w:sz w:val="20"/>
                <w:szCs w:val="20"/>
              </w:rPr>
              <w:t xml:space="preserve">This species has a spotty and fragmented distribution throughout Hispaniola, from sea level up to 1,856 m </w:t>
            </w:r>
            <w:proofErr w:type="spellStart"/>
            <w:r w:rsidRPr="005516CD">
              <w:rPr>
                <w:rFonts w:asciiTheme="majorHAnsi" w:hAnsiTheme="majorHAnsi" w:cstheme="majorHAnsi"/>
                <w:sz w:val="20"/>
                <w:szCs w:val="20"/>
              </w:rPr>
              <w:t>asl</w:t>
            </w:r>
            <w:proofErr w:type="spellEnd"/>
            <w:r w:rsidRPr="005516CD">
              <w:rPr>
                <w:rFonts w:asciiTheme="majorHAnsi" w:hAnsiTheme="majorHAnsi" w:cstheme="majorHAnsi"/>
                <w:sz w:val="20"/>
                <w:szCs w:val="20"/>
              </w:rPr>
              <w:t xml:space="preserve">. </w:t>
            </w:r>
            <w:r w:rsidRPr="005516CD">
              <w:rPr>
                <w:rFonts w:asciiTheme="majorHAnsi" w:hAnsiTheme="majorHAnsi" w:cstheme="majorHAnsi"/>
                <w:sz w:val="20"/>
                <w:szCs w:val="20"/>
                <w:lang w:val="uz-Cyrl-UZ"/>
              </w:rPr>
              <w:t xml:space="preserve">Surveys from 2008-2010 have recorded this species in 16 geographical localities of the Dominican Republic including Nalga de Maco, Salto de la Damajagua, San José de Las Matas, Armando Bermudez, José del Carmen Ramírez, Diego de Ocampo, San José de Ocoa, Camaano Deno, Loma La Canela, La Vega, Ebano Verde, Monte Plata, Sánchez Ramírez, La Humeadora, Miches and Los Haitises. </w:t>
            </w:r>
            <w:r w:rsidRPr="005516CD">
              <w:rPr>
                <w:rFonts w:asciiTheme="majorHAnsi" w:hAnsiTheme="majorHAnsi" w:cstheme="majorHAnsi"/>
                <w:sz w:val="20"/>
                <w:szCs w:val="20"/>
              </w:rPr>
              <w:t xml:space="preserve">These surveys have expanded this species' area of occupancy (AOO) since its last assessment in 2004 (G. Ross pers. comm. March 2011). However, even considering this expansion, the occupied area (herein taken as a proxy for AOO, although the actual AOO would be more restricted by virtue of the species' association with watersheds) in the Dominican Republic is estimated to be 1,527 km2 based on field work and presence of suitable habitat (R. Powell pers. comm. February 2012). While there is no estimate for its occupied area in Haiti, based on the current original forest cover (estimated to be 277.5 km2 or 1% of the original forest cover in Haiti; B. Hedges pers. comm. April 2012) and the rate of habitat loss experienced by this country, suitable sites are projected to disappear within 10-20 years (R. Powell pers. comm. February 2012; B. Hedges pers. comm. February 2012), so it is expected that this species' AOO will most likely not exceed 2,000 km2. Its current overall range (taken as a proxy for extent of occurrence) is estimated to be 37,774 km2, which evidences a reduction in the area historically demarcated as its range (R. Powell pers. comm. February 2012). Many watersheds with forested riparian zones no longer exist at sites where these frogs have been collected historically (R. Powell pers. comm. February 2012). </w:t>
            </w:r>
          </w:p>
          <w:p w14:paraId="02205DBA"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Population: </w:t>
            </w:r>
            <w:r w:rsidRPr="005516CD">
              <w:rPr>
                <w:rFonts w:asciiTheme="majorHAnsi" w:hAnsiTheme="majorHAnsi" w:cstheme="majorHAnsi"/>
                <w:sz w:val="20"/>
                <w:szCs w:val="20"/>
              </w:rPr>
              <w:t xml:space="preserve">This species is believed to have undergone a decline in the years preceding 2004, and during the course of recent surveys in Haiti was found to be absent from a number of streams (B. Hedges pers. </w:t>
            </w:r>
            <w:proofErr w:type="spellStart"/>
            <w:proofErr w:type="gramStart"/>
            <w:r w:rsidRPr="005516CD">
              <w:rPr>
                <w:rFonts w:asciiTheme="majorHAnsi" w:hAnsiTheme="majorHAnsi" w:cstheme="majorHAnsi"/>
                <w:sz w:val="20"/>
                <w:szCs w:val="20"/>
              </w:rPr>
              <w:t>comm.February</w:t>
            </w:r>
            <w:proofErr w:type="spellEnd"/>
            <w:proofErr w:type="gramEnd"/>
            <w:r w:rsidRPr="005516CD">
              <w:rPr>
                <w:rFonts w:asciiTheme="majorHAnsi" w:hAnsiTheme="majorHAnsi" w:cstheme="majorHAnsi"/>
                <w:sz w:val="20"/>
                <w:szCs w:val="20"/>
              </w:rPr>
              <w:t xml:space="preserve"> 2012). More recently, 2008-2010 surveys have documented approximately 135 mature individuals in 16 geographical localities (G. Ross pers. comm. March 2011). During a survey in </w:t>
            </w:r>
            <w:proofErr w:type="spellStart"/>
            <w:r w:rsidRPr="005516CD">
              <w:rPr>
                <w:rFonts w:asciiTheme="majorHAnsi" w:hAnsiTheme="majorHAnsi" w:cstheme="majorHAnsi"/>
                <w:sz w:val="20"/>
                <w:szCs w:val="20"/>
              </w:rPr>
              <w:t>Furcy</w:t>
            </w:r>
            <w:proofErr w:type="spellEnd"/>
            <w:r w:rsidRPr="005516CD">
              <w:rPr>
                <w:rFonts w:asciiTheme="majorHAnsi" w:hAnsiTheme="majorHAnsi" w:cstheme="majorHAnsi"/>
                <w:sz w:val="20"/>
                <w:szCs w:val="20"/>
              </w:rPr>
              <w:t xml:space="preserve">, Haiti, in 2010 one individual was heard calling (M. </w:t>
            </w:r>
            <w:proofErr w:type="spellStart"/>
            <w:r w:rsidRPr="005516CD">
              <w:rPr>
                <w:rFonts w:asciiTheme="majorHAnsi" w:hAnsiTheme="majorHAnsi" w:cstheme="majorHAnsi"/>
                <w:sz w:val="20"/>
                <w:szCs w:val="20"/>
              </w:rPr>
              <w:t>Landestoy</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pers</w:t>
            </w:r>
            <w:proofErr w:type="spellEnd"/>
            <w:r w:rsidRPr="005516CD">
              <w:rPr>
                <w:rFonts w:asciiTheme="majorHAnsi" w:hAnsiTheme="majorHAnsi" w:cstheme="majorHAnsi"/>
                <w:sz w:val="20"/>
                <w:szCs w:val="20"/>
              </w:rPr>
              <w:t xml:space="preserve"> comm. March 2011). In the Cordillera Central of the Dominican Republic, it appears to persist in appropriate habitat at several localities (based on field observations from 1998-2010; M. Hernández pers. comm. and G. Ross pers. comm. March 2011). In 2010 surveys conducted in Sierra de </w:t>
            </w:r>
            <w:proofErr w:type="spellStart"/>
            <w:r w:rsidRPr="005516CD">
              <w:rPr>
                <w:rFonts w:asciiTheme="majorHAnsi" w:hAnsiTheme="majorHAnsi" w:cstheme="majorHAnsi"/>
                <w:sz w:val="20"/>
                <w:szCs w:val="20"/>
              </w:rPr>
              <w:t>Bahoruco</w:t>
            </w:r>
            <w:proofErr w:type="spellEnd"/>
            <w:r w:rsidRPr="005516CD">
              <w:rPr>
                <w:rFonts w:asciiTheme="majorHAnsi" w:hAnsiTheme="majorHAnsi" w:cstheme="majorHAnsi"/>
                <w:sz w:val="20"/>
                <w:szCs w:val="20"/>
              </w:rPr>
              <w:t xml:space="preserve"> and Barahona peninsula recorded individuals in two localities, expanding the southern extent of the known range (Proyecto Rana RD). The population is considered to be severely fragmented as per the IUCN Red List Guidelines, i.e. it occurs in fragmented habitat patches, it has a poor dispersal ability and limited gene flux, and 50% or more of individuals are found in isolated and fragmented habitat patches.</w:t>
            </w:r>
          </w:p>
          <w:p w14:paraId="2EB869E9"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Habitat and Ecology: </w:t>
            </w:r>
            <w:r w:rsidRPr="005516CD">
              <w:rPr>
                <w:rFonts w:asciiTheme="majorHAnsi" w:hAnsiTheme="majorHAnsi" w:cstheme="majorHAnsi"/>
                <w:sz w:val="20"/>
                <w:szCs w:val="20"/>
              </w:rPr>
              <w:t xml:space="preserve">It is a stream-breeding amphibian found in high-quality mountain streams associated with well-conserved mesic broadleaf forests (R. Powell pers. comm. December 2011; B. Hedges pers. comm. February 2012). It has also been found in areas with various land uses, such as cacao plantations, coffee plantations, pastures, crop agriculture, areas with livestock, and forestry activities (Pueblo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pers. comm. January 2012; 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pers. comm. July 2012). Recent surveys have revealed that, of a total of 90 transects, the species was found primarily in different forest types (N=79), but was also recorded in agricultural areas (N=7) and wetlands, including marshes (N=4)(Pueblo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w:t>
            </w:r>
            <w:proofErr w:type="spellStart"/>
            <w:r w:rsidRPr="005516CD">
              <w:rPr>
                <w:rFonts w:asciiTheme="majorHAnsi" w:hAnsiTheme="majorHAnsi" w:cstheme="majorHAnsi"/>
                <w:sz w:val="20"/>
                <w:szCs w:val="20"/>
              </w:rPr>
              <w:t>pers.comm</w:t>
            </w:r>
            <w:proofErr w:type="spellEnd"/>
            <w:r w:rsidRPr="005516CD">
              <w:rPr>
                <w:rFonts w:asciiTheme="majorHAnsi" w:hAnsiTheme="majorHAnsi" w:cstheme="majorHAnsi"/>
                <w:sz w:val="20"/>
                <w:szCs w:val="20"/>
              </w:rPr>
              <w:t xml:space="preserve">. July 2012). Most of the surveyed transects (N=65) had various land use practices in the surrounding area, with 25 transects surrounded by unaltered forests (Pueblo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w:t>
            </w:r>
            <w:proofErr w:type="spellStart"/>
            <w:r w:rsidRPr="005516CD">
              <w:rPr>
                <w:rFonts w:asciiTheme="majorHAnsi" w:hAnsiTheme="majorHAnsi" w:cstheme="majorHAnsi"/>
                <w:sz w:val="20"/>
                <w:szCs w:val="20"/>
              </w:rPr>
              <w:t>pers.comm</w:t>
            </w:r>
            <w:proofErr w:type="spellEnd"/>
            <w:r w:rsidRPr="005516CD">
              <w:rPr>
                <w:rFonts w:asciiTheme="majorHAnsi" w:hAnsiTheme="majorHAnsi" w:cstheme="majorHAnsi"/>
                <w:sz w:val="20"/>
                <w:szCs w:val="20"/>
              </w:rPr>
              <w:t>. July 2012). These survey results suggest that, although this frog is found in habitat types that are contained within a variety of different land uses, it requires forests as the main habitat pockets to subsist within these different landscapes. In terms of micro-habitat occupation, males have been reported to call from rocks or low vegetation near and in water. It has been observed breeding in slow-moving water at Diego de Ocampo in April 2009 (G. Ross pers. comm. March 2011). Due to the fact that it is a mountain stream-dweller, it is considered to be more sensitive to habitat destruction than many other species.</w:t>
            </w:r>
          </w:p>
          <w:p w14:paraId="73C3D21B"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Major Threat(s): </w:t>
            </w:r>
            <w:r w:rsidRPr="005516CD">
              <w:rPr>
                <w:rFonts w:asciiTheme="majorHAnsi" w:hAnsiTheme="majorHAnsi" w:cstheme="majorHAnsi"/>
                <w:sz w:val="20"/>
                <w:szCs w:val="20"/>
              </w:rPr>
              <w:t>In Haiti, severe degradation of streams has already significantly altered its breeding habitat, and streams in Hispaniola in general are being strongly impacted by deforestation due to agricultural activities, logging and charcoaling (B. Hedges pers. comm. February 2012). Suitable habitat where the species is currently found is being impacted by mining activities (Barrick Gold Corporation 2012). Infrastructure development is also a threat in some areas in the Dominican Republic. Chytrid fungus has been confirmed on individuals at Monte Plata and Sánchez Ramírez in 2009 (G. Ross pers. comm. March 2011), although it is not known whether it has been associated with mortality events or declines.</w:t>
            </w:r>
          </w:p>
          <w:p w14:paraId="3A604B12"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Conservation Actions:</w:t>
            </w:r>
            <w:r w:rsidRPr="005516CD">
              <w:rPr>
                <w:rFonts w:asciiTheme="majorHAnsi" w:hAnsiTheme="majorHAnsi" w:cstheme="majorHAnsi"/>
                <w:b/>
                <w:sz w:val="20"/>
                <w:szCs w:val="20"/>
              </w:rPr>
              <w:tab/>
            </w:r>
            <w:r w:rsidRPr="005516CD">
              <w:rPr>
                <w:rFonts w:asciiTheme="majorHAnsi" w:hAnsiTheme="majorHAnsi" w:cstheme="majorHAnsi"/>
                <w:sz w:val="20"/>
                <w:szCs w:val="20"/>
              </w:rPr>
              <w:t xml:space="preserve">Its range includes several protected areas in the Dominican Republic, although most of these are in need of improved biodiversity conservation management and no known populations in Haiti are within protected areas. Small isolated populations outside of protected areas are thought to be at a very high risk of local extirpation within the next ten years if there is no intervention (R. Powell pers. comm. February 2012), so additional habitat protection is urgently required.  Further survey work is necessary to determine the current population status of this species in the wild in Haiti, and to determine whether chytrid is a threat. The Dominican governmental agency </w:t>
            </w:r>
            <w:proofErr w:type="spellStart"/>
            <w:r w:rsidRPr="005516CD">
              <w:rPr>
                <w:rFonts w:asciiTheme="majorHAnsi" w:hAnsiTheme="majorHAnsi" w:cstheme="majorHAnsi"/>
                <w:sz w:val="20"/>
                <w:szCs w:val="20"/>
              </w:rPr>
              <w:t>Ministerio</w:t>
            </w:r>
            <w:proofErr w:type="spellEnd"/>
            <w:r w:rsidRPr="005516CD">
              <w:rPr>
                <w:rFonts w:asciiTheme="majorHAnsi" w:hAnsiTheme="majorHAnsi" w:cstheme="majorHAnsi"/>
                <w:sz w:val="20"/>
                <w:szCs w:val="20"/>
              </w:rPr>
              <w:t xml:space="preserve"> de </w:t>
            </w:r>
            <w:proofErr w:type="spellStart"/>
            <w:r w:rsidRPr="005516CD">
              <w:rPr>
                <w:rFonts w:asciiTheme="majorHAnsi" w:hAnsiTheme="majorHAnsi" w:cstheme="majorHAnsi"/>
                <w:sz w:val="20"/>
                <w:szCs w:val="20"/>
              </w:rPr>
              <w:t>Educación</w:t>
            </w:r>
            <w:proofErr w:type="spellEnd"/>
            <w:r w:rsidRPr="005516CD">
              <w:rPr>
                <w:rFonts w:asciiTheme="majorHAnsi" w:hAnsiTheme="majorHAnsi" w:cstheme="majorHAnsi"/>
                <w:sz w:val="20"/>
                <w:szCs w:val="20"/>
              </w:rPr>
              <w:t xml:space="preserve"> Superior, </w:t>
            </w:r>
            <w:proofErr w:type="spellStart"/>
            <w:r w:rsidRPr="005516CD">
              <w:rPr>
                <w:rFonts w:asciiTheme="majorHAnsi" w:hAnsiTheme="majorHAnsi" w:cstheme="majorHAnsi"/>
                <w:sz w:val="20"/>
                <w:szCs w:val="20"/>
              </w:rPr>
              <w:t>Ciencia</w:t>
            </w:r>
            <w:proofErr w:type="spellEnd"/>
            <w:r w:rsidRPr="005516CD">
              <w:rPr>
                <w:rFonts w:asciiTheme="majorHAnsi" w:hAnsiTheme="majorHAnsi" w:cstheme="majorHAnsi"/>
                <w:sz w:val="20"/>
                <w:szCs w:val="20"/>
              </w:rPr>
              <w:t xml:space="preserve"> y </w:t>
            </w:r>
            <w:proofErr w:type="spellStart"/>
            <w:r w:rsidRPr="005516CD">
              <w:rPr>
                <w:rFonts w:asciiTheme="majorHAnsi" w:hAnsiTheme="majorHAnsi" w:cstheme="majorHAnsi"/>
                <w:sz w:val="20"/>
                <w:szCs w:val="20"/>
              </w:rPr>
              <w:t>Tecnología</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MECyT</w:t>
            </w:r>
            <w:proofErr w:type="spellEnd"/>
            <w:r w:rsidRPr="005516CD">
              <w:rPr>
                <w:rFonts w:asciiTheme="majorHAnsi" w:hAnsiTheme="majorHAnsi" w:cstheme="majorHAnsi"/>
                <w:sz w:val="20"/>
                <w:szCs w:val="20"/>
              </w:rPr>
              <w:t xml:space="preserve">) is currently financing a three-year Dominican conservation project on threatened frogs due to climate change (RANA-RD), and which is expected to contribute towards a national Dominican amphibian conservation action plan with policy recommendations (C. </w:t>
            </w:r>
            <w:proofErr w:type="spellStart"/>
            <w:r w:rsidRPr="005516CD">
              <w:rPr>
                <w:rFonts w:asciiTheme="majorHAnsi" w:hAnsiTheme="majorHAnsi" w:cstheme="majorHAnsi"/>
                <w:sz w:val="20"/>
                <w:szCs w:val="20"/>
              </w:rPr>
              <w:t>Marte</w:t>
            </w:r>
            <w:proofErr w:type="spellEnd"/>
            <w:r w:rsidRPr="005516CD">
              <w:rPr>
                <w:rFonts w:asciiTheme="majorHAnsi" w:hAnsiTheme="majorHAnsi" w:cstheme="majorHAnsi"/>
                <w:sz w:val="20"/>
                <w:szCs w:val="20"/>
              </w:rPr>
              <w:t xml:space="preserve">, M. Rodríguez and L. Diaz pers. comm. March 2011). Barrick Gold Corporation is funding a biodiversity project to establish assurance colonies of this and other </w:t>
            </w:r>
            <w:proofErr w:type="spellStart"/>
            <w:r w:rsidRPr="005516CD">
              <w:rPr>
                <w:rFonts w:asciiTheme="majorHAnsi" w:hAnsiTheme="majorHAnsi" w:cstheme="majorHAnsi"/>
                <w:sz w:val="20"/>
                <w:szCs w:val="20"/>
              </w:rPr>
              <w:t>Hylids</w:t>
            </w:r>
            <w:proofErr w:type="spellEnd"/>
            <w:r w:rsidRPr="005516CD">
              <w:rPr>
                <w:rFonts w:asciiTheme="majorHAnsi" w:hAnsiTheme="majorHAnsi" w:cstheme="majorHAnsi"/>
                <w:sz w:val="20"/>
                <w:szCs w:val="20"/>
              </w:rPr>
              <w:t xml:space="preserve"> impacted by its mining </w:t>
            </w:r>
            <w:proofErr w:type="gramStart"/>
            <w:r w:rsidRPr="005516CD">
              <w:rPr>
                <w:rFonts w:asciiTheme="majorHAnsi" w:hAnsiTheme="majorHAnsi" w:cstheme="majorHAnsi"/>
                <w:sz w:val="20"/>
                <w:szCs w:val="20"/>
              </w:rPr>
              <w:t>operation, and</w:t>
            </w:r>
            <w:proofErr w:type="gramEnd"/>
            <w:r w:rsidRPr="005516CD">
              <w:rPr>
                <w:rFonts w:asciiTheme="majorHAnsi" w:hAnsiTheme="majorHAnsi" w:cstheme="majorHAnsi"/>
                <w:sz w:val="20"/>
                <w:szCs w:val="20"/>
              </w:rPr>
              <w:t xml:space="preserve"> is also involved in building capacity and collecting additional biological information (Barrick Gold Corporation 2012).</w:t>
            </w:r>
          </w:p>
          <w:p w14:paraId="1B2CD5B9"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sz w:val="20"/>
                <w:szCs w:val="20"/>
              </w:rPr>
              <w:t>The Amphibian Ark Conservation Needs Assessment process (Amphibian Ark 2011) conducted in the joint IUCN-Amphibian Ark workshop where this species was reassessed identified that further conservation actions for this taxon should include in situ conservation and conservation education.</w:t>
            </w:r>
          </w:p>
        </w:tc>
      </w:tr>
      <w:tr w:rsidR="00DB73E3" w:rsidRPr="005516CD" w14:paraId="3F2674A5" w14:textId="77777777" w:rsidTr="005B0548">
        <w:tc>
          <w:tcPr>
            <w:tcW w:w="1956" w:type="dxa"/>
          </w:tcPr>
          <w:p w14:paraId="527AEDF2"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i/>
                <w:color w:val="333333"/>
                <w:sz w:val="20"/>
                <w:szCs w:val="20"/>
              </w:rPr>
              <w:t>Osteopilus</w:t>
            </w:r>
            <w:proofErr w:type="spellEnd"/>
            <w:r w:rsidRPr="005516CD">
              <w:rPr>
                <w:rFonts w:asciiTheme="majorHAnsi" w:eastAsia="Times New Roman" w:hAnsiTheme="majorHAnsi" w:cstheme="majorHAnsi"/>
                <w:i/>
                <w:color w:val="333333"/>
                <w:sz w:val="20"/>
                <w:szCs w:val="20"/>
              </w:rPr>
              <w:t xml:space="preserve"> </w:t>
            </w:r>
            <w:proofErr w:type="spellStart"/>
            <w:r w:rsidRPr="005516CD">
              <w:rPr>
                <w:rFonts w:asciiTheme="majorHAnsi" w:eastAsia="Times New Roman" w:hAnsiTheme="majorHAnsi" w:cstheme="majorHAnsi"/>
                <w:i/>
                <w:color w:val="333333"/>
                <w:sz w:val="20"/>
                <w:szCs w:val="20"/>
              </w:rPr>
              <w:t>pulchrilineatus</w:t>
            </w:r>
            <w:proofErr w:type="spellEnd"/>
            <w:r w:rsidRPr="005516CD">
              <w:rPr>
                <w:rFonts w:asciiTheme="majorHAnsi" w:eastAsia="Times New Roman" w:hAnsiTheme="majorHAnsi" w:cstheme="majorHAnsi"/>
                <w:color w:val="0563C1"/>
                <w:sz w:val="20"/>
                <w:szCs w:val="20"/>
                <w:u w:val="single"/>
              </w:rPr>
              <w:t xml:space="preserve"> </w:t>
            </w:r>
            <w:hyperlink r:id="rId119" w:tooltip="view hispaniolan yellow treefrog profile" w:history="1">
              <w:proofErr w:type="spellStart"/>
              <w:r w:rsidRPr="005516CD">
                <w:rPr>
                  <w:rFonts w:asciiTheme="majorHAnsi" w:eastAsia="Times New Roman" w:hAnsiTheme="majorHAnsi" w:cstheme="majorHAnsi"/>
                  <w:color w:val="0563C1"/>
                  <w:sz w:val="20"/>
                  <w:szCs w:val="20"/>
                  <w:u w:val="single"/>
                </w:rPr>
                <w:t>Hispaniolan</w:t>
              </w:r>
              <w:proofErr w:type="spellEnd"/>
              <w:r w:rsidRPr="005516CD">
                <w:rPr>
                  <w:rFonts w:asciiTheme="majorHAnsi" w:eastAsia="Times New Roman" w:hAnsiTheme="majorHAnsi" w:cstheme="majorHAnsi"/>
                  <w:color w:val="0563C1"/>
                  <w:sz w:val="20"/>
                  <w:szCs w:val="20"/>
                  <w:u w:val="single"/>
                </w:rPr>
                <w:t xml:space="preserve"> Yellow Treefrog</w:t>
              </w:r>
            </w:hyperlink>
          </w:p>
        </w:tc>
        <w:tc>
          <w:tcPr>
            <w:tcW w:w="1495" w:type="dxa"/>
          </w:tcPr>
          <w:p w14:paraId="5107387A"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 xml:space="preserve">Vulnerable,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w:t>
            </w:r>
          </w:p>
        </w:tc>
        <w:tc>
          <w:tcPr>
            <w:tcW w:w="10497" w:type="dxa"/>
          </w:tcPr>
          <w:p w14:paraId="1D0E78D0"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Listed as Vulnerable given that its area of occupancy (AOO) is estimated to be between 1,351 and 2,000 km2,  its population is severely fragmented and there is a continuing decline in its extent of occurrence (EOO), AOO, and the area, extent and quality of its habitat throughout much of Hispaniola.</w:t>
            </w:r>
          </w:p>
          <w:p w14:paraId="4F3D8AE5"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23776" behindDoc="1" locked="0" layoutInCell="1" allowOverlap="1" wp14:anchorId="5DDBCD36" wp14:editId="545C67C2">
                  <wp:simplePos x="0" y="0"/>
                  <wp:positionH relativeFrom="column">
                    <wp:posOffset>3147060</wp:posOffset>
                  </wp:positionH>
                  <wp:positionV relativeFrom="paragraph">
                    <wp:posOffset>15240</wp:posOffset>
                  </wp:positionV>
                  <wp:extent cx="3375660" cy="1517015"/>
                  <wp:effectExtent l="0" t="0" r="0" b="6985"/>
                  <wp:wrapTight wrapText="bothSides">
                    <wp:wrapPolygon edited="0">
                      <wp:start x="0" y="0"/>
                      <wp:lineTo x="0" y="21428"/>
                      <wp:lineTo x="21454" y="21428"/>
                      <wp:lineTo x="21454" y="0"/>
                      <wp:lineTo x="0" y="0"/>
                    </wp:wrapPolygon>
                  </wp:wrapTight>
                  <wp:docPr id="1073742000" name="Picture 10737420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375660" cy="15170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 xml:space="preserve">Range Description: </w:t>
            </w:r>
            <w:r w:rsidRPr="005516CD">
              <w:rPr>
                <w:rFonts w:asciiTheme="majorHAnsi" w:hAnsiTheme="majorHAnsi" w:cstheme="majorHAnsi"/>
                <w:sz w:val="20"/>
                <w:szCs w:val="20"/>
              </w:rPr>
              <w:t xml:space="preserve">This species has a highly fragmented distribution on Hispaniola, which suggests that it has  declined from a previously more uniform distribution. It has been recorded from sea level up to 1,091 m </w:t>
            </w:r>
            <w:proofErr w:type="spellStart"/>
            <w:r w:rsidRPr="005516CD">
              <w:rPr>
                <w:rFonts w:asciiTheme="majorHAnsi" w:hAnsiTheme="majorHAnsi" w:cstheme="majorHAnsi"/>
                <w:sz w:val="20"/>
                <w:szCs w:val="20"/>
              </w:rPr>
              <w:t>asl</w:t>
            </w:r>
            <w:proofErr w:type="spellEnd"/>
            <w:r w:rsidRPr="005516CD">
              <w:rPr>
                <w:rFonts w:asciiTheme="majorHAnsi" w:hAnsiTheme="majorHAnsi" w:cstheme="majorHAnsi"/>
                <w:sz w:val="20"/>
                <w:szCs w:val="20"/>
              </w:rPr>
              <w:t xml:space="preserve"> (Henderson and Powell 2009). Surveys from 2008-2010 have recorded this species in ten geographical localities of the Dominican Republic, including </w:t>
            </w:r>
            <w:proofErr w:type="spellStart"/>
            <w:r w:rsidRPr="005516CD">
              <w:rPr>
                <w:rFonts w:asciiTheme="majorHAnsi" w:hAnsiTheme="majorHAnsi" w:cstheme="majorHAnsi"/>
                <w:sz w:val="20"/>
                <w:szCs w:val="20"/>
              </w:rPr>
              <w:t>Montecristi</w:t>
            </w:r>
            <w:proofErr w:type="spellEnd"/>
            <w:r w:rsidRPr="005516CD">
              <w:rPr>
                <w:rFonts w:asciiTheme="majorHAnsi" w:hAnsiTheme="majorHAnsi" w:cstheme="majorHAnsi"/>
                <w:sz w:val="20"/>
                <w:szCs w:val="20"/>
              </w:rPr>
              <w:t xml:space="preserve">, Dajabon, </w:t>
            </w:r>
            <w:proofErr w:type="spellStart"/>
            <w:r w:rsidRPr="005516CD">
              <w:rPr>
                <w:rFonts w:asciiTheme="majorHAnsi" w:hAnsiTheme="majorHAnsi" w:cstheme="majorHAnsi"/>
                <w:sz w:val="20"/>
                <w:szCs w:val="20"/>
              </w:rPr>
              <w:t>Nalga</w:t>
            </w:r>
            <w:proofErr w:type="spellEnd"/>
            <w:r w:rsidRPr="005516CD">
              <w:rPr>
                <w:rFonts w:asciiTheme="majorHAnsi" w:hAnsiTheme="majorHAnsi" w:cstheme="majorHAnsi"/>
                <w:sz w:val="20"/>
                <w:szCs w:val="20"/>
              </w:rPr>
              <w:t xml:space="preserve"> de </w:t>
            </w:r>
            <w:proofErr w:type="spellStart"/>
            <w:r w:rsidRPr="005516CD">
              <w:rPr>
                <w:rFonts w:asciiTheme="majorHAnsi" w:hAnsiTheme="majorHAnsi" w:cstheme="majorHAnsi"/>
                <w:sz w:val="20"/>
                <w:szCs w:val="20"/>
              </w:rPr>
              <w:t>Maco</w:t>
            </w:r>
            <w:proofErr w:type="spellEnd"/>
            <w:r w:rsidRPr="005516CD">
              <w:rPr>
                <w:rFonts w:asciiTheme="majorHAnsi" w:hAnsiTheme="majorHAnsi" w:cstheme="majorHAnsi"/>
                <w:sz w:val="20"/>
                <w:szCs w:val="20"/>
              </w:rPr>
              <w:t xml:space="preserve">, Santiago Rodríguez, Salto de la </w:t>
            </w:r>
            <w:proofErr w:type="spellStart"/>
            <w:r w:rsidRPr="005516CD">
              <w:rPr>
                <w:rFonts w:asciiTheme="majorHAnsi" w:hAnsiTheme="majorHAnsi" w:cstheme="majorHAnsi"/>
                <w:sz w:val="20"/>
                <w:szCs w:val="20"/>
              </w:rPr>
              <w:t>Damajagua</w:t>
            </w:r>
            <w:proofErr w:type="spellEnd"/>
            <w:r w:rsidRPr="005516CD">
              <w:rPr>
                <w:rFonts w:asciiTheme="majorHAnsi" w:hAnsiTheme="majorHAnsi" w:cstheme="majorHAnsi"/>
                <w:sz w:val="20"/>
                <w:szCs w:val="20"/>
              </w:rPr>
              <w:t xml:space="preserve">, Loma La </w:t>
            </w:r>
            <w:proofErr w:type="spellStart"/>
            <w:r w:rsidRPr="005516CD">
              <w:rPr>
                <w:rFonts w:asciiTheme="majorHAnsi" w:hAnsiTheme="majorHAnsi" w:cstheme="majorHAnsi"/>
                <w:sz w:val="20"/>
                <w:szCs w:val="20"/>
              </w:rPr>
              <w:t>Canela</w:t>
            </w:r>
            <w:proofErr w:type="spellEnd"/>
            <w:r w:rsidRPr="005516CD">
              <w:rPr>
                <w:rFonts w:asciiTheme="majorHAnsi" w:hAnsiTheme="majorHAnsi" w:cstheme="majorHAnsi"/>
                <w:sz w:val="20"/>
                <w:szCs w:val="20"/>
              </w:rPr>
              <w:t xml:space="preserve">, Monte Plata, Sanchez Ramírez, </w:t>
            </w:r>
            <w:proofErr w:type="spellStart"/>
            <w:r w:rsidRPr="005516CD">
              <w:rPr>
                <w:rFonts w:asciiTheme="majorHAnsi" w:hAnsiTheme="majorHAnsi" w:cstheme="majorHAnsi"/>
                <w:sz w:val="20"/>
                <w:szCs w:val="20"/>
              </w:rPr>
              <w:t>Samana</w:t>
            </w:r>
            <w:proofErr w:type="spellEnd"/>
            <w:r w:rsidRPr="005516CD">
              <w:rPr>
                <w:rFonts w:asciiTheme="majorHAnsi" w:hAnsiTheme="majorHAnsi" w:cstheme="majorHAnsi"/>
                <w:sz w:val="20"/>
                <w:szCs w:val="20"/>
              </w:rPr>
              <w:t xml:space="preserve"> and Los </w:t>
            </w:r>
            <w:proofErr w:type="spellStart"/>
            <w:r w:rsidRPr="005516CD">
              <w:rPr>
                <w:rFonts w:asciiTheme="majorHAnsi" w:hAnsiTheme="majorHAnsi" w:cstheme="majorHAnsi"/>
                <w:sz w:val="20"/>
                <w:szCs w:val="20"/>
              </w:rPr>
              <w:t>Haitises</w:t>
            </w:r>
            <w:proofErr w:type="spellEnd"/>
            <w:r w:rsidRPr="005516CD">
              <w:rPr>
                <w:rFonts w:asciiTheme="majorHAnsi" w:hAnsiTheme="majorHAnsi" w:cstheme="majorHAnsi"/>
                <w:sz w:val="20"/>
                <w:szCs w:val="20"/>
              </w:rPr>
              <w:t xml:space="preserve">. These surveys have expanded its area of occupancy (AOO) since its last assessment in 2004. However, even considering this expansion, the occupied area (herein taken as a proxy for AOO, although the actual AOO would be more restricted as some sites consist of small ponds beyond the margins of which frogs cannot survive) in the Dominican Republic is estimated to be 1,074 km2 based on field work and presence of suitable habitat (R. Powell pers. comm. February 2012). </w:t>
            </w:r>
          </w:p>
          <w:p w14:paraId="07064A09"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sz w:val="20"/>
                <w:szCs w:val="20"/>
              </w:rPr>
              <w:t xml:space="preserve">While there is no estimate for its occupied area in Haiti, based on the current original forest cover (estimated to be 277.5 km2 or 1% of the original forest cover in Haiti, B. Hedges pers. comm. April 2012) and the rate of natural habitat loss experienced by this country, suitable sites are projected to disappear within 10-20 years (R. Powell pers. comm. February 2012; B. Hedges pers. comm. February 2012), so it is expected that this species' AOO will most likely not exceed 2,000 km2. Its current overall range (taken as a proxy for extent of occurrence) is estimated to be 24,334 km2; which represents a reduction in its historical EOO, as areas previously demarcated as its range have undergone alteration due to human activities (e.g. loss of area in the Valle de </w:t>
            </w:r>
            <w:proofErr w:type="spellStart"/>
            <w:r w:rsidRPr="005516CD">
              <w:rPr>
                <w:rFonts w:asciiTheme="majorHAnsi" w:hAnsiTheme="majorHAnsi" w:cstheme="majorHAnsi"/>
                <w:sz w:val="20"/>
                <w:szCs w:val="20"/>
              </w:rPr>
              <w:t>Cibao</w:t>
            </w:r>
            <w:proofErr w:type="spellEnd"/>
            <w:r w:rsidRPr="005516CD">
              <w:rPr>
                <w:rFonts w:asciiTheme="majorHAnsi" w:hAnsiTheme="majorHAnsi" w:cstheme="majorHAnsi"/>
                <w:sz w:val="20"/>
                <w:szCs w:val="20"/>
              </w:rPr>
              <w:t xml:space="preserve">, portions of the Valle de San Juan, eastern plains and </w:t>
            </w:r>
            <w:proofErr w:type="spellStart"/>
            <w:r w:rsidRPr="005516CD">
              <w:rPr>
                <w:rFonts w:asciiTheme="majorHAnsi" w:hAnsiTheme="majorHAnsi" w:cstheme="majorHAnsi"/>
                <w:sz w:val="20"/>
                <w:szCs w:val="20"/>
              </w:rPr>
              <w:t>Neiba</w:t>
            </w:r>
            <w:proofErr w:type="spellEnd"/>
            <w:r w:rsidRPr="005516CD">
              <w:rPr>
                <w:rFonts w:asciiTheme="majorHAnsi" w:hAnsiTheme="majorHAnsi" w:cstheme="majorHAnsi"/>
                <w:sz w:val="20"/>
                <w:szCs w:val="20"/>
              </w:rPr>
              <w:t xml:space="preserve"> uplands, central uplands east of HW 1; R. Powell pers. comm. February 2012).</w:t>
            </w:r>
          </w:p>
          <w:p w14:paraId="175302C1"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sz w:val="20"/>
                <w:szCs w:val="20"/>
              </w:rPr>
              <w:t xml:space="preserve">Population: </w:t>
            </w:r>
            <w:r w:rsidRPr="005516CD">
              <w:rPr>
                <w:rFonts w:asciiTheme="majorHAnsi" w:hAnsiTheme="majorHAnsi" w:cstheme="majorHAnsi"/>
                <w:sz w:val="20"/>
                <w:szCs w:val="20"/>
              </w:rPr>
              <w:t xml:space="preserve">This species has always been hard to find, but even so it appeared to be in decline prior to the 2004 assessment, with many historic subpopulations that seemed to disappear. It was not recorded during extensive searches of the Cordillera Central in the Dominican Republic in suitable habitat from 1998 to 2000. However, more recent surveys conducted between 2008-2010 have documented approximately 340 mature individuals in ten localities including the Cordillera Central. Although single individuals have been observed, the species is more commonly heard actively calling in groups ranging from 3-80 individuals. These surveys have also detected breeding populations. This species was last recorded in Haiti during a survey conducted in October 2010 at Plain </w:t>
            </w:r>
            <w:proofErr w:type="spellStart"/>
            <w:r w:rsidRPr="005516CD">
              <w:rPr>
                <w:rFonts w:asciiTheme="majorHAnsi" w:hAnsiTheme="majorHAnsi" w:cstheme="majorHAnsi"/>
                <w:sz w:val="20"/>
                <w:szCs w:val="20"/>
              </w:rPr>
              <w:t>Formon</w:t>
            </w:r>
            <w:proofErr w:type="spellEnd"/>
            <w:r w:rsidRPr="005516CD">
              <w:rPr>
                <w:rFonts w:asciiTheme="majorHAnsi" w:hAnsiTheme="majorHAnsi" w:cstheme="majorHAnsi"/>
                <w:sz w:val="20"/>
                <w:szCs w:val="20"/>
              </w:rPr>
              <w:t xml:space="preserve">, Massif de la </w:t>
            </w:r>
            <w:proofErr w:type="spellStart"/>
            <w:r w:rsidRPr="005516CD">
              <w:rPr>
                <w:rFonts w:asciiTheme="majorHAnsi" w:hAnsiTheme="majorHAnsi" w:cstheme="majorHAnsi"/>
                <w:sz w:val="20"/>
                <w:szCs w:val="20"/>
              </w:rPr>
              <w:t>Hotte</w:t>
            </w:r>
            <w:proofErr w:type="spellEnd"/>
            <w:r w:rsidRPr="005516CD">
              <w:rPr>
                <w:rFonts w:asciiTheme="majorHAnsi" w:hAnsiTheme="majorHAnsi" w:cstheme="majorHAnsi"/>
                <w:sz w:val="20"/>
                <w:szCs w:val="20"/>
              </w:rPr>
              <w:t xml:space="preserve">. The population is considered to be severely fragmented as per the IUCN Red List Guidelines, i.e. it occurs in fragmented habitat patches, it has a poor dispersal ability and limited gene flux, and 50% or more of individuals are found in isolated and fragmented habitat patches. </w:t>
            </w:r>
            <w:r w:rsidRPr="005516CD">
              <w:rPr>
                <w:rFonts w:asciiTheme="majorHAnsi" w:hAnsiTheme="majorHAnsi" w:cstheme="majorHAnsi"/>
                <w:b/>
                <w:sz w:val="20"/>
                <w:szCs w:val="20"/>
              </w:rPr>
              <w:t xml:space="preserve"> </w:t>
            </w:r>
          </w:p>
          <w:p w14:paraId="669D6487" w14:textId="77777777" w:rsidR="00DB73E3" w:rsidRPr="005516CD" w:rsidRDefault="00DB73E3" w:rsidP="007B146B">
            <w:pPr>
              <w:rPr>
                <w:rFonts w:asciiTheme="majorHAnsi" w:hAnsiTheme="majorHAnsi" w:cstheme="majorHAnsi"/>
                <w:b/>
                <w:sz w:val="20"/>
                <w:szCs w:val="20"/>
              </w:rPr>
            </w:pPr>
            <w:r w:rsidRPr="005516CD">
              <w:rPr>
                <w:rFonts w:asciiTheme="majorHAnsi" w:hAnsiTheme="majorHAnsi" w:cstheme="majorHAnsi"/>
                <w:b/>
                <w:sz w:val="20"/>
                <w:szCs w:val="20"/>
              </w:rPr>
              <w:t xml:space="preserve">Habitat and Ecology: </w:t>
            </w:r>
            <w:r w:rsidRPr="005516CD">
              <w:rPr>
                <w:rFonts w:asciiTheme="majorHAnsi" w:hAnsiTheme="majorHAnsi" w:cstheme="majorHAnsi"/>
                <w:sz w:val="20"/>
                <w:szCs w:val="20"/>
              </w:rPr>
              <w:t xml:space="preserve">It occurs in mesic broadleaf forests, riparian forests including remnant forests, mangrove forests, grasslands, marshes and agricultural landscapes including rice plantations, coffee and cacao plantations, and the presence of livestock (Pueblo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w:t>
            </w:r>
            <w:proofErr w:type="spellStart"/>
            <w:r w:rsidRPr="005516CD">
              <w:rPr>
                <w:rFonts w:asciiTheme="majorHAnsi" w:hAnsiTheme="majorHAnsi" w:cstheme="majorHAnsi"/>
                <w:sz w:val="20"/>
                <w:szCs w:val="20"/>
              </w:rPr>
              <w:t>pers.comm</w:t>
            </w:r>
            <w:proofErr w:type="spellEnd"/>
            <w:r w:rsidRPr="005516CD">
              <w:rPr>
                <w:rFonts w:asciiTheme="majorHAnsi" w:hAnsiTheme="majorHAnsi" w:cstheme="majorHAnsi"/>
                <w:sz w:val="20"/>
                <w:szCs w:val="20"/>
              </w:rPr>
              <w:t xml:space="preserve">. January 2012; 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w:t>
            </w:r>
            <w:proofErr w:type="spellStart"/>
            <w:r w:rsidRPr="005516CD">
              <w:rPr>
                <w:rFonts w:asciiTheme="majorHAnsi" w:hAnsiTheme="majorHAnsi" w:cstheme="majorHAnsi"/>
                <w:sz w:val="20"/>
                <w:szCs w:val="20"/>
              </w:rPr>
              <w:t>pers.comm</w:t>
            </w:r>
            <w:proofErr w:type="spellEnd"/>
            <w:r w:rsidRPr="005516CD">
              <w:rPr>
                <w:rFonts w:asciiTheme="majorHAnsi" w:hAnsiTheme="majorHAnsi" w:cstheme="majorHAnsi"/>
                <w:sz w:val="20"/>
                <w:szCs w:val="20"/>
              </w:rPr>
              <w:t xml:space="preserve">. July 2012). Recent surveys have revealed that, of a total of 53 transects, the species was found primarily in different forest types (N=40), but it was also recorded in wetlands (N=10), agricultural areas (N=2) and grasslands (N=1) (Pueblo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w:t>
            </w:r>
            <w:proofErr w:type="spellStart"/>
            <w:r w:rsidRPr="005516CD">
              <w:rPr>
                <w:rFonts w:asciiTheme="majorHAnsi" w:hAnsiTheme="majorHAnsi" w:cstheme="majorHAnsi"/>
                <w:sz w:val="20"/>
                <w:szCs w:val="20"/>
              </w:rPr>
              <w:t>pers.comm</w:t>
            </w:r>
            <w:proofErr w:type="spellEnd"/>
            <w:r w:rsidRPr="005516CD">
              <w:rPr>
                <w:rFonts w:asciiTheme="majorHAnsi" w:hAnsiTheme="majorHAnsi" w:cstheme="majorHAnsi"/>
                <w:sz w:val="20"/>
                <w:szCs w:val="20"/>
              </w:rPr>
              <w:t xml:space="preserve">. July 2012). Most of the surveyed transects (N=41) had various land use practices in the surrounding area, with only 12 transects surrounded by unaltered forests (Pueblo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w:t>
            </w:r>
            <w:proofErr w:type="spellStart"/>
            <w:r w:rsidRPr="005516CD">
              <w:rPr>
                <w:rFonts w:asciiTheme="majorHAnsi" w:hAnsiTheme="majorHAnsi" w:cstheme="majorHAnsi"/>
                <w:sz w:val="20"/>
                <w:szCs w:val="20"/>
              </w:rPr>
              <w:t>pers.comm</w:t>
            </w:r>
            <w:proofErr w:type="spellEnd"/>
            <w:r w:rsidRPr="005516CD">
              <w:rPr>
                <w:rFonts w:asciiTheme="majorHAnsi" w:hAnsiTheme="majorHAnsi" w:cstheme="majorHAnsi"/>
                <w:sz w:val="20"/>
                <w:szCs w:val="20"/>
              </w:rPr>
              <w:t>. July 2012). In terms of micro-habitat occupation, it is mainly found on shrubs and reeds (up to 2 m high) alongside and within streams, lagoons and flooded pools. Males call in flooded pools after heavy rain and eggs are laid in still water where the larvae also develop. Although this frog is found in habitat types that are contained within a variety of different land uses, the survey results above suggest that it requires forests and/or wetlands as the main habitat pockets to subsist within these different landscapes. In any event, its individual sites tend to be isolated from one another, making them vulnerable to trampling by livestock and local extirpation (R. Powell pers. comm. February 2012).</w:t>
            </w:r>
          </w:p>
        </w:tc>
      </w:tr>
      <w:tr w:rsidR="00DB73E3" w:rsidRPr="005516CD" w14:paraId="1E4142DE" w14:textId="77777777" w:rsidTr="005B0548">
        <w:tc>
          <w:tcPr>
            <w:tcW w:w="1956" w:type="dxa"/>
          </w:tcPr>
          <w:p w14:paraId="4155C378"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i/>
                <w:color w:val="333333"/>
                <w:sz w:val="20"/>
                <w:szCs w:val="20"/>
              </w:rPr>
              <w:t>Osteopilus</w:t>
            </w:r>
            <w:proofErr w:type="spellEnd"/>
            <w:r w:rsidRPr="005516CD">
              <w:rPr>
                <w:rFonts w:asciiTheme="majorHAnsi" w:eastAsia="Times New Roman" w:hAnsiTheme="majorHAnsi" w:cstheme="majorHAnsi"/>
                <w:i/>
                <w:color w:val="333333"/>
                <w:sz w:val="20"/>
                <w:szCs w:val="20"/>
              </w:rPr>
              <w:t xml:space="preserve"> vastus</w:t>
            </w:r>
            <w:r w:rsidRPr="005516CD">
              <w:rPr>
                <w:rFonts w:asciiTheme="majorHAnsi" w:eastAsia="Times New Roman" w:hAnsiTheme="majorHAnsi" w:cstheme="majorHAnsi"/>
                <w:color w:val="0563C1"/>
                <w:sz w:val="20"/>
                <w:szCs w:val="20"/>
                <w:u w:val="single"/>
              </w:rPr>
              <w:t xml:space="preserve"> </w:t>
            </w:r>
            <w:hyperlink r:id="rId120" w:tooltip="view hispaniolan giant treefrog profile" w:history="1">
              <w:proofErr w:type="spellStart"/>
              <w:r w:rsidRPr="005516CD">
                <w:rPr>
                  <w:rFonts w:asciiTheme="majorHAnsi" w:eastAsia="Times New Roman" w:hAnsiTheme="majorHAnsi" w:cstheme="majorHAnsi"/>
                  <w:color w:val="0563C1"/>
                  <w:sz w:val="20"/>
                  <w:szCs w:val="20"/>
                  <w:u w:val="single"/>
                </w:rPr>
                <w:t>Hispaniolan</w:t>
              </w:r>
              <w:proofErr w:type="spellEnd"/>
              <w:r w:rsidRPr="005516CD">
                <w:rPr>
                  <w:rFonts w:asciiTheme="majorHAnsi" w:eastAsia="Times New Roman" w:hAnsiTheme="majorHAnsi" w:cstheme="majorHAnsi"/>
                  <w:color w:val="0563C1"/>
                  <w:sz w:val="20"/>
                  <w:szCs w:val="20"/>
                  <w:u w:val="single"/>
                </w:rPr>
                <w:t xml:space="preserve"> Giant Treefrog</w:t>
              </w:r>
            </w:hyperlink>
          </w:p>
        </w:tc>
        <w:tc>
          <w:tcPr>
            <w:tcW w:w="1495" w:type="dxa"/>
          </w:tcPr>
          <w:p w14:paraId="1238B128"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 xml:space="preserve">Vulnerable,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w:t>
            </w:r>
          </w:p>
        </w:tc>
        <w:tc>
          <w:tcPr>
            <w:tcW w:w="10497" w:type="dxa"/>
          </w:tcPr>
          <w:p w14:paraId="23F107DA"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Listed as Vulnerable given that its area of occupancy (AOO) is estimated to be between 1,165 and 2,000 km2,  its population is considered to be severely fragmented and there is a continuing decline in its extent of occurrence (EOO), AOO, and the area, extent and quality of its habitat throughout much of Hispaniola.</w:t>
            </w:r>
          </w:p>
          <w:p w14:paraId="70C6F223"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24800" behindDoc="1" locked="0" layoutInCell="1" allowOverlap="1" wp14:anchorId="780560D4" wp14:editId="01609FAD">
                  <wp:simplePos x="0" y="0"/>
                  <wp:positionH relativeFrom="column">
                    <wp:posOffset>3202940</wp:posOffset>
                  </wp:positionH>
                  <wp:positionV relativeFrom="paragraph">
                    <wp:posOffset>31750</wp:posOffset>
                  </wp:positionV>
                  <wp:extent cx="3383915" cy="1524000"/>
                  <wp:effectExtent l="0" t="0" r="6985" b="0"/>
                  <wp:wrapTight wrapText="bothSides">
                    <wp:wrapPolygon edited="0">
                      <wp:start x="0" y="0"/>
                      <wp:lineTo x="0" y="21330"/>
                      <wp:lineTo x="21523" y="21330"/>
                      <wp:lineTo x="21523" y="0"/>
                      <wp:lineTo x="0" y="0"/>
                    </wp:wrapPolygon>
                  </wp:wrapTight>
                  <wp:docPr id="1073742001" name="Picture 107374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383915" cy="1524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 xml:space="preserve">Range Description: </w:t>
            </w:r>
            <w:r w:rsidRPr="005516CD">
              <w:rPr>
                <w:rFonts w:asciiTheme="majorHAnsi" w:hAnsiTheme="majorHAnsi" w:cstheme="majorHAnsi"/>
                <w:sz w:val="20"/>
                <w:szCs w:val="20"/>
              </w:rPr>
              <w:t xml:space="preserve">This species has a very patchy distribution in Hispaniola, suggesting that it has declined from a previously more uniform distribution. It has an altitudinal range from sea level to 1,697 m </w:t>
            </w:r>
            <w:proofErr w:type="spellStart"/>
            <w:r w:rsidRPr="005516CD">
              <w:rPr>
                <w:rFonts w:asciiTheme="majorHAnsi" w:hAnsiTheme="majorHAnsi" w:cstheme="majorHAnsi"/>
                <w:sz w:val="20"/>
                <w:szCs w:val="20"/>
              </w:rPr>
              <w:t>asl</w:t>
            </w:r>
            <w:proofErr w:type="spellEnd"/>
            <w:r w:rsidRPr="005516CD">
              <w:rPr>
                <w:rFonts w:asciiTheme="majorHAnsi" w:hAnsiTheme="majorHAnsi" w:cstheme="majorHAnsi"/>
                <w:sz w:val="20"/>
                <w:szCs w:val="20"/>
              </w:rPr>
              <w:t xml:space="preserve"> (Henderson and Powell 2009). </w:t>
            </w:r>
            <w:r w:rsidRPr="005516CD">
              <w:rPr>
                <w:rFonts w:asciiTheme="majorHAnsi" w:hAnsiTheme="majorHAnsi" w:cstheme="majorHAnsi"/>
                <w:sz w:val="20"/>
                <w:szCs w:val="20"/>
                <w:lang w:val="uz-Cyrl-UZ"/>
              </w:rPr>
              <w:t xml:space="preserve">Surveys conducted between 2008-2010 have recorded this frog at 15 geographic localities of the Dominican Republic including Nalga de Maco, San José de las Matas, San José de Ocoa, Salto de la Damajagua, Diego de Ocampo, La Vega, La Canela, Monte Plata, Sanchez Ramírez, Ebano Verde,  Guaconejo, La Humeadora, Bonao, Miches and Los Haitises. </w:t>
            </w:r>
            <w:r w:rsidRPr="005516CD">
              <w:rPr>
                <w:rFonts w:asciiTheme="majorHAnsi" w:hAnsiTheme="majorHAnsi" w:cstheme="majorHAnsi"/>
                <w:sz w:val="20"/>
                <w:szCs w:val="20"/>
              </w:rPr>
              <w:t xml:space="preserve">These surveys have expanded its area of occupancy (AOO) since its last assessment in 2004 (G. Ross pers. comm. March 2011). However, even considering this expansion, the occupied area (herein taken as a proxy for AOO, although the actual AOO would be more restricted as some sites consist of small ponds beyond the margins of which frogs cannot survive) in the Dominican Republic is estimated to be 1,165 km2 based on field work and presence of suitable habitat (R. Powell pers. comm. February 2012). In Haiti, surveys conducted since 1984 have never recorded this frog from the "North Island" of Haiti (north of Port-au-Prince and the Cul-de-Sac; B. Hedges pers. comm. February 2012). There are only two historical records for the North Island (Schwartz and Henderson 1991), but it is possible that this frog could be extirpated in this area (B. Hedges pers. comm. February 2012). There is some forest on the South Island, in remote patches, where the possible new taxon is found (B. Hedges pers. comm. February 2012). While there is no estimate for its occupied area in this country, based on the current original forest cover (estimated to be 277.5 km2 or 1% of the original forest cover in Haiti, B. Hedges pers. comm. April 2012) and the rate of natural habitat loss experienced by Haiti, suitable sites are projected to disappear within 10-20 years (R. Powell pers. comm. February 2012; B. Hedges, February 2012), so it is expected that this species' AOO will most likely not exceed 2,000 km2. Its current overall range (taken as a proxy for extent of occurrence) is estimated to be 20,636 km2, which evidences a reduction in the area historically demarcated as its range given natural habitat alteration due to human activities (e.g. loss of area in the Valle de </w:t>
            </w:r>
            <w:proofErr w:type="spellStart"/>
            <w:r w:rsidRPr="005516CD">
              <w:rPr>
                <w:rFonts w:asciiTheme="majorHAnsi" w:hAnsiTheme="majorHAnsi" w:cstheme="majorHAnsi"/>
                <w:sz w:val="20"/>
                <w:szCs w:val="20"/>
              </w:rPr>
              <w:t>Cibao</w:t>
            </w:r>
            <w:proofErr w:type="spellEnd"/>
            <w:r w:rsidRPr="005516CD">
              <w:rPr>
                <w:rFonts w:asciiTheme="majorHAnsi" w:hAnsiTheme="majorHAnsi" w:cstheme="majorHAnsi"/>
                <w:sz w:val="20"/>
                <w:szCs w:val="20"/>
              </w:rPr>
              <w:t xml:space="preserve">, portions of the eastern lowlands and central uplands east of HW 1; R. Powell pers. comm. February 2012). </w:t>
            </w:r>
          </w:p>
          <w:p w14:paraId="1B440E8C"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Population: </w:t>
            </w:r>
            <w:r w:rsidRPr="005516CD">
              <w:rPr>
                <w:rFonts w:asciiTheme="majorHAnsi" w:hAnsiTheme="majorHAnsi" w:cstheme="majorHAnsi"/>
                <w:sz w:val="20"/>
                <w:szCs w:val="20"/>
              </w:rPr>
              <w:t xml:space="preserve">It is more common than </w:t>
            </w:r>
            <w:proofErr w:type="spellStart"/>
            <w:r w:rsidRPr="005516CD">
              <w:rPr>
                <w:rFonts w:asciiTheme="majorHAnsi" w:hAnsiTheme="majorHAnsi" w:cstheme="majorHAnsi"/>
                <w:sz w:val="20"/>
                <w:szCs w:val="20"/>
              </w:rPr>
              <w:t>Osteopilus</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pulchrilineatus</w:t>
            </w:r>
            <w:proofErr w:type="spellEnd"/>
            <w:r w:rsidRPr="005516CD">
              <w:rPr>
                <w:rFonts w:asciiTheme="majorHAnsi" w:hAnsiTheme="majorHAnsi" w:cstheme="majorHAnsi"/>
                <w:sz w:val="20"/>
                <w:szCs w:val="20"/>
              </w:rPr>
              <w:t xml:space="preserve"> in the Cordillera Central. This species is more commonly seen as lone individuals, with occasional breeding couples (G. Ross pers. comm. March 2011). It was found just outside Santo Domingo in 2001-2002, and during 2008-2010 surveys this species was frequently observed, with 182 mature individuals on record (G. Ross pers. comm. March 2011). Dead individuals found prior to the 2004 assessment are suggestive of some past localized declines. The population is considered to be severely fragmented as per the IUCN Red List Guidelines, i.e. it occurs in fragmented habitat patches, it has a poor dispersal ability and limited gene flux, and 50% or more of individuals are found in isolated and fragmented habitat patches.</w:t>
            </w:r>
          </w:p>
          <w:p w14:paraId="1CEEBEA5"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Habitat and Ecology: </w:t>
            </w:r>
            <w:r w:rsidRPr="005516CD">
              <w:rPr>
                <w:rFonts w:asciiTheme="majorHAnsi" w:hAnsiTheme="majorHAnsi" w:cstheme="majorHAnsi"/>
                <w:sz w:val="20"/>
                <w:szCs w:val="20"/>
              </w:rPr>
              <w:t xml:space="preserve">It is found in mesic broadleaf forests, and has more recently been recorded in cacao and coffee plantations, pastures, and other types of crop agriculture (e.g., avocados and </w:t>
            </w:r>
            <w:proofErr w:type="gramStart"/>
            <w:r w:rsidRPr="005516CD">
              <w:rPr>
                <w:rFonts w:asciiTheme="majorHAnsi" w:hAnsiTheme="majorHAnsi" w:cstheme="majorHAnsi"/>
                <w:sz w:val="20"/>
                <w:szCs w:val="20"/>
              </w:rPr>
              <w:t>yams)(</w:t>
            </w:r>
            <w:proofErr w:type="gramEnd"/>
            <w:r w:rsidRPr="005516CD">
              <w:rPr>
                <w:rFonts w:asciiTheme="majorHAnsi" w:hAnsiTheme="majorHAnsi" w:cstheme="majorHAnsi"/>
                <w:sz w:val="20"/>
                <w:szCs w:val="20"/>
              </w:rPr>
              <w:t xml:space="preserve">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pers. comm. January 2012; 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pers. comm. July 2012). Recent surveys have revealed that, of a total of 96 transects, the species was found primarily in different forest types (N=85), but it was also recorded in agricultural areas (N=7) and wetlands (N=4)(Pueblo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w:t>
            </w:r>
            <w:proofErr w:type="spellStart"/>
            <w:r w:rsidRPr="005516CD">
              <w:rPr>
                <w:rFonts w:asciiTheme="majorHAnsi" w:hAnsiTheme="majorHAnsi" w:cstheme="majorHAnsi"/>
                <w:sz w:val="20"/>
                <w:szCs w:val="20"/>
              </w:rPr>
              <w:t>pers.comm</w:t>
            </w:r>
            <w:proofErr w:type="spellEnd"/>
            <w:r w:rsidRPr="005516CD">
              <w:rPr>
                <w:rFonts w:asciiTheme="majorHAnsi" w:hAnsiTheme="majorHAnsi" w:cstheme="majorHAnsi"/>
                <w:sz w:val="20"/>
                <w:szCs w:val="20"/>
              </w:rPr>
              <w:t xml:space="preserve">. July 2012). Most of the surveyed transects (N=74) had various land use practices in the surrounding area, with 22 transects surrounded by unaltered forests (Pueblo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w:t>
            </w:r>
            <w:proofErr w:type="spellStart"/>
            <w:r w:rsidRPr="005516CD">
              <w:rPr>
                <w:rFonts w:asciiTheme="majorHAnsi" w:hAnsiTheme="majorHAnsi" w:cstheme="majorHAnsi"/>
                <w:sz w:val="20"/>
                <w:szCs w:val="20"/>
              </w:rPr>
              <w:t>pers.comm</w:t>
            </w:r>
            <w:proofErr w:type="spellEnd"/>
            <w:r w:rsidRPr="005516CD">
              <w:rPr>
                <w:rFonts w:asciiTheme="majorHAnsi" w:hAnsiTheme="majorHAnsi" w:cstheme="majorHAnsi"/>
                <w:sz w:val="20"/>
                <w:szCs w:val="20"/>
              </w:rPr>
              <w:t xml:space="preserve">. July 2012). Within these different habitat </w:t>
            </w:r>
            <w:proofErr w:type="gramStart"/>
            <w:r w:rsidRPr="005516CD">
              <w:rPr>
                <w:rFonts w:asciiTheme="majorHAnsi" w:hAnsiTheme="majorHAnsi" w:cstheme="majorHAnsi"/>
                <w:sz w:val="20"/>
                <w:szCs w:val="20"/>
              </w:rPr>
              <w:t>types</w:t>
            </w:r>
            <w:proofErr w:type="gramEnd"/>
            <w:r w:rsidRPr="005516CD">
              <w:rPr>
                <w:rFonts w:asciiTheme="majorHAnsi" w:hAnsiTheme="majorHAnsi" w:cstheme="majorHAnsi"/>
                <w:sz w:val="20"/>
                <w:szCs w:val="20"/>
              </w:rPr>
              <w:t xml:space="preserve"> it can often be found along creeks and streams, although it has also been recorded in marshes (Pueblo Viejo </w:t>
            </w:r>
            <w:proofErr w:type="spellStart"/>
            <w:r w:rsidRPr="005516CD">
              <w:rPr>
                <w:rFonts w:asciiTheme="majorHAnsi" w:hAnsiTheme="majorHAnsi" w:cstheme="majorHAnsi"/>
                <w:sz w:val="20"/>
                <w:szCs w:val="20"/>
              </w:rPr>
              <w:t>Dominicana</w:t>
            </w:r>
            <w:proofErr w:type="spellEnd"/>
            <w:r w:rsidRPr="005516CD">
              <w:rPr>
                <w:rFonts w:asciiTheme="majorHAnsi" w:hAnsiTheme="majorHAnsi" w:cstheme="majorHAnsi"/>
                <w:sz w:val="20"/>
                <w:szCs w:val="20"/>
              </w:rPr>
              <w:t xml:space="preserve"> Corporation pers. comm. July 2012). In Haiti it has been recorded in pine forests, but not so in the Dominican Republic (M. Rodriguez pers. comm. March 2011). Males call from trees overhanging running water, in which eggs are deposited. Many individuals were detected high in the canopy (up to 15 m). It is possible that species may find refuge high in the canopy during the day (G. Ross pers. comm. March 2011). Although this frog is found in habitat types that are contained within a variety of different land uses, the survey results above suggest that it requires forests as the main habitat pockets to subsist within these different landscapes.</w:t>
            </w:r>
          </w:p>
          <w:p w14:paraId="0E1472BF"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Major Threat(s): </w:t>
            </w:r>
            <w:r w:rsidRPr="005516CD">
              <w:rPr>
                <w:rFonts w:asciiTheme="majorHAnsi" w:hAnsiTheme="majorHAnsi" w:cstheme="majorHAnsi"/>
                <w:sz w:val="20"/>
                <w:szCs w:val="20"/>
              </w:rPr>
              <w:t>In Haiti, severe degradation of streams has already significantly altered one of its breeding habitats, and streams in Hispaniola in general are being highly impacted by deforestation due to agricultural activities, logging and charcoaling (B. Hedges pers. comm. February 2012). Suitable habitat where the species is currently found is being impacted by mining activities (Barrick Gold Corporation 2012). Infrastructure development is also a threat in some areas in the Dominican Republic. M. Hernández (pers. comm.) had found dead animals and animals with deformities (one animal with an eye on its back</w:t>
            </w:r>
            <w:proofErr w:type="gramStart"/>
            <w:r w:rsidRPr="005516CD">
              <w:rPr>
                <w:rFonts w:asciiTheme="majorHAnsi" w:hAnsiTheme="majorHAnsi" w:cstheme="majorHAnsi"/>
                <w:sz w:val="20"/>
                <w:szCs w:val="20"/>
              </w:rPr>
              <w:t>), and</w:t>
            </w:r>
            <w:proofErr w:type="gramEnd"/>
            <w:r w:rsidRPr="005516CD">
              <w:rPr>
                <w:rFonts w:asciiTheme="majorHAnsi" w:hAnsiTheme="majorHAnsi" w:cstheme="majorHAnsi"/>
                <w:sz w:val="20"/>
                <w:szCs w:val="20"/>
              </w:rPr>
              <w:t xml:space="preserve"> declines in suitable habitat are suggestive of chytridiomycosis. Indeed, chytrid was confirmed in this species in La Vega, </w:t>
            </w:r>
            <w:proofErr w:type="spellStart"/>
            <w:r w:rsidRPr="005516CD">
              <w:rPr>
                <w:rFonts w:asciiTheme="majorHAnsi" w:hAnsiTheme="majorHAnsi" w:cstheme="majorHAnsi"/>
                <w:sz w:val="20"/>
                <w:szCs w:val="20"/>
              </w:rPr>
              <w:t>Arroyazo</w:t>
            </w:r>
            <w:proofErr w:type="spellEnd"/>
            <w:r w:rsidRPr="005516CD">
              <w:rPr>
                <w:rFonts w:asciiTheme="majorHAnsi" w:hAnsiTheme="majorHAnsi" w:cstheme="majorHAnsi"/>
                <w:sz w:val="20"/>
                <w:szCs w:val="20"/>
              </w:rPr>
              <w:t>, and in Sanchez Ramírez (2009), in the Dominican Republic (G. Ross pers. comm. March 2011). Small numbers are being exported to the US for the pet trade, suggesting that they are being harvested in the wild.</w:t>
            </w:r>
          </w:p>
          <w:p w14:paraId="4182C2B5"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Conservation Actions: </w:t>
            </w:r>
            <w:r w:rsidRPr="005516CD">
              <w:rPr>
                <w:rFonts w:asciiTheme="majorHAnsi" w:hAnsiTheme="majorHAnsi" w:cstheme="majorHAnsi"/>
                <w:sz w:val="20"/>
                <w:szCs w:val="20"/>
              </w:rPr>
              <w:t xml:space="preserve">Its range includes several protected areas, although most of these are in need of improved biodiversity conservation management. Small isolated populations outside of protected areas are thought to be at a very high risk of local extirpation within the next ten years if there is no intervention (R. Powell pers. comm. February 2012), so additional habitat protection is urgently required.  Further survey work is necessary to determine the current population status of this species in the wild in Haiti, and to determine the possible effects of chytrid as a threat. The Dominican governmental agency </w:t>
            </w:r>
            <w:proofErr w:type="spellStart"/>
            <w:r w:rsidRPr="005516CD">
              <w:rPr>
                <w:rFonts w:asciiTheme="majorHAnsi" w:hAnsiTheme="majorHAnsi" w:cstheme="majorHAnsi"/>
                <w:sz w:val="20"/>
                <w:szCs w:val="20"/>
              </w:rPr>
              <w:t>Ministerio</w:t>
            </w:r>
            <w:proofErr w:type="spellEnd"/>
            <w:r w:rsidRPr="005516CD">
              <w:rPr>
                <w:rFonts w:asciiTheme="majorHAnsi" w:hAnsiTheme="majorHAnsi" w:cstheme="majorHAnsi"/>
                <w:sz w:val="20"/>
                <w:szCs w:val="20"/>
              </w:rPr>
              <w:t xml:space="preserve"> de </w:t>
            </w:r>
            <w:proofErr w:type="spellStart"/>
            <w:r w:rsidRPr="005516CD">
              <w:rPr>
                <w:rFonts w:asciiTheme="majorHAnsi" w:hAnsiTheme="majorHAnsi" w:cstheme="majorHAnsi"/>
                <w:sz w:val="20"/>
                <w:szCs w:val="20"/>
              </w:rPr>
              <w:t>Educación</w:t>
            </w:r>
            <w:proofErr w:type="spellEnd"/>
            <w:r w:rsidRPr="005516CD">
              <w:rPr>
                <w:rFonts w:asciiTheme="majorHAnsi" w:hAnsiTheme="majorHAnsi" w:cstheme="majorHAnsi"/>
                <w:sz w:val="20"/>
                <w:szCs w:val="20"/>
              </w:rPr>
              <w:t xml:space="preserve"> Superior, </w:t>
            </w:r>
            <w:proofErr w:type="spellStart"/>
            <w:r w:rsidRPr="005516CD">
              <w:rPr>
                <w:rFonts w:asciiTheme="majorHAnsi" w:hAnsiTheme="majorHAnsi" w:cstheme="majorHAnsi"/>
                <w:sz w:val="20"/>
                <w:szCs w:val="20"/>
              </w:rPr>
              <w:t>Ciencia</w:t>
            </w:r>
            <w:proofErr w:type="spellEnd"/>
            <w:r w:rsidRPr="005516CD">
              <w:rPr>
                <w:rFonts w:asciiTheme="majorHAnsi" w:hAnsiTheme="majorHAnsi" w:cstheme="majorHAnsi"/>
                <w:sz w:val="20"/>
                <w:szCs w:val="20"/>
              </w:rPr>
              <w:t xml:space="preserve"> y </w:t>
            </w:r>
            <w:proofErr w:type="spellStart"/>
            <w:r w:rsidRPr="005516CD">
              <w:rPr>
                <w:rFonts w:asciiTheme="majorHAnsi" w:hAnsiTheme="majorHAnsi" w:cstheme="majorHAnsi"/>
                <w:sz w:val="20"/>
                <w:szCs w:val="20"/>
              </w:rPr>
              <w:t>Tecnología</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MECyT</w:t>
            </w:r>
            <w:proofErr w:type="spellEnd"/>
            <w:r w:rsidRPr="005516CD">
              <w:rPr>
                <w:rFonts w:asciiTheme="majorHAnsi" w:hAnsiTheme="majorHAnsi" w:cstheme="majorHAnsi"/>
                <w:sz w:val="20"/>
                <w:szCs w:val="20"/>
              </w:rPr>
              <w:t xml:space="preserve">) is currently financing a three-year Dominican conservation project on threatened frogs due to climate change (RANA-RD), and which is expected to contribute towards a national Dominican amphibian conservation action plan with policy recommendations (C. </w:t>
            </w:r>
            <w:proofErr w:type="spellStart"/>
            <w:r w:rsidRPr="005516CD">
              <w:rPr>
                <w:rFonts w:asciiTheme="majorHAnsi" w:hAnsiTheme="majorHAnsi" w:cstheme="majorHAnsi"/>
                <w:sz w:val="20"/>
                <w:szCs w:val="20"/>
              </w:rPr>
              <w:t>Marte</w:t>
            </w:r>
            <w:proofErr w:type="spellEnd"/>
            <w:r w:rsidRPr="005516CD">
              <w:rPr>
                <w:rFonts w:asciiTheme="majorHAnsi" w:hAnsiTheme="majorHAnsi" w:cstheme="majorHAnsi"/>
                <w:sz w:val="20"/>
                <w:szCs w:val="20"/>
              </w:rPr>
              <w:t xml:space="preserve">, M. Rodríguez and L. Diaz pers. comm. March 2011). Barrick Gold Corporation is funding a biodiversity project to establish assurance colonies of this and other </w:t>
            </w:r>
            <w:proofErr w:type="spellStart"/>
            <w:r w:rsidRPr="005516CD">
              <w:rPr>
                <w:rFonts w:asciiTheme="majorHAnsi" w:hAnsiTheme="majorHAnsi" w:cstheme="majorHAnsi"/>
                <w:sz w:val="20"/>
                <w:szCs w:val="20"/>
              </w:rPr>
              <w:t>Hylids</w:t>
            </w:r>
            <w:proofErr w:type="spellEnd"/>
            <w:r w:rsidRPr="005516CD">
              <w:rPr>
                <w:rFonts w:asciiTheme="majorHAnsi" w:hAnsiTheme="majorHAnsi" w:cstheme="majorHAnsi"/>
                <w:sz w:val="20"/>
                <w:szCs w:val="20"/>
              </w:rPr>
              <w:t xml:space="preserve"> impacted by its mining </w:t>
            </w:r>
            <w:proofErr w:type="gramStart"/>
            <w:r w:rsidRPr="005516CD">
              <w:rPr>
                <w:rFonts w:asciiTheme="majorHAnsi" w:hAnsiTheme="majorHAnsi" w:cstheme="majorHAnsi"/>
                <w:sz w:val="20"/>
                <w:szCs w:val="20"/>
              </w:rPr>
              <w:t>operation, and</w:t>
            </w:r>
            <w:proofErr w:type="gramEnd"/>
            <w:r w:rsidRPr="005516CD">
              <w:rPr>
                <w:rFonts w:asciiTheme="majorHAnsi" w:hAnsiTheme="majorHAnsi" w:cstheme="majorHAnsi"/>
                <w:sz w:val="20"/>
                <w:szCs w:val="20"/>
              </w:rPr>
              <w:t xml:space="preserve"> is also involved in building capacity and collecting additional biological information (Barrick Gold Corporation 2012).</w:t>
            </w:r>
          </w:p>
          <w:p w14:paraId="507471DE"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sz w:val="20"/>
                <w:szCs w:val="20"/>
              </w:rPr>
              <w:t>The Amphibian Ark Conservation Needs Assessment process (Amphibian Ark 2011) conducted in the joint IUCN-Amphibian Ark workshop where this species was reassessed identified that further conservation actions for this taxon should include in situ conservation and conservation education.</w:t>
            </w:r>
          </w:p>
        </w:tc>
      </w:tr>
      <w:tr w:rsidR="00DB73E3" w:rsidRPr="005516CD" w14:paraId="304F11AB" w14:textId="77777777" w:rsidTr="005B0548">
        <w:tc>
          <w:tcPr>
            <w:tcW w:w="1956" w:type="dxa"/>
          </w:tcPr>
          <w:p w14:paraId="48AF03BB"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i/>
                <w:color w:val="333333"/>
                <w:sz w:val="20"/>
                <w:szCs w:val="20"/>
              </w:rPr>
              <w:t>Peltophryne</w:t>
            </w:r>
            <w:proofErr w:type="spellEnd"/>
            <w:r w:rsidRPr="005516CD">
              <w:rPr>
                <w:rFonts w:asciiTheme="majorHAnsi" w:eastAsia="Times New Roman" w:hAnsiTheme="majorHAnsi" w:cstheme="majorHAnsi"/>
                <w:i/>
                <w:color w:val="333333"/>
                <w:sz w:val="20"/>
                <w:szCs w:val="20"/>
              </w:rPr>
              <w:t xml:space="preserve"> </w:t>
            </w:r>
            <w:proofErr w:type="spellStart"/>
            <w:r w:rsidRPr="005516CD">
              <w:rPr>
                <w:rFonts w:asciiTheme="majorHAnsi" w:eastAsia="Times New Roman" w:hAnsiTheme="majorHAnsi" w:cstheme="majorHAnsi"/>
                <w:i/>
                <w:color w:val="333333"/>
                <w:sz w:val="20"/>
                <w:szCs w:val="20"/>
              </w:rPr>
              <w:t>guentheri</w:t>
            </w:r>
            <w:proofErr w:type="spellEnd"/>
            <w:r w:rsidRPr="005516CD">
              <w:rPr>
                <w:rFonts w:asciiTheme="majorHAnsi" w:eastAsia="Times New Roman" w:hAnsiTheme="majorHAnsi" w:cstheme="majorHAnsi"/>
                <w:color w:val="0563C1"/>
                <w:sz w:val="20"/>
                <w:szCs w:val="20"/>
                <w:u w:val="single"/>
              </w:rPr>
              <w:t xml:space="preserve"> </w:t>
            </w:r>
            <w:hyperlink r:id="rId121" w:tooltip="view gunther's caribbean toad profile" w:history="1">
              <w:r w:rsidRPr="005516CD">
                <w:rPr>
                  <w:rFonts w:asciiTheme="majorHAnsi" w:eastAsia="Times New Roman" w:hAnsiTheme="majorHAnsi" w:cstheme="majorHAnsi"/>
                  <w:color w:val="0563C1"/>
                  <w:sz w:val="20"/>
                  <w:szCs w:val="20"/>
                  <w:u w:val="single"/>
                </w:rPr>
                <w:t>Gunther's Caribbean Toad</w:t>
              </w:r>
            </w:hyperlink>
          </w:p>
        </w:tc>
        <w:tc>
          <w:tcPr>
            <w:tcW w:w="1495" w:type="dxa"/>
          </w:tcPr>
          <w:p w14:paraId="7D2F08E7"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 xml:space="preserve">Vulnerable,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w:t>
            </w:r>
          </w:p>
        </w:tc>
        <w:tc>
          <w:tcPr>
            <w:tcW w:w="10497" w:type="dxa"/>
          </w:tcPr>
          <w:p w14:paraId="10757C4F"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Listed as Vulnerable because its Area of Occupancy is less than 2,000 km2, its distribution is severely fragmented, and there is continuing decline in the extent and quality of its forest habitat on Hispaniola.</w:t>
            </w:r>
          </w:p>
          <w:p w14:paraId="062E95E1"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25824" behindDoc="1" locked="0" layoutInCell="1" allowOverlap="1" wp14:anchorId="72DA70A8" wp14:editId="4120E1CE">
                  <wp:simplePos x="0" y="0"/>
                  <wp:positionH relativeFrom="column">
                    <wp:posOffset>3756660</wp:posOffset>
                  </wp:positionH>
                  <wp:positionV relativeFrom="paragraph">
                    <wp:posOffset>16510</wp:posOffset>
                  </wp:positionV>
                  <wp:extent cx="2788920" cy="1643380"/>
                  <wp:effectExtent l="0" t="0" r="0" b="0"/>
                  <wp:wrapTight wrapText="bothSides">
                    <wp:wrapPolygon edited="0">
                      <wp:start x="0" y="0"/>
                      <wp:lineTo x="0" y="21283"/>
                      <wp:lineTo x="21393" y="21283"/>
                      <wp:lineTo x="21393"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788920" cy="16433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 xml:space="preserve">Range Description: </w:t>
            </w:r>
            <w:r w:rsidRPr="005516CD">
              <w:rPr>
                <w:rFonts w:asciiTheme="majorHAnsi" w:hAnsiTheme="majorHAnsi" w:cstheme="majorHAnsi"/>
                <w:sz w:val="20"/>
                <w:szCs w:val="20"/>
              </w:rPr>
              <w:t xml:space="preserve">This species is widely but patchily distributed in southern, central, and northern and north-western Hispaniola (both Haiti and Dominican Republic): </w:t>
            </w:r>
            <w:proofErr w:type="spellStart"/>
            <w:r w:rsidRPr="005516CD">
              <w:rPr>
                <w:rFonts w:asciiTheme="majorHAnsi" w:hAnsiTheme="majorHAnsi" w:cstheme="majorHAnsi"/>
                <w:sz w:val="20"/>
                <w:szCs w:val="20"/>
              </w:rPr>
              <w:t>Plaine</w:t>
            </w:r>
            <w:proofErr w:type="spellEnd"/>
            <w:r w:rsidRPr="005516CD">
              <w:rPr>
                <w:rFonts w:asciiTheme="majorHAnsi" w:hAnsiTheme="majorHAnsi" w:cstheme="majorHAnsi"/>
                <w:sz w:val="20"/>
                <w:szCs w:val="20"/>
              </w:rPr>
              <w:t xml:space="preserve"> du Nord-Valle de </w:t>
            </w:r>
            <w:proofErr w:type="spellStart"/>
            <w:r w:rsidRPr="005516CD">
              <w:rPr>
                <w:rFonts w:asciiTheme="majorHAnsi" w:hAnsiTheme="majorHAnsi" w:cstheme="majorHAnsi"/>
                <w:sz w:val="20"/>
                <w:szCs w:val="20"/>
              </w:rPr>
              <w:t>Cibao</w:t>
            </w:r>
            <w:proofErr w:type="spellEnd"/>
            <w:r w:rsidRPr="005516CD">
              <w:rPr>
                <w:rFonts w:asciiTheme="majorHAnsi" w:hAnsiTheme="majorHAnsi" w:cstheme="majorHAnsi"/>
                <w:sz w:val="20"/>
                <w:szCs w:val="20"/>
              </w:rPr>
              <w:t xml:space="preserve">, Valle de San Juan, and </w:t>
            </w:r>
            <w:proofErr w:type="spellStart"/>
            <w:r w:rsidRPr="005516CD">
              <w:rPr>
                <w:rFonts w:asciiTheme="majorHAnsi" w:hAnsiTheme="majorHAnsi" w:cstheme="majorHAnsi"/>
                <w:sz w:val="20"/>
                <w:szCs w:val="20"/>
              </w:rPr>
              <w:t>Plaine</w:t>
            </w:r>
            <w:proofErr w:type="spellEnd"/>
            <w:r w:rsidRPr="005516CD">
              <w:rPr>
                <w:rFonts w:asciiTheme="majorHAnsi" w:hAnsiTheme="majorHAnsi" w:cstheme="majorHAnsi"/>
                <w:sz w:val="20"/>
                <w:szCs w:val="20"/>
              </w:rPr>
              <w:t xml:space="preserve"> du </w:t>
            </w:r>
            <w:proofErr w:type="spellStart"/>
            <w:r w:rsidRPr="005516CD">
              <w:rPr>
                <w:rFonts w:asciiTheme="majorHAnsi" w:hAnsiTheme="majorHAnsi" w:cstheme="majorHAnsi"/>
                <w:sz w:val="20"/>
                <w:szCs w:val="20"/>
              </w:rPr>
              <w:t>Cul</w:t>
            </w:r>
            <w:proofErr w:type="spellEnd"/>
            <w:r w:rsidRPr="005516CD">
              <w:rPr>
                <w:rFonts w:asciiTheme="majorHAnsi" w:hAnsiTheme="majorHAnsi" w:cstheme="majorHAnsi"/>
                <w:sz w:val="20"/>
                <w:szCs w:val="20"/>
              </w:rPr>
              <w:t xml:space="preserve"> de Sac-Valle de </w:t>
            </w:r>
            <w:proofErr w:type="spellStart"/>
            <w:r w:rsidRPr="005516CD">
              <w:rPr>
                <w:rFonts w:asciiTheme="majorHAnsi" w:hAnsiTheme="majorHAnsi" w:cstheme="majorHAnsi"/>
                <w:sz w:val="20"/>
                <w:szCs w:val="20"/>
              </w:rPr>
              <w:t>Neiba</w:t>
            </w:r>
            <w:proofErr w:type="spellEnd"/>
            <w:r w:rsidRPr="005516CD">
              <w:rPr>
                <w:rFonts w:asciiTheme="majorHAnsi" w:hAnsiTheme="majorHAnsi" w:cstheme="majorHAnsi"/>
                <w:sz w:val="20"/>
                <w:szCs w:val="20"/>
              </w:rPr>
              <w:t xml:space="preserve">. The altitudinal range is from 40m below sea level up to 107m </w:t>
            </w:r>
            <w:proofErr w:type="spellStart"/>
            <w:r w:rsidRPr="005516CD">
              <w:rPr>
                <w:rFonts w:asciiTheme="majorHAnsi" w:hAnsiTheme="majorHAnsi" w:cstheme="majorHAnsi"/>
                <w:sz w:val="20"/>
                <w:szCs w:val="20"/>
              </w:rPr>
              <w:t>asl</w:t>
            </w:r>
            <w:proofErr w:type="spellEnd"/>
            <w:r w:rsidRPr="005516CD">
              <w:rPr>
                <w:rFonts w:asciiTheme="majorHAnsi" w:hAnsiTheme="majorHAnsi" w:cstheme="majorHAnsi"/>
                <w:sz w:val="20"/>
                <w:szCs w:val="20"/>
              </w:rPr>
              <w:t xml:space="preserve">. </w:t>
            </w:r>
          </w:p>
          <w:p w14:paraId="44388E89"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Habitat and Ecology: </w:t>
            </w:r>
            <w:r w:rsidRPr="005516CD">
              <w:rPr>
                <w:rFonts w:asciiTheme="majorHAnsi" w:hAnsiTheme="majorHAnsi" w:cstheme="majorHAnsi"/>
                <w:sz w:val="20"/>
                <w:szCs w:val="20"/>
              </w:rPr>
              <w:t xml:space="preserve">It occurs in dry lowland valleys, in both mesic and xeric areas, retreating under rocks and logs. Males call from rain-flooded areas, and eggs are laid in still water. The species breeds </w:t>
            </w:r>
            <w:proofErr w:type="gramStart"/>
            <w:r w:rsidRPr="005516CD">
              <w:rPr>
                <w:rFonts w:asciiTheme="majorHAnsi" w:hAnsiTheme="majorHAnsi" w:cstheme="majorHAnsi"/>
                <w:sz w:val="20"/>
                <w:szCs w:val="20"/>
              </w:rPr>
              <w:t>year round</w:t>
            </w:r>
            <w:proofErr w:type="gramEnd"/>
            <w:r w:rsidRPr="005516CD">
              <w:rPr>
                <w:rFonts w:asciiTheme="majorHAnsi" w:hAnsiTheme="majorHAnsi" w:cstheme="majorHAnsi"/>
                <w:sz w:val="20"/>
                <w:szCs w:val="20"/>
              </w:rPr>
              <w:t xml:space="preserve"> in some areas. It is occasionally found near water with heavy concentrations of sulphur.</w:t>
            </w:r>
          </w:p>
          <w:p w14:paraId="48C107A5"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sz w:val="20"/>
                <w:szCs w:val="20"/>
              </w:rPr>
              <w:t xml:space="preserve">Major Threat(s): </w:t>
            </w:r>
            <w:r w:rsidRPr="005516CD">
              <w:rPr>
                <w:rFonts w:asciiTheme="majorHAnsi" w:hAnsiTheme="majorHAnsi" w:cstheme="majorHAnsi"/>
                <w:sz w:val="20"/>
                <w:szCs w:val="20"/>
              </w:rPr>
              <w:t>The major threats to this lowland species are habitat loss, due to both livestock grazing and selective logging, and agricultural pollution.</w:t>
            </w:r>
          </w:p>
        </w:tc>
      </w:tr>
      <w:tr w:rsidR="00DB73E3" w:rsidRPr="005516CD" w14:paraId="2AC2FD0A" w14:textId="77777777" w:rsidTr="005B0548">
        <w:tc>
          <w:tcPr>
            <w:tcW w:w="13948" w:type="dxa"/>
            <w:gridSpan w:val="3"/>
            <w:shd w:val="clear" w:color="auto" w:fill="D9D9D9" w:themeFill="background1" w:themeFillShade="D9"/>
          </w:tcPr>
          <w:p w14:paraId="6465A6F5" w14:textId="77777777" w:rsidR="00DB73E3" w:rsidRPr="005516CD" w:rsidRDefault="00DB73E3" w:rsidP="007B146B">
            <w:pPr>
              <w:rPr>
                <w:rFonts w:asciiTheme="majorHAnsi" w:hAnsiTheme="majorHAnsi" w:cstheme="majorHAnsi"/>
                <w:b/>
                <w:sz w:val="20"/>
                <w:szCs w:val="20"/>
              </w:rPr>
            </w:pPr>
            <w:r w:rsidRPr="005516CD">
              <w:rPr>
                <w:rFonts w:asciiTheme="majorHAnsi" w:hAnsiTheme="majorHAnsi" w:cstheme="majorHAnsi"/>
                <w:b/>
                <w:sz w:val="20"/>
                <w:szCs w:val="20"/>
              </w:rPr>
              <w:t>Reptiles</w:t>
            </w:r>
          </w:p>
        </w:tc>
      </w:tr>
      <w:tr w:rsidR="00DB73E3" w:rsidRPr="005516CD" w14:paraId="39F4EACB" w14:textId="77777777" w:rsidTr="005B0548">
        <w:tc>
          <w:tcPr>
            <w:tcW w:w="1956" w:type="dxa"/>
          </w:tcPr>
          <w:p w14:paraId="15724206"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i/>
                <w:color w:val="333333"/>
                <w:sz w:val="20"/>
                <w:szCs w:val="20"/>
              </w:rPr>
              <w:t>Celestus</w:t>
            </w:r>
            <w:proofErr w:type="spellEnd"/>
            <w:r w:rsidRPr="005516CD">
              <w:rPr>
                <w:rFonts w:asciiTheme="majorHAnsi" w:eastAsia="Times New Roman" w:hAnsiTheme="majorHAnsi" w:cstheme="majorHAnsi"/>
                <w:i/>
                <w:color w:val="333333"/>
                <w:sz w:val="20"/>
                <w:szCs w:val="20"/>
              </w:rPr>
              <w:t xml:space="preserve"> </w:t>
            </w:r>
            <w:proofErr w:type="spellStart"/>
            <w:r w:rsidRPr="005516CD">
              <w:rPr>
                <w:rFonts w:asciiTheme="majorHAnsi" w:eastAsia="Times New Roman" w:hAnsiTheme="majorHAnsi" w:cstheme="majorHAnsi"/>
                <w:i/>
                <w:color w:val="333333"/>
                <w:sz w:val="20"/>
                <w:szCs w:val="20"/>
              </w:rPr>
              <w:t>warreni</w:t>
            </w:r>
            <w:proofErr w:type="spellEnd"/>
            <w:r w:rsidRPr="005516CD">
              <w:rPr>
                <w:rFonts w:asciiTheme="majorHAnsi" w:eastAsia="Times New Roman" w:hAnsiTheme="majorHAnsi" w:cstheme="majorHAnsi"/>
                <w:color w:val="0563C1"/>
                <w:sz w:val="20"/>
                <w:szCs w:val="20"/>
                <w:u w:val="single"/>
              </w:rPr>
              <w:t xml:space="preserve"> </w:t>
            </w:r>
            <w:hyperlink r:id="rId123" w:tooltip="view giant hispaniolan galliwasp profile" w:history="1">
              <w:r w:rsidRPr="005516CD">
                <w:rPr>
                  <w:rFonts w:asciiTheme="majorHAnsi" w:eastAsia="Times New Roman" w:hAnsiTheme="majorHAnsi" w:cstheme="majorHAnsi"/>
                  <w:color w:val="0563C1"/>
                  <w:sz w:val="20"/>
                  <w:szCs w:val="20"/>
                  <w:u w:val="single"/>
                </w:rPr>
                <w:t xml:space="preserve">Giant </w:t>
              </w:r>
              <w:proofErr w:type="spellStart"/>
              <w:r w:rsidRPr="005516CD">
                <w:rPr>
                  <w:rFonts w:asciiTheme="majorHAnsi" w:eastAsia="Times New Roman" w:hAnsiTheme="majorHAnsi" w:cstheme="majorHAnsi"/>
                  <w:color w:val="0563C1"/>
                  <w:sz w:val="20"/>
                  <w:szCs w:val="20"/>
                  <w:u w:val="single"/>
                </w:rPr>
                <w:t>Hispaniolan</w:t>
              </w:r>
              <w:proofErr w:type="spellEnd"/>
              <w:r w:rsidRPr="005516CD">
                <w:rPr>
                  <w:rFonts w:asciiTheme="majorHAnsi" w:eastAsia="Times New Roman" w:hAnsiTheme="majorHAnsi" w:cstheme="majorHAnsi"/>
                  <w:color w:val="0563C1"/>
                  <w:sz w:val="20"/>
                  <w:szCs w:val="20"/>
                  <w:u w:val="single"/>
                </w:rPr>
                <w:t xml:space="preserve"> </w:t>
              </w:r>
              <w:proofErr w:type="spellStart"/>
              <w:r w:rsidRPr="005516CD">
                <w:rPr>
                  <w:rFonts w:asciiTheme="majorHAnsi" w:eastAsia="Times New Roman" w:hAnsiTheme="majorHAnsi" w:cstheme="majorHAnsi"/>
                  <w:color w:val="0563C1"/>
                  <w:sz w:val="20"/>
                  <w:szCs w:val="20"/>
                  <w:u w:val="single"/>
                </w:rPr>
                <w:t>Galliwasp</w:t>
              </w:r>
              <w:proofErr w:type="spellEnd"/>
            </w:hyperlink>
          </w:p>
        </w:tc>
        <w:tc>
          <w:tcPr>
            <w:tcW w:w="1495" w:type="dxa"/>
          </w:tcPr>
          <w:p w14:paraId="5B5BAE67" w14:textId="77777777" w:rsidR="00DB73E3" w:rsidRPr="005516CD" w:rsidRDefault="00DB73E3" w:rsidP="007B146B">
            <w:pPr>
              <w:rPr>
                <w:rFonts w:asciiTheme="majorHAnsi" w:hAnsiTheme="majorHAnsi" w:cstheme="majorHAnsi"/>
                <w:b/>
                <w:sz w:val="20"/>
                <w:szCs w:val="20"/>
              </w:rPr>
            </w:pPr>
            <w:r w:rsidRPr="005516CD">
              <w:rPr>
                <w:rFonts w:asciiTheme="majorHAnsi" w:hAnsiTheme="majorHAnsi" w:cstheme="majorHAnsi"/>
                <w:sz w:val="20"/>
                <w:szCs w:val="20"/>
              </w:rPr>
              <w:t>Vulnerable, Hispaniola endemic</w:t>
            </w:r>
          </w:p>
        </w:tc>
        <w:tc>
          <w:tcPr>
            <w:tcW w:w="10497" w:type="dxa"/>
          </w:tcPr>
          <w:p w14:paraId="673E9788"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This species is listed as Vulnerable due to its limited distribution (with an extent of occurrence of 14,646 km2), fragmented subpopulations and ongoing threats include expanding agricultural activities, charcoal production, predation by cats, dogs and mongooses, it is killed by local people who mistakenly consider these lizards to be venomous, and it is on the illegal pet trade  that continues to decline its extent of occurrence, and quality of habitat, and it is only found in a small protected area.</w:t>
            </w:r>
          </w:p>
          <w:p w14:paraId="67482EBF"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26848" behindDoc="1" locked="0" layoutInCell="1" allowOverlap="1" wp14:anchorId="25837C1F" wp14:editId="403D7466">
                  <wp:simplePos x="0" y="0"/>
                  <wp:positionH relativeFrom="column">
                    <wp:posOffset>3726180</wp:posOffset>
                  </wp:positionH>
                  <wp:positionV relativeFrom="paragraph">
                    <wp:posOffset>39370</wp:posOffset>
                  </wp:positionV>
                  <wp:extent cx="2781300" cy="1279525"/>
                  <wp:effectExtent l="0" t="0" r="0" b="0"/>
                  <wp:wrapTight wrapText="bothSides">
                    <wp:wrapPolygon edited="0">
                      <wp:start x="0" y="0"/>
                      <wp:lineTo x="0" y="21225"/>
                      <wp:lineTo x="21452" y="21225"/>
                      <wp:lineTo x="21452" y="0"/>
                      <wp:lineTo x="0" y="0"/>
                    </wp:wrapPolygon>
                  </wp:wrapTight>
                  <wp:docPr id="1073742002" name="Picture 1073742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781300" cy="1279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 xml:space="preserve">Range Description: </w:t>
            </w:r>
            <w:r w:rsidRPr="005516CD">
              <w:rPr>
                <w:rFonts w:asciiTheme="majorHAnsi" w:hAnsiTheme="majorHAnsi" w:cstheme="majorHAnsi"/>
                <w:sz w:val="20"/>
                <w:szCs w:val="20"/>
              </w:rPr>
              <w:t xml:space="preserve">This species is endemic to mainland Hispaniola (northern Haiti and northern Dominican Republic) and the offshore Ile de la </w:t>
            </w:r>
            <w:proofErr w:type="spellStart"/>
            <w:r w:rsidRPr="005516CD">
              <w:rPr>
                <w:rFonts w:asciiTheme="majorHAnsi" w:hAnsiTheme="majorHAnsi" w:cstheme="majorHAnsi"/>
                <w:sz w:val="20"/>
                <w:szCs w:val="20"/>
              </w:rPr>
              <w:t>Tortue</w:t>
            </w:r>
            <w:proofErr w:type="spellEnd"/>
            <w:r w:rsidRPr="005516CD">
              <w:rPr>
                <w:rFonts w:asciiTheme="majorHAnsi" w:hAnsiTheme="majorHAnsi" w:cstheme="majorHAnsi"/>
                <w:sz w:val="20"/>
                <w:szCs w:val="20"/>
              </w:rPr>
              <w:t xml:space="preserve">. It occurs up to 702 m </w:t>
            </w:r>
            <w:proofErr w:type="spellStart"/>
            <w:r w:rsidRPr="005516CD">
              <w:rPr>
                <w:rFonts w:asciiTheme="majorHAnsi" w:hAnsiTheme="majorHAnsi" w:cstheme="majorHAnsi"/>
                <w:sz w:val="20"/>
                <w:szCs w:val="20"/>
              </w:rPr>
              <w:t>asl</w:t>
            </w:r>
            <w:proofErr w:type="spellEnd"/>
            <w:r w:rsidRPr="005516CD">
              <w:rPr>
                <w:rFonts w:asciiTheme="majorHAnsi" w:hAnsiTheme="majorHAnsi" w:cstheme="majorHAnsi"/>
                <w:sz w:val="20"/>
                <w:szCs w:val="20"/>
              </w:rPr>
              <w:t xml:space="preserve"> (M. </w:t>
            </w:r>
            <w:proofErr w:type="spellStart"/>
            <w:r w:rsidRPr="005516CD">
              <w:rPr>
                <w:rFonts w:asciiTheme="majorHAnsi" w:hAnsiTheme="majorHAnsi" w:cstheme="majorHAnsi"/>
                <w:sz w:val="20"/>
                <w:szCs w:val="20"/>
              </w:rPr>
              <w:t>Landestoy</w:t>
            </w:r>
            <w:proofErr w:type="spellEnd"/>
            <w:r w:rsidRPr="005516CD">
              <w:rPr>
                <w:rFonts w:asciiTheme="majorHAnsi" w:hAnsiTheme="majorHAnsi" w:cstheme="majorHAnsi"/>
                <w:sz w:val="20"/>
                <w:szCs w:val="20"/>
              </w:rPr>
              <w:t xml:space="preserve"> and S. </w:t>
            </w:r>
            <w:proofErr w:type="spellStart"/>
            <w:r w:rsidRPr="005516CD">
              <w:rPr>
                <w:rFonts w:asciiTheme="majorHAnsi" w:hAnsiTheme="majorHAnsi" w:cstheme="majorHAnsi"/>
                <w:sz w:val="20"/>
                <w:szCs w:val="20"/>
              </w:rPr>
              <w:t>Incháustegui</w:t>
            </w:r>
            <w:proofErr w:type="spellEnd"/>
            <w:r w:rsidRPr="005516CD">
              <w:rPr>
                <w:rFonts w:asciiTheme="majorHAnsi" w:hAnsiTheme="majorHAnsi" w:cstheme="majorHAnsi"/>
                <w:sz w:val="20"/>
                <w:szCs w:val="20"/>
              </w:rPr>
              <w:t xml:space="preserve"> pers. comm. 2015). Altitude range: 45-702m.</w:t>
            </w:r>
          </w:p>
          <w:p w14:paraId="57363645" w14:textId="2A5D304B"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Population: </w:t>
            </w:r>
            <w:r w:rsidRPr="005516CD">
              <w:rPr>
                <w:rFonts w:asciiTheme="majorHAnsi" w:hAnsiTheme="majorHAnsi" w:cstheme="majorHAnsi"/>
                <w:sz w:val="20"/>
                <w:szCs w:val="20"/>
              </w:rPr>
              <w:t xml:space="preserve">It appears that the subpopulations in the Dominican Republic (formerly recognized as a separate species </w:t>
            </w:r>
            <w:proofErr w:type="spellStart"/>
            <w:r w:rsidRPr="005516CD">
              <w:rPr>
                <w:rFonts w:asciiTheme="majorHAnsi" w:hAnsiTheme="majorHAnsi" w:cstheme="majorHAnsi"/>
                <w:sz w:val="20"/>
                <w:szCs w:val="20"/>
              </w:rPr>
              <w:t>Celestus</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carraui</w:t>
            </w:r>
            <w:proofErr w:type="spellEnd"/>
            <w:r w:rsidRPr="005516CD">
              <w:rPr>
                <w:rFonts w:asciiTheme="majorHAnsi" w:hAnsiTheme="majorHAnsi" w:cstheme="majorHAnsi"/>
                <w:sz w:val="20"/>
                <w:szCs w:val="20"/>
              </w:rPr>
              <w:t xml:space="preserve">) have almost been lost. The last collection and sightings were in 2014 in the Puerto Plata area (R. Powell pers. comm. 2014)  and in San Francisco de Macoris province, a new locality record extending the species' distribution (S. </w:t>
            </w:r>
            <w:proofErr w:type="spellStart"/>
            <w:r w:rsidRPr="005516CD">
              <w:rPr>
                <w:rFonts w:asciiTheme="majorHAnsi" w:hAnsiTheme="majorHAnsi" w:cstheme="majorHAnsi"/>
                <w:sz w:val="20"/>
                <w:szCs w:val="20"/>
              </w:rPr>
              <w:t>Inchaustegui</w:t>
            </w:r>
            <w:proofErr w:type="spellEnd"/>
            <w:r w:rsidRPr="005516CD">
              <w:rPr>
                <w:rFonts w:asciiTheme="majorHAnsi" w:hAnsiTheme="majorHAnsi" w:cstheme="majorHAnsi"/>
                <w:sz w:val="20"/>
                <w:szCs w:val="20"/>
              </w:rPr>
              <w:t xml:space="preserve"> pers. comm. 2015). but there are occasional reports of sightings made by local people (S.J. </w:t>
            </w:r>
            <w:proofErr w:type="spellStart"/>
            <w:r w:rsidRPr="005516CD">
              <w:rPr>
                <w:rFonts w:asciiTheme="majorHAnsi" w:hAnsiTheme="majorHAnsi" w:cstheme="majorHAnsi"/>
                <w:sz w:val="20"/>
                <w:szCs w:val="20"/>
              </w:rPr>
              <w:t>Incháustegui</w:t>
            </w:r>
            <w:proofErr w:type="spellEnd"/>
            <w:r w:rsidRPr="005516CD">
              <w:rPr>
                <w:rFonts w:asciiTheme="majorHAnsi" w:hAnsiTheme="majorHAnsi" w:cstheme="majorHAnsi"/>
                <w:sz w:val="20"/>
                <w:szCs w:val="20"/>
              </w:rPr>
              <w:t xml:space="preserve"> pers. comm. 2015). In Haiti, the species is known with confidence from only a single locality despite intensive </w:t>
            </w:r>
            <w:r w:rsidR="00C94788" w:rsidRPr="005516CD">
              <w:rPr>
                <w:rFonts w:asciiTheme="majorHAnsi" w:hAnsiTheme="majorHAnsi" w:cstheme="majorHAnsi"/>
                <w:sz w:val="20"/>
                <w:szCs w:val="20"/>
              </w:rPr>
              <w:t>surveys and</w:t>
            </w:r>
            <w:r w:rsidRPr="005516CD">
              <w:rPr>
                <w:rFonts w:asciiTheme="majorHAnsi" w:hAnsiTheme="majorHAnsi" w:cstheme="majorHAnsi"/>
                <w:sz w:val="20"/>
                <w:szCs w:val="20"/>
              </w:rPr>
              <w:t xml:space="preserve"> is considered very rare here (S.B. Hedges pers. comm. 2016).</w:t>
            </w:r>
          </w:p>
          <w:p w14:paraId="55CCC99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Habitat and Ecology: </w:t>
            </w:r>
            <w:r w:rsidRPr="005516CD">
              <w:rPr>
                <w:rFonts w:asciiTheme="majorHAnsi" w:hAnsiTheme="majorHAnsi" w:cstheme="majorHAnsi"/>
                <w:sz w:val="20"/>
                <w:szCs w:val="20"/>
              </w:rPr>
              <w:t xml:space="preserve">This is presumed to be a burrowing species that occurs in mesic lowland broadleaf forest, dry forest, banana groves and cacao plantations (Henderson and Powell 2009). The captive longevity record is 11 years., but this was taken at a time when the captive husbandry requirements for these species were poorly understood. Based on captive specimens it appears that sexual maturity is reached at 3–4 years of age. A conservative estimate of generation time based on the known captive longevity record and age of sexual maturity would be 7 years. However, it is probable that once more data is collected this figure will be significantly larger. </w:t>
            </w:r>
            <w:proofErr w:type="spellStart"/>
            <w:r w:rsidRPr="005516CD">
              <w:rPr>
                <w:rFonts w:asciiTheme="majorHAnsi" w:hAnsiTheme="majorHAnsi" w:cstheme="majorHAnsi"/>
                <w:sz w:val="20"/>
                <w:szCs w:val="20"/>
              </w:rPr>
              <w:t>McGinnity</w:t>
            </w:r>
            <w:proofErr w:type="spellEnd"/>
            <w:r w:rsidRPr="005516CD">
              <w:rPr>
                <w:rFonts w:asciiTheme="majorHAnsi" w:hAnsiTheme="majorHAnsi" w:cstheme="majorHAnsi"/>
                <w:sz w:val="20"/>
                <w:szCs w:val="20"/>
              </w:rPr>
              <w:t xml:space="preserve"> (pers. comm. 2003) believes these animals are long lived (25–30 years, maybe longer), but that this may not be established for a very long time.</w:t>
            </w:r>
          </w:p>
          <w:p w14:paraId="2C5E5523"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sz w:val="20"/>
                <w:szCs w:val="20"/>
              </w:rPr>
              <w:t xml:space="preserve">Major Threat(s): </w:t>
            </w:r>
            <w:r w:rsidRPr="005516CD">
              <w:rPr>
                <w:rFonts w:asciiTheme="majorHAnsi" w:hAnsiTheme="majorHAnsi" w:cstheme="majorHAnsi"/>
                <w:sz w:val="20"/>
                <w:szCs w:val="20"/>
              </w:rPr>
              <w:t xml:space="preserve">This species is threatened by loss of habitat, especially deforestation for agricultural activities (planting crops and creating pastures). This species is killed by local people who mistakenly consider these lizards to be venomous (the species reportedly has significance in the Voodoo religion). Lizards are also killed by dogs, cats and mongooses. The introduction and spread of the mongoose in Hispaniola, combined with habitat alteration, are most likely the proximate causes for the recent precipitous decline in giant species of </w:t>
            </w:r>
            <w:proofErr w:type="spellStart"/>
            <w:r w:rsidRPr="005516CD">
              <w:rPr>
                <w:rFonts w:asciiTheme="majorHAnsi" w:hAnsiTheme="majorHAnsi" w:cstheme="majorHAnsi"/>
                <w:sz w:val="20"/>
                <w:szCs w:val="20"/>
              </w:rPr>
              <w:t>Celestus</w:t>
            </w:r>
            <w:proofErr w:type="spellEnd"/>
            <w:r w:rsidRPr="005516CD">
              <w:rPr>
                <w:rFonts w:asciiTheme="majorHAnsi" w:hAnsiTheme="majorHAnsi" w:cstheme="majorHAnsi"/>
                <w:sz w:val="20"/>
                <w:szCs w:val="20"/>
              </w:rPr>
              <w:t xml:space="preserve"> (Powell and Henderson 2003).</w:t>
            </w:r>
          </w:p>
        </w:tc>
      </w:tr>
      <w:tr w:rsidR="00DB73E3" w:rsidRPr="005516CD" w14:paraId="4E2CD6E8" w14:textId="77777777" w:rsidTr="005B0548">
        <w:tc>
          <w:tcPr>
            <w:tcW w:w="13948" w:type="dxa"/>
            <w:gridSpan w:val="3"/>
            <w:shd w:val="clear" w:color="auto" w:fill="D9D9D9" w:themeFill="background1" w:themeFillShade="D9"/>
          </w:tcPr>
          <w:p w14:paraId="03E047BD" w14:textId="77777777" w:rsidR="00DB73E3" w:rsidRPr="005516CD" w:rsidRDefault="00DB73E3" w:rsidP="007B146B">
            <w:pPr>
              <w:rPr>
                <w:rFonts w:asciiTheme="majorHAnsi" w:hAnsiTheme="majorHAnsi" w:cstheme="majorHAnsi"/>
                <w:b/>
                <w:sz w:val="20"/>
                <w:szCs w:val="20"/>
              </w:rPr>
            </w:pPr>
            <w:r w:rsidRPr="005516CD">
              <w:rPr>
                <w:rFonts w:asciiTheme="majorHAnsi" w:hAnsiTheme="majorHAnsi" w:cstheme="majorHAnsi"/>
                <w:b/>
                <w:sz w:val="20"/>
                <w:szCs w:val="20"/>
              </w:rPr>
              <w:t>Birds</w:t>
            </w:r>
          </w:p>
        </w:tc>
      </w:tr>
      <w:tr w:rsidR="00DB73E3" w:rsidRPr="005516CD" w14:paraId="5C335269" w14:textId="77777777" w:rsidTr="005B0548">
        <w:tc>
          <w:tcPr>
            <w:tcW w:w="1956" w:type="dxa"/>
          </w:tcPr>
          <w:p w14:paraId="293D536E" w14:textId="77777777" w:rsidR="00DB73E3" w:rsidRPr="005516CD" w:rsidRDefault="00DB73E3" w:rsidP="007B146B">
            <w:pPr>
              <w:rPr>
                <w:rFonts w:asciiTheme="majorHAnsi" w:hAnsiTheme="majorHAnsi" w:cstheme="majorHAnsi"/>
                <w:i/>
                <w:sz w:val="20"/>
                <w:szCs w:val="20"/>
              </w:rPr>
            </w:pPr>
            <w:proofErr w:type="spellStart"/>
            <w:r w:rsidRPr="005516CD">
              <w:rPr>
                <w:rFonts w:asciiTheme="majorHAnsi" w:hAnsiTheme="majorHAnsi" w:cstheme="majorHAnsi"/>
                <w:i/>
                <w:sz w:val="20"/>
                <w:szCs w:val="20"/>
              </w:rPr>
              <w:t>Amazona</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ventralis</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Parrot) </w:t>
            </w:r>
          </w:p>
        </w:tc>
        <w:tc>
          <w:tcPr>
            <w:tcW w:w="1495" w:type="dxa"/>
          </w:tcPr>
          <w:p w14:paraId="30B671F0"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Vulnerable, Hispaniola endemic</w:t>
            </w:r>
          </w:p>
        </w:tc>
        <w:tc>
          <w:tcPr>
            <w:tcW w:w="10497" w:type="dxa"/>
          </w:tcPr>
          <w:p w14:paraId="623DC8E5"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Justification:</w:t>
            </w:r>
            <w:r w:rsidRPr="005516CD">
              <w:rPr>
                <w:rFonts w:asciiTheme="majorHAnsi" w:hAnsiTheme="majorHAnsi" w:cstheme="majorHAnsi"/>
                <w:sz w:val="20"/>
                <w:szCs w:val="20"/>
              </w:rPr>
              <w:t xml:space="preserve"> This species is considered Vulnerable because anecdotal evidence suggests that there has been a rapid population reduction. The size of the population and the exact extent of the decline are unclear, and clarification may lead to the species being reclassified as Near Threatened.</w:t>
            </w:r>
          </w:p>
          <w:p w14:paraId="7750E8AF" w14:textId="5412855C"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13536" behindDoc="1" locked="0" layoutInCell="1" allowOverlap="1" wp14:anchorId="10A73D4E" wp14:editId="7AE7A16A">
                  <wp:simplePos x="0" y="0"/>
                  <wp:positionH relativeFrom="column">
                    <wp:posOffset>2988310</wp:posOffset>
                  </wp:positionH>
                  <wp:positionV relativeFrom="paragraph">
                    <wp:posOffset>46990</wp:posOffset>
                  </wp:positionV>
                  <wp:extent cx="3514725" cy="1653540"/>
                  <wp:effectExtent l="0" t="0" r="9525" b="3810"/>
                  <wp:wrapTight wrapText="bothSides">
                    <wp:wrapPolygon edited="0">
                      <wp:start x="0" y="0"/>
                      <wp:lineTo x="0" y="21401"/>
                      <wp:lineTo x="21541" y="21401"/>
                      <wp:lineTo x="21541" y="0"/>
                      <wp:lineTo x="0" y="0"/>
                    </wp:wrapPolygon>
                  </wp:wrapTight>
                  <wp:docPr id="1073742003" name="Picture 1073742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514725" cy="16535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i/>
                <w:sz w:val="20"/>
                <w:szCs w:val="20"/>
              </w:rPr>
              <w:t>Amazona</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ventralis</w:t>
            </w:r>
            <w:proofErr w:type="spellEnd"/>
            <w:r w:rsidRPr="005516CD">
              <w:rPr>
                <w:rFonts w:asciiTheme="majorHAnsi" w:hAnsiTheme="majorHAnsi" w:cstheme="majorHAnsi"/>
                <w:sz w:val="20"/>
                <w:szCs w:val="20"/>
              </w:rPr>
              <w:t xml:space="preserve"> is endemic to Hispaniola (Haiti and the Dominican Republic) and the associated islands of Grande </w:t>
            </w:r>
            <w:proofErr w:type="spellStart"/>
            <w:r w:rsidRPr="005516CD">
              <w:rPr>
                <w:rFonts w:asciiTheme="majorHAnsi" w:hAnsiTheme="majorHAnsi" w:cstheme="majorHAnsi"/>
                <w:sz w:val="20"/>
                <w:szCs w:val="20"/>
              </w:rPr>
              <w:t>Cayemite</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Gonâve</w:t>
            </w:r>
            <w:proofErr w:type="spellEnd"/>
            <w:r w:rsidRPr="005516CD">
              <w:rPr>
                <w:rFonts w:asciiTheme="majorHAnsi" w:hAnsiTheme="majorHAnsi" w:cstheme="majorHAnsi"/>
                <w:sz w:val="20"/>
                <w:szCs w:val="20"/>
              </w:rPr>
              <w:t xml:space="preserve">, Beata and </w:t>
            </w:r>
            <w:proofErr w:type="spellStart"/>
            <w:r w:rsidRPr="005516CD">
              <w:rPr>
                <w:rFonts w:asciiTheme="majorHAnsi" w:hAnsiTheme="majorHAnsi" w:cstheme="majorHAnsi"/>
                <w:sz w:val="20"/>
                <w:szCs w:val="20"/>
              </w:rPr>
              <w:t>Saona</w:t>
            </w:r>
            <w:proofErr w:type="spellEnd"/>
            <w:r w:rsidRPr="005516CD">
              <w:rPr>
                <w:rFonts w:asciiTheme="majorHAnsi" w:hAnsiTheme="majorHAnsi" w:cstheme="majorHAnsi"/>
                <w:sz w:val="20"/>
                <w:szCs w:val="20"/>
              </w:rPr>
              <w:t xml:space="preserve"> (AOU 1998). Introduced populations are established in Puerto Rico (to U.S.A.), and St Croix and St Thomas in the Virgin Islands (to U.S.A.) (AOU 1998). It was common on </w:t>
            </w:r>
            <w:r w:rsidR="00C94788" w:rsidRPr="005516CD">
              <w:rPr>
                <w:rFonts w:asciiTheme="majorHAnsi" w:hAnsiTheme="majorHAnsi" w:cstheme="majorHAnsi"/>
                <w:sz w:val="20"/>
                <w:szCs w:val="20"/>
              </w:rPr>
              <w:t>Hispaniola but</w:t>
            </w:r>
            <w:r w:rsidRPr="005516CD">
              <w:rPr>
                <w:rFonts w:asciiTheme="majorHAnsi" w:hAnsiTheme="majorHAnsi" w:cstheme="majorHAnsi"/>
                <w:sz w:val="20"/>
                <w:szCs w:val="20"/>
              </w:rPr>
              <w:t xml:space="preserve"> declined significantly during the 20th century. By the 1930s, it was mainly restricted to the interior mountains, where it remains locally fairly common in suitable habitat, particularly within several major forest reserves (Juniper and Parr 1998, Raffaele et al. 1998). Elsewhere, it is now uncommon, rare or absent. The introduced population in Puerto Rico numbers several hundred and is apparently increasing (Juniper and Parr 1998).</w:t>
            </w:r>
          </w:p>
          <w:p w14:paraId="75FB6633"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sz w:val="20"/>
                <w:szCs w:val="20"/>
              </w:rPr>
              <w:t>There are no new data on population trends, but the species is suspected to be declining rapidly, as a result of hunting, habitat loss and trapping.</w:t>
            </w:r>
          </w:p>
          <w:p w14:paraId="488CB0A2" w14:textId="77777777" w:rsidR="00DB73E3" w:rsidRPr="005516CD" w:rsidRDefault="00DB73E3" w:rsidP="006B27F4">
            <w:pPr>
              <w:pStyle w:val="ListParagraph"/>
              <w:numPr>
                <w:ilvl w:val="0"/>
                <w:numId w:val="94"/>
              </w:numPr>
              <w:contextualSpacing/>
              <w:rPr>
                <w:rFonts w:asciiTheme="majorHAnsi" w:hAnsiTheme="majorHAnsi" w:cstheme="majorHAnsi"/>
                <w:sz w:val="20"/>
                <w:szCs w:val="20"/>
              </w:rPr>
            </w:pPr>
            <w:r w:rsidRPr="005516CD">
              <w:rPr>
                <w:rFonts w:asciiTheme="majorHAnsi" w:hAnsiTheme="majorHAnsi" w:cstheme="majorHAnsi"/>
                <w:sz w:val="20"/>
                <w:szCs w:val="20"/>
              </w:rPr>
              <w:t>Continuing decline in area of occupancy (AOO):</w:t>
            </w:r>
            <w:r w:rsidRPr="005516CD">
              <w:rPr>
                <w:rFonts w:asciiTheme="majorHAnsi" w:hAnsiTheme="majorHAnsi" w:cstheme="majorHAnsi"/>
                <w:sz w:val="20"/>
                <w:szCs w:val="20"/>
              </w:rPr>
              <w:tab/>
              <w:t>Yes</w:t>
            </w:r>
          </w:p>
          <w:p w14:paraId="5861054D" w14:textId="77777777" w:rsidR="00DB73E3" w:rsidRPr="005516CD" w:rsidRDefault="00DB73E3" w:rsidP="006B27F4">
            <w:pPr>
              <w:pStyle w:val="ListParagraph"/>
              <w:numPr>
                <w:ilvl w:val="0"/>
                <w:numId w:val="94"/>
              </w:numPr>
              <w:contextualSpacing/>
              <w:rPr>
                <w:rFonts w:asciiTheme="majorHAnsi" w:hAnsiTheme="majorHAnsi" w:cstheme="majorHAnsi"/>
                <w:sz w:val="20"/>
                <w:szCs w:val="20"/>
              </w:rPr>
            </w:pPr>
            <w:r w:rsidRPr="005516CD">
              <w:rPr>
                <w:rFonts w:asciiTheme="majorHAnsi" w:hAnsiTheme="majorHAnsi" w:cstheme="majorHAnsi"/>
                <w:sz w:val="20"/>
                <w:szCs w:val="20"/>
              </w:rPr>
              <w:t>Estimated extent of occurrence (EOO) - km2: 99000</w:t>
            </w:r>
          </w:p>
          <w:p w14:paraId="1D153BA2" w14:textId="77777777" w:rsidR="00DB73E3" w:rsidRPr="005516CD" w:rsidRDefault="00DB73E3" w:rsidP="006B27F4">
            <w:pPr>
              <w:pStyle w:val="ListParagraph"/>
              <w:numPr>
                <w:ilvl w:val="0"/>
                <w:numId w:val="94"/>
              </w:numPr>
              <w:contextualSpacing/>
              <w:rPr>
                <w:rFonts w:asciiTheme="majorHAnsi" w:hAnsiTheme="majorHAnsi" w:cstheme="majorHAnsi"/>
                <w:sz w:val="20"/>
                <w:szCs w:val="20"/>
              </w:rPr>
            </w:pPr>
            <w:r w:rsidRPr="005516CD">
              <w:rPr>
                <w:rFonts w:asciiTheme="majorHAnsi" w:hAnsiTheme="majorHAnsi" w:cstheme="majorHAnsi"/>
                <w:sz w:val="20"/>
                <w:szCs w:val="20"/>
              </w:rPr>
              <w:t>Continuing decline in extent of occurrence (EOO): Yes</w:t>
            </w:r>
          </w:p>
          <w:p w14:paraId="529D7577" w14:textId="77777777" w:rsidR="00DB73E3" w:rsidRPr="005516CD" w:rsidRDefault="00DB73E3" w:rsidP="006B27F4">
            <w:pPr>
              <w:pStyle w:val="ListParagraph"/>
              <w:numPr>
                <w:ilvl w:val="0"/>
                <w:numId w:val="94"/>
              </w:numPr>
              <w:contextualSpacing/>
              <w:rPr>
                <w:rFonts w:asciiTheme="majorHAnsi" w:hAnsiTheme="majorHAnsi" w:cstheme="majorHAnsi"/>
                <w:sz w:val="20"/>
                <w:szCs w:val="20"/>
              </w:rPr>
            </w:pPr>
            <w:r w:rsidRPr="005516CD">
              <w:rPr>
                <w:rFonts w:asciiTheme="majorHAnsi" w:hAnsiTheme="majorHAnsi" w:cstheme="majorHAnsi"/>
                <w:sz w:val="20"/>
                <w:szCs w:val="20"/>
              </w:rPr>
              <w:t>Number of Locations:</w:t>
            </w:r>
            <w:r w:rsidRPr="005516CD">
              <w:rPr>
                <w:rFonts w:asciiTheme="majorHAnsi" w:hAnsiTheme="majorHAnsi" w:cstheme="majorHAnsi"/>
                <w:sz w:val="20"/>
                <w:szCs w:val="20"/>
              </w:rPr>
              <w:tab/>
              <w:t>11-100</w:t>
            </w:r>
            <w:r w:rsidRPr="005516CD">
              <w:rPr>
                <w:rFonts w:asciiTheme="majorHAnsi" w:hAnsiTheme="majorHAnsi" w:cstheme="majorHAnsi"/>
                <w:sz w:val="20"/>
                <w:szCs w:val="20"/>
              </w:rPr>
              <w:tab/>
            </w:r>
          </w:p>
          <w:p w14:paraId="7DB0383C" w14:textId="77777777" w:rsidR="00DB73E3" w:rsidRPr="005516CD" w:rsidRDefault="00DB73E3" w:rsidP="006B27F4">
            <w:pPr>
              <w:pStyle w:val="ListParagraph"/>
              <w:numPr>
                <w:ilvl w:val="0"/>
                <w:numId w:val="94"/>
              </w:numPr>
              <w:contextualSpacing/>
              <w:rPr>
                <w:rFonts w:asciiTheme="majorHAnsi" w:hAnsiTheme="majorHAnsi" w:cstheme="majorHAnsi"/>
                <w:sz w:val="20"/>
                <w:szCs w:val="20"/>
              </w:rPr>
            </w:pPr>
            <w:r w:rsidRPr="005516CD">
              <w:rPr>
                <w:rFonts w:asciiTheme="majorHAnsi" w:hAnsiTheme="majorHAnsi" w:cstheme="majorHAnsi"/>
                <w:sz w:val="20"/>
                <w:szCs w:val="20"/>
              </w:rPr>
              <w:t>Upper elevation limit (</w:t>
            </w:r>
            <w:proofErr w:type="spellStart"/>
            <w:r w:rsidRPr="005516CD">
              <w:rPr>
                <w:rFonts w:asciiTheme="majorHAnsi" w:hAnsiTheme="majorHAnsi" w:cstheme="majorHAnsi"/>
                <w:sz w:val="20"/>
                <w:szCs w:val="20"/>
              </w:rPr>
              <w:t>metres</w:t>
            </w:r>
            <w:proofErr w:type="spellEnd"/>
            <w:r w:rsidRPr="005516CD">
              <w:rPr>
                <w:rFonts w:asciiTheme="majorHAnsi" w:hAnsiTheme="majorHAnsi" w:cstheme="majorHAnsi"/>
                <w:sz w:val="20"/>
                <w:szCs w:val="20"/>
              </w:rPr>
              <w:t>):</w:t>
            </w:r>
            <w:r w:rsidRPr="005516CD">
              <w:rPr>
                <w:rFonts w:asciiTheme="majorHAnsi" w:hAnsiTheme="majorHAnsi" w:cstheme="majorHAnsi"/>
                <w:sz w:val="20"/>
                <w:szCs w:val="20"/>
              </w:rPr>
              <w:tab/>
              <w:t>1500</w:t>
            </w:r>
          </w:p>
          <w:p w14:paraId="6C6A461D" w14:textId="77777777" w:rsidR="00DB73E3" w:rsidRPr="005516CD" w:rsidRDefault="00DB73E3" w:rsidP="006B27F4">
            <w:pPr>
              <w:pStyle w:val="ListParagraph"/>
              <w:numPr>
                <w:ilvl w:val="0"/>
                <w:numId w:val="94"/>
              </w:numPr>
              <w:spacing w:after="120"/>
              <w:ind w:left="714" w:hanging="357"/>
              <w:rPr>
                <w:rFonts w:asciiTheme="majorHAnsi" w:hAnsiTheme="majorHAnsi" w:cstheme="majorHAnsi"/>
                <w:sz w:val="20"/>
                <w:szCs w:val="20"/>
              </w:rPr>
            </w:pPr>
            <w:r w:rsidRPr="005516CD">
              <w:rPr>
                <w:rFonts w:asciiTheme="majorHAnsi" w:hAnsiTheme="majorHAnsi" w:cstheme="majorHAnsi"/>
                <w:sz w:val="20"/>
                <w:szCs w:val="20"/>
              </w:rPr>
              <w:t>Number of mature individuals:</w:t>
            </w:r>
            <w:r w:rsidRPr="005516CD">
              <w:rPr>
                <w:rFonts w:asciiTheme="majorHAnsi" w:hAnsiTheme="majorHAnsi" w:cstheme="majorHAnsi"/>
                <w:sz w:val="20"/>
                <w:szCs w:val="20"/>
              </w:rPr>
              <w:tab/>
              <w:t>6000-15000</w:t>
            </w:r>
          </w:p>
          <w:p w14:paraId="4410AB2A"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It inhabits a variety of wooded habitats, from arid palm-savannah to pine and montane humid forest, up to and slightly above 1,500 m (Juniper and Parr 1998). It frequently forages in cultivated lands (AOU 1998), such as banana plantations and maize fields (Collar 1997a). Breeding is known from February to May, but prospecting pairs have been seen in mid-April, suggesting that the season may extend further into the year (Collar 1997a, Juniper and Parr 1998, G. M. Kirwan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1998). Nests are situated in tree-cavities, and sometimes dead tree-stumps (Collar 1997a, Juniper and Parr 1998, G. M. Kirwan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1998).</w:t>
            </w:r>
          </w:p>
          <w:p w14:paraId="4E834200"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Major Threat(s):</w:t>
            </w:r>
            <w:r w:rsidRPr="005516CD">
              <w:rPr>
                <w:rFonts w:asciiTheme="majorHAnsi" w:hAnsiTheme="majorHAnsi" w:cstheme="majorHAnsi"/>
                <w:sz w:val="20"/>
                <w:szCs w:val="20"/>
              </w:rPr>
              <w:t xml:space="preserve"> Agricultural conversion and charcoal production have destroyed most suitable habitat. It is also persecuted as a crop-pest, hunted for food and trapped for the local and formerly at least, international cage-bird trade (Juniper and Parr 1998). Trapping of adults and robbing nests for chicks to supply the local pet trade is a particular concern because in some areas most families own a parrot, and these only live a few years before they have to be replaced (G. Woolmer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2005, T. White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2012). Moreover, nest-robbing activities frequently result in destruction of the nest cavity or nest tree, further exacerbating loss of nesting habitat to other causes (T. White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2012).</w:t>
            </w:r>
          </w:p>
          <w:p w14:paraId="1C87C861"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Conservation Actions Underway:</w:t>
            </w:r>
            <w:r w:rsidRPr="005516CD">
              <w:rPr>
                <w:rFonts w:asciiTheme="majorHAnsi" w:hAnsiTheme="majorHAnsi" w:cstheme="majorHAnsi"/>
                <w:sz w:val="20"/>
                <w:szCs w:val="20"/>
              </w:rPr>
              <w:t xml:space="preserve"> CITES Appendix II. An education strategy with community participation has been launched to protect the species (Vásquez et al. 1995). In 1997-1998, 49 captive-reared birds were released and radio-tracked in Parque del Este, Dominican Republic (</w:t>
            </w:r>
            <w:proofErr w:type="spellStart"/>
            <w:r w:rsidRPr="005516CD">
              <w:rPr>
                <w:rFonts w:asciiTheme="majorHAnsi" w:hAnsiTheme="majorHAnsi" w:cstheme="majorHAnsi"/>
                <w:sz w:val="20"/>
                <w:szCs w:val="20"/>
              </w:rPr>
              <w:t>Vilella</w:t>
            </w:r>
            <w:proofErr w:type="spellEnd"/>
            <w:r w:rsidRPr="005516CD">
              <w:rPr>
                <w:rFonts w:asciiTheme="majorHAnsi" w:hAnsiTheme="majorHAnsi" w:cstheme="majorHAnsi"/>
                <w:sz w:val="20"/>
                <w:szCs w:val="20"/>
              </w:rPr>
              <w:t xml:space="preserve"> et al. 1999). The Loma </w:t>
            </w:r>
            <w:proofErr w:type="spellStart"/>
            <w:r w:rsidRPr="005516CD">
              <w:rPr>
                <w:rFonts w:asciiTheme="majorHAnsi" w:hAnsiTheme="majorHAnsi" w:cstheme="majorHAnsi"/>
                <w:sz w:val="20"/>
                <w:szCs w:val="20"/>
              </w:rPr>
              <w:t>Charco</w:t>
            </w:r>
            <w:proofErr w:type="spellEnd"/>
            <w:r w:rsidRPr="005516CD">
              <w:rPr>
                <w:rFonts w:asciiTheme="majorHAnsi" w:hAnsiTheme="majorHAnsi" w:cstheme="majorHAnsi"/>
                <w:sz w:val="20"/>
                <w:szCs w:val="20"/>
              </w:rPr>
              <w:t xml:space="preserve"> Azul Biological Reserve, created in 2009, holds populations of the species. Also, recent public education and outreach work, including some enforcement actions, have taken place in several communities surrounding the Parque Nacional </w:t>
            </w:r>
            <w:proofErr w:type="spellStart"/>
            <w:r w:rsidRPr="005516CD">
              <w:rPr>
                <w:rFonts w:asciiTheme="majorHAnsi" w:hAnsiTheme="majorHAnsi" w:cstheme="majorHAnsi"/>
                <w:sz w:val="20"/>
                <w:szCs w:val="20"/>
              </w:rPr>
              <w:t>Jaragua</w:t>
            </w:r>
            <w:proofErr w:type="spellEnd"/>
            <w:r w:rsidRPr="005516CD">
              <w:rPr>
                <w:rFonts w:asciiTheme="majorHAnsi" w:hAnsiTheme="majorHAnsi" w:cstheme="majorHAnsi"/>
                <w:sz w:val="20"/>
                <w:szCs w:val="20"/>
              </w:rPr>
              <w:t xml:space="preserve">, near the border with Haiti.  In January 2012 there was also a release of 10 captive-reared parrots which had been confiscated as young chicks from nest poachers.  These chicks were reared and rehabilitated at the Parque </w:t>
            </w:r>
            <w:proofErr w:type="spellStart"/>
            <w:r w:rsidRPr="005516CD">
              <w:rPr>
                <w:rFonts w:asciiTheme="majorHAnsi" w:hAnsiTheme="majorHAnsi" w:cstheme="majorHAnsi"/>
                <w:sz w:val="20"/>
                <w:szCs w:val="20"/>
              </w:rPr>
              <w:t>Zoologico</w:t>
            </w:r>
            <w:proofErr w:type="spellEnd"/>
            <w:r w:rsidRPr="005516CD">
              <w:rPr>
                <w:rFonts w:asciiTheme="majorHAnsi" w:hAnsiTheme="majorHAnsi" w:cstheme="majorHAnsi"/>
                <w:sz w:val="20"/>
                <w:szCs w:val="20"/>
              </w:rPr>
              <w:t xml:space="preserve"> Nacional, and successfully released on the grounds of the zoological park (T. White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2012).</w:t>
            </w:r>
          </w:p>
          <w:p w14:paraId="201EE491"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Conservation Actions Proposed:</w:t>
            </w:r>
            <w:r w:rsidRPr="005516CD">
              <w:rPr>
                <w:rFonts w:asciiTheme="majorHAnsi" w:hAnsiTheme="majorHAnsi" w:cstheme="majorHAnsi"/>
                <w:sz w:val="20"/>
                <w:szCs w:val="20"/>
              </w:rPr>
              <w:t xml:space="preserve"> Assess the current size of the population. Establish a comprehensive monitoring programme. Determine the extent of remaining habitat. Determine the impact of the various threats. Enforce the laws and regulations protecting this species and its habitat (Snyder et al. 2000). Encourage better bird-keeping practices to reduce the demand on wild birds and develop a captive breeding programme.  Educate public regarding negative impact of native pet trade in the Dominican Republic (T. White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2012).</w:t>
            </w:r>
          </w:p>
        </w:tc>
      </w:tr>
      <w:tr w:rsidR="00DB73E3" w:rsidRPr="005516CD" w14:paraId="2BAA1CE2" w14:textId="77777777" w:rsidTr="005B0548">
        <w:tc>
          <w:tcPr>
            <w:tcW w:w="1956" w:type="dxa"/>
          </w:tcPr>
          <w:p w14:paraId="37ED67C7"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color w:val="333333"/>
                <w:sz w:val="20"/>
                <w:szCs w:val="20"/>
              </w:rPr>
              <w:t>Corvus</w:t>
            </w:r>
            <w:proofErr w:type="spellEnd"/>
            <w:r w:rsidRPr="005516CD">
              <w:rPr>
                <w:rFonts w:asciiTheme="majorHAnsi" w:eastAsia="Times New Roman" w:hAnsiTheme="majorHAnsi" w:cstheme="majorHAnsi"/>
                <w:color w:val="333333"/>
                <w:sz w:val="20"/>
                <w:szCs w:val="20"/>
              </w:rPr>
              <w:t xml:space="preserve"> </w:t>
            </w:r>
            <w:proofErr w:type="spellStart"/>
            <w:r w:rsidRPr="005516CD">
              <w:rPr>
                <w:rFonts w:asciiTheme="majorHAnsi" w:eastAsia="Times New Roman" w:hAnsiTheme="majorHAnsi" w:cstheme="majorHAnsi"/>
                <w:color w:val="333333"/>
                <w:sz w:val="20"/>
                <w:szCs w:val="20"/>
              </w:rPr>
              <w:t>leucognaphalus</w:t>
            </w:r>
            <w:proofErr w:type="spellEnd"/>
            <w:r w:rsidRPr="005516CD">
              <w:rPr>
                <w:rFonts w:asciiTheme="majorHAnsi" w:eastAsia="Times New Roman" w:hAnsiTheme="majorHAnsi" w:cstheme="majorHAnsi"/>
                <w:color w:val="333333"/>
                <w:sz w:val="20"/>
                <w:szCs w:val="20"/>
              </w:rPr>
              <w:t xml:space="preserve"> (</w:t>
            </w:r>
            <w:hyperlink r:id="rId125" w:tooltip="view white-necked crow profile" w:history="1">
              <w:r w:rsidRPr="005516CD">
                <w:rPr>
                  <w:rFonts w:asciiTheme="majorHAnsi" w:eastAsia="Times New Roman" w:hAnsiTheme="majorHAnsi" w:cstheme="majorHAnsi"/>
                  <w:color w:val="0563C1"/>
                  <w:sz w:val="20"/>
                  <w:szCs w:val="20"/>
                  <w:u w:val="single"/>
                </w:rPr>
                <w:t>White-necked Crow</w:t>
              </w:r>
            </w:hyperlink>
            <w:r w:rsidRPr="005516CD">
              <w:rPr>
                <w:rFonts w:asciiTheme="majorHAnsi" w:eastAsia="Times New Roman" w:hAnsiTheme="majorHAnsi" w:cstheme="majorHAnsi"/>
                <w:color w:val="0563C1"/>
                <w:sz w:val="20"/>
                <w:szCs w:val="20"/>
                <w:u w:val="single"/>
              </w:rPr>
              <w:t>)</w:t>
            </w:r>
          </w:p>
        </w:tc>
        <w:tc>
          <w:tcPr>
            <w:tcW w:w="1495" w:type="dxa"/>
          </w:tcPr>
          <w:p w14:paraId="29B30AC5"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 xml:space="preserve">Vulnerable,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w:t>
            </w:r>
          </w:p>
        </w:tc>
        <w:tc>
          <w:tcPr>
            <w:tcW w:w="10497" w:type="dxa"/>
          </w:tcPr>
          <w:p w14:paraId="54B0FA5C"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 xml:space="preserve">This species has declined rapidly since the early 1980s, and the population and range are now small, fragmented and continuing to decline. It may decline more rapidly in the future owing to the westward spread of Pearly-eyed Thrasher </w:t>
            </w:r>
            <w:proofErr w:type="spellStart"/>
            <w:r w:rsidRPr="005516CD">
              <w:rPr>
                <w:rFonts w:asciiTheme="majorHAnsi" w:hAnsiTheme="majorHAnsi" w:cstheme="majorHAnsi"/>
                <w:sz w:val="20"/>
                <w:szCs w:val="20"/>
              </w:rPr>
              <w:t>Margarops</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fuscata</w:t>
            </w:r>
            <w:proofErr w:type="spellEnd"/>
            <w:r w:rsidRPr="005516CD">
              <w:rPr>
                <w:rFonts w:asciiTheme="majorHAnsi" w:hAnsiTheme="majorHAnsi" w:cstheme="majorHAnsi"/>
                <w:sz w:val="20"/>
                <w:szCs w:val="20"/>
              </w:rPr>
              <w:t xml:space="preserve"> and therefore deserves to be monitored closely. It consequently qualifies as Vulnerable.</w:t>
            </w:r>
            <w:r w:rsidRPr="005516CD">
              <w:rPr>
                <w:rFonts w:asciiTheme="majorHAnsi" w:hAnsiTheme="majorHAnsi" w:cstheme="majorHAnsi"/>
                <w:b/>
                <w:sz w:val="20"/>
                <w:szCs w:val="20"/>
              </w:rPr>
              <w:t xml:space="preserve"> </w:t>
            </w:r>
          </w:p>
          <w:p w14:paraId="2481909D"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27872" behindDoc="1" locked="0" layoutInCell="1" allowOverlap="1" wp14:anchorId="232855AC" wp14:editId="5D6B6C31">
                  <wp:simplePos x="0" y="0"/>
                  <wp:positionH relativeFrom="column">
                    <wp:posOffset>3221990</wp:posOffset>
                  </wp:positionH>
                  <wp:positionV relativeFrom="paragraph">
                    <wp:posOffset>59055</wp:posOffset>
                  </wp:positionV>
                  <wp:extent cx="3368040" cy="1659255"/>
                  <wp:effectExtent l="0" t="0" r="3810" b="0"/>
                  <wp:wrapTight wrapText="bothSides">
                    <wp:wrapPolygon edited="0">
                      <wp:start x="0" y="0"/>
                      <wp:lineTo x="0" y="21327"/>
                      <wp:lineTo x="21502" y="21327"/>
                      <wp:lineTo x="21502" y="0"/>
                      <wp:lineTo x="0" y="0"/>
                    </wp:wrapPolygon>
                  </wp:wrapTight>
                  <wp:docPr id="1073742004" name="Picture 1073742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368040" cy="1659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Corvus</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leucognaphalus</w:t>
            </w:r>
            <w:proofErr w:type="spellEnd"/>
            <w:r w:rsidRPr="005516CD">
              <w:rPr>
                <w:rFonts w:asciiTheme="majorHAnsi" w:hAnsiTheme="majorHAnsi" w:cstheme="majorHAnsi"/>
                <w:sz w:val="20"/>
                <w:szCs w:val="20"/>
              </w:rPr>
              <w:t xml:space="preserve"> is now confined to Haiti, the Dominican Republic and the offshore islands of </w:t>
            </w:r>
            <w:proofErr w:type="spellStart"/>
            <w:r w:rsidRPr="005516CD">
              <w:rPr>
                <w:rFonts w:asciiTheme="majorHAnsi" w:hAnsiTheme="majorHAnsi" w:cstheme="majorHAnsi"/>
                <w:sz w:val="20"/>
                <w:szCs w:val="20"/>
              </w:rPr>
              <w:t>Gonâve</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Saona</w:t>
            </w:r>
            <w:proofErr w:type="spellEnd"/>
            <w:r w:rsidRPr="005516CD">
              <w:rPr>
                <w:rFonts w:asciiTheme="majorHAnsi" w:hAnsiTheme="majorHAnsi" w:cstheme="majorHAnsi"/>
                <w:sz w:val="20"/>
                <w:szCs w:val="20"/>
              </w:rPr>
              <w:t xml:space="preserve"> and </w:t>
            </w:r>
            <w:proofErr w:type="spellStart"/>
            <w:r w:rsidRPr="005516CD">
              <w:rPr>
                <w:rFonts w:asciiTheme="majorHAnsi" w:hAnsiTheme="majorHAnsi" w:cstheme="majorHAnsi"/>
                <w:sz w:val="20"/>
                <w:szCs w:val="20"/>
              </w:rPr>
              <w:t>Vache</w:t>
            </w:r>
            <w:proofErr w:type="spellEnd"/>
            <w:r w:rsidRPr="005516CD">
              <w:rPr>
                <w:rFonts w:asciiTheme="majorHAnsi" w:hAnsiTheme="majorHAnsi" w:cstheme="majorHAnsi"/>
                <w:sz w:val="20"/>
                <w:szCs w:val="20"/>
              </w:rPr>
              <w:t xml:space="preserve"> (Raffaele et al. 1998, T. Brooks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2000). It was once abundant on Puerto Rico (to USA), but was last recorded there in 1977 (R. Rodriguez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2007). On Hispaniola, it was considered locally common even in the early 1980s, but there has been a subsequent population decline (to less than 10,000 individuals) and range contraction. Sizeable populations are now restricted to Los </w:t>
            </w:r>
            <w:proofErr w:type="spellStart"/>
            <w:r w:rsidRPr="005516CD">
              <w:rPr>
                <w:rFonts w:asciiTheme="majorHAnsi" w:hAnsiTheme="majorHAnsi" w:cstheme="majorHAnsi"/>
                <w:sz w:val="20"/>
                <w:szCs w:val="20"/>
              </w:rPr>
              <w:t>Haitises</w:t>
            </w:r>
            <w:proofErr w:type="spellEnd"/>
            <w:r w:rsidRPr="005516CD">
              <w:rPr>
                <w:rFonts w:asciiTheme="majorHAnsi" w:hAnsiTheme="majorHAnsi" w:cstheme="majorHAnsi"/>
                <w:sz w:val="20"/>
                <w:szCs w:val="20"/>
              </w:rPr>
              <w:t xml:space="preserve"> and </w:t>
            </w:r>
            <w:proofErr w:type="spellStart"/>
            <w:r w:rsidRPr="005516CD">
              <w:rPr>
                <w:rFonts w:asciiTheme="majorHAnsi" w:hAnsiTheme="majorHAnsi" w:cstheme="majorHAnsi"/>
                <w:sz w:val="20"/>
                <w:szCs w:val="20"/>
              </w:rPr>
              <w:t>Jaragua</w:t>
            </w:r>
            <w:proofErr w:type="spellEnd"/>
            <w:r w:rsidRPr="005516CD">
              <w:rPr>
                <w:rFonts w:asciiTheme="majorHAnsi" w:hAnsiTheme="majorHAnsi" w:cstheme="majorHAnsi"/>
                <w:sz w:val="20"/>
                <w:szCs w:val="20"/>
              </w:rPr>
              <w:t xml:space="preserve"> National Parks, and the Sierra de </w:t>
            </w:r>
            <w:proofErr w:type="spellStart"/>
            <w:r w:rsidRPr="005516CD">
              <w:rPr>
                <w:rFonts w:asciiTheme="majorHAnsi" w:hAnsiTheme="majorHAnsi" w:cstheme="majorHAnsi"/>
                <w:sz w:val="20"/>
                <w:szCs w:val="20"/>
              </w:rPr>
              <w:t>Baoruco</w:t>
            </w:r>
            <w:proofErr w:type="spellEnd"/>
            <w:r w:rsidRPr="005516CD">
              <w:rPr>
                <w:rFonts w:asciiTheme="majorHAnsi" w:hAnsiTheme="majorHAnsi" w:cstheme="majorHAnsi"/>
                <w:sz w:val="20"/>
                <w:szCs w:val="20"/>
              </w:rPr>
              <w:t xml:space="preserve"> in the Dominican Republic, and it remains quite common on Île-à-</w:t>
            </w:r>
            <w:proofErr w:type="spellStart"/>
            <w:r w:rsidRPr="005516CD">
              <w:rPr>
                <w:rFonts w:asciiTheme="majorHAnsi" w:hAnsiTheme="majorHAnsi" w:cstheme="majorHAnsi"/>
                <w:sz w:val="20"/>
                <w:szCs w:val="20"/>
              </w:rPr>
              <w:t>Vache</w:t>
            </w:r>
            <w:proofErr w:type="spellEnd"/>
            <w:r w:rsidRPr="005516CD">
              <w:rPr>
                <w:rFonts w:asciiTheme="majorHAnsi" w:hAnsiTheme="majorHAnsi" w:cstheme="majorHAnsi"/>
                <w:sz w:val="20"/>
                <w:szCs w:val="20"/>
              </w:rPr>
              <w:t xml:space="preserve"> (T. Brooks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2000). </w:t>
            </w:r>
          </w:p>
          <w:p w14:paraId="19958DCF"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Population:</w:t>
            </w:r>
            <w:r w:rsidRPr="005516CD">
              <w:rPr>
                <w:rFonts w:asciiTheme="majorHAnsi" w:hAnsiTheme="majorHAnsi" w:cstheme="majorHAnsi"/>
                <w:sz w:val="20"/>
                <w:szCs w:val="20"/>
              </w:rPr>
              <w:t xml:space="preserve"> The population is estimated to number 2,500-9,999 individuals based on an assessment of known records, descriptions of abundance and range size. This is consistent with recorded population density estimates for congeners or close relatives with a similar body size, and the fact that only a proportion of the estimated Extent of Occurrence is likely to be occupied. This estimate is equivalent to 1,667-6,666 mature individuals, rounded here to 1,500-7,000 mature individuals.</w:t>
            </w:r>
          </w:p>
          <w:p w14:paraId="196E0F93"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Trend Justification:</w:t>
            </w:r>
            <w:r w:rsidRPr="005516CD">
              <w:rPr>
                <w:rFonts w:asciiTheme="majorHAnsi" w:hAnsiTheme="majorHAnsi" w:cstheme="majorHAnsi"/>
                <w:sz w:val="20"/>
                <w:szCs w:val="20"/>
              </w:rPr>
              <w:t xml:space="preserve">  There are no new data on population trends; however, the species is still suspected to be declining rapidly, and may do so more rapidly in the future owing to the westward spread of the Pearly-eyed Thrasher.</w:t>
            </w:r>
          </w:p>
          <w:p w14:paraId="2E5837EB"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It inhabits lowland and montane wooded regions, where it probably favours old, mature forest (Madge and Burn 1993). It is intolerant of degraded habitats or areas opened up by forest clearance (Madge and Burn 1993). The diet is mainly fruit and seeds, but also vertebrates and large insects (Raffaele et al. 1998). It nests high in large trees or palms between the end of February and May (Madge and Burn 1993, Wiley 2006).</w:t>
            </w:r>
          </w:p>
          <w:p w14:paraId="0966111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Major Threat(s): </w:t>
            </w:r>
            <w:r w:rsidRPr="005516CD">
              <w:rPr>
                <w:rFonts w:asciiTheme="majorHAnsi" w:hAnsiTheme="majorHAnsi" w:cstheme="majorHAnsi"/>
                <w:sz w:val="20"/>
                <w:szCs w:val="20"/>
              </w:rPr>
              <w:t xml:space="preserve">The extinction of this species on Puerto Rico, and the more recent decline on Hispaniola, are attributed to habitat loss for timber and agricultural conversion, and hunting for food and as a crop pest. However, the species tolerates degraded habitat and it is probable that the Pearly-eyed Thrasher </w:t>
            </w:r>
            <w:proofErr w:type="spellStart"/>
            <w:r w:rsidRPr="005516CD">
              <w:rPr>
                <w:rFonts w:asciiTheme="majorHAnsi" w:hAnsiTheme="majorHAnsi" w:cstheme="majorHAnsi"/>
                <w:sz w:val="20"/>
                <w:szCs w:val="20"/>
              </w:rPr>
              <w:t>Margarops</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fuscatus</w:t>
            </w:r>
            <w:proofErr w:type="spellEnd"/>
            <w:r w:rsidRPr="005516CD">
              <w:rPr>
                <w:rFonts w:asciiTheme="majorHAnsi" w:hAnsiTheme="majorHAnsi" w:cstheme="majorHAnsi"/>
                <w:sz w:val="20"/>
                <w:szCs w:val="20"/>
              </w:rPr>
              <w:t xml:space="preserve">, a nest predator which spreads into degraded areas and has recently arrived on Dominican Republic and is established at Los </w:t>
            </w:r>
            <w:proofErr w:type="spellStart"/>
            <w:r w:rsidRPr="005516CD">
              <w:rPr>
                <w:rFonts w:asciiTheme="majorHAnsi" w:hAnsiTheme="majorHAnsi" w:cstheme="majorHAnsi"/>
                <w:sz w:val="20"/>
                <w:szCs w:val="20"/>
              </w:rPr>
              <w:t>Haitises</w:t>
            </w:r>
            <w:proofErr w:type="spellEnd"/>
            <w:r w:rsidRPr="005516CD">
              <w:rPr>
                <w:rFonts w:asciiTheme="majorHAnsi" w:hAnsiTheme="majorHAnsi" w:cstheme="majorHAnsi"/>
                <w:sz w:val="20"/>
                <w:szCs w:val="20"/>
              </w:rPr>
              <w:t xml:space="preserve"> National Park, contributed to the extinction of the crow on Puerto Rico and may accelerate its decline on Hispaniola (Wiley 2006).</w:t>
            </w:r>
          </w:p>
        </w:tc>
      </w:tr>
      <w:tr w:rsidR="00DB73E3" w:rsidRPr="005516CD" w14:paraId="2BD345F2" w14:textId="77777777" w:rsidTr="005B0548">
        <w:tc>
          <w:tcPr>
            <w:tcW w:w="1956" w:type="dxa"/>
          </w:tcPr>
          <w:p w14:paraId="3822E42B"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i/>
                <w:color w:val="333333"/>
                <w:sz w:val="20"/>
                <w:szCs w:val="20"/>
              </w:rPr>
              <w:t>Corvus</w:t>
            </w:r>
            <w:proofErr w:type="spellEnd"/>
            <w:r w:rsidRPr="005516CD">
              <w:rPr>
                <w:rFonts w:asciiTheme="majorHAnsi" w:eastAsia="Times New Roman" w:hAnsiTheme="majorHAnsi" w:cstheme="majorHAnsi"/>
                <w:i/>
                <w:color w:val="333333"/>
                <w:sz w:val="20"/>
                <w:szCs w:val="20"/>
              </w:rPr>
              <w:t xml:space="preserve"> </w:t>
            </w:r>
            <w:proofErr w:type="spellStart"/>
            <w:r w:rsidRPr="005516CD">
              <w:rPr>
                <w:rFonts w:asciiTheme="majorHAnsi" w:eastAsia="Times New Roman" w:hAnsiTheme="majorHAnsi" w:cstheme="majorHAnsi"/>
                <w:i/>
                <w:color w:val="333333"/>
                <w:sz w:val="20"/>
                <w:szCs w:val="20"/>
              </w:rPr>
              <w:t>palmarum</w:t>
            </w:r>
            <w:proofErr w:type="spellEnd"/>
            <w:r w:rsidRPr="005516CD">
              <w:rPr>
                <w:rFonts w:asciiTheme="majorHAnsi" w:eastAsia="Times New Roman" w:hAnsiTheme="majorHAnsi" w:cstheme="majorHAnsi"/>
                <w:color w:val="333333"/>
                <w:sz w:val="20"/>
                <w:szCs w:val="20"/>
              </w:rPr>
              <w:t xml:space="preserve"> (Palm Crow)</w:t>
            </w:r>
          </w:p>
        </w:tc>
        <w:tc>
          <w:tcPr>
            <w:tcW w:w="1495" w:type="dxa"/>
          </w:tcPr>
          <w:p w14:paraId="2D9805D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sz w:val="20"/>
                <w:szCs w:val="20"/>
              </w:rPr>
              <w:t>Near Threatened. Cuba; Dominican Republic; Haiti</w:t>
            </w:r>
          </w:p>
        </w:tc>
        <w:tc>
          <w:tcPr>
            <w:tcW w:w="10497" w:type="dxa"/>
          </w:tcPr>
          <w:p w14:paraId="3C24AFC5"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bCs/>
                <w:sz w:val="20"/>
                <w:szCs w:val="20"/>
              </w:rPr>
              <w:t xml:space="preserve">Justification: </w:t>
            </w:r>
            <w:r w:rsidRPr="005516CD">
              <w:rPr>
                <w:rFonts w:asciiTheme="majorHAnsi" w:hAnsiTheme="majorHAnsi" w:cstheme="majorHAnsi"/>
                <w:sz w:val="20"/>
                <w:szCs w:val="20"/>
              </w:rPr>
              <w:t>This species is classified as Near Threatened because it has a moderately small range in which habitat degradation and hunting are causing it to decline; it almost meets the requirements for listing as threatened under criterion B1ab(</w:t>
            </w:r>
            <w:proofErr w:type="spellStart"/>
            <w:r w:rsidRPr="005516CD">
              <w:rPr>
                <w:rFonts w:asciiTheme="majorHAnsi" w:hAnsiTheme="majorHAnsi" w:cstheme="majorHAnsi"/>
                <w:sz w:val="20"/>
                <w:szCs w:val="20"/>
              </w:rPr>
              <w:t>iii,v</w:t>
            </w:r>
            <w:proofErr w:type="spellEnd"/>
            <w:r w:rsidRPr="005516CD">
              <w:rPr>
                <w:rFonts w:asciiTheme="majorHAnsi" w:hAnsiTheme="majorHAnsi" w:cstheme="majorHAnsi"/>
                <w:sz w:val="20"/>
                <w:szCs w:val="20"/>
              </w:rPr>
              <w:t>).</w:t>
            </w:r>
          </w:p>
          <w:p w14:paraId="6677E7EA"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This species constitutes two races, the nominate was formerly widespread in wooded areas from the lowlands to the mountains on Hispaniola (Garrido et al. 1997); however it has decreased and is now </w:t>
            </w:r>
            <w:r w:rsidRPr="005516CD">
              <w:rPr>
                <w:rFonts w:asciiTheme="majorHAnsi" w:hAnsiTheme="majorHAnsi" w:cstheme="majorHAnsi"/>
                <w:noProof/>
                <w:sz w:val="20"/>
                <w:szCs w:val="20"/>
                <w:lang w:val="en-US" w:eastAsia="en-US"/>
              </w:rPr>
              <w:drawing>
                <wp:anchor distT="0" distB="0" distL="114300" distR="114300" simplePos="0" relativeHeight="251728896" behindDoc="1" locked="0" layoutInCell="1" allowOverlap="1" wp14:anchorId="7D22834A" wp14:editId="3013B8E0">
                  <wp:simplePos x="0" y="0"/>
                  <wp:positionH relativeFrom="column">
                    <wp:posOffset>2152015</wp:posOffset>
                  </wp:positionH>
                  <wp:positionV relativeFrom="paragraph">
                    <wp:posOffset>1270</wp:posOffset>
                  </wp:positionV>
                  <wp:extent cx="4438650" cy="1607820"/>
                  <wp:effectExtent l="0" t="0" r="0" b="0"/>
                  <wp:wrapTight wrapText="bothSides">
                    <wp:wrapPolygon edited="0">
                      <wp:start x="0" y="0"/>
                      <wp:lineTo x="0" y="21242"/>
                      <wp:lineTo x="21507" y="21242"/>
                      <wp:lineTo x="21507" y="0"/>
                      <wp:lineTo x="0" y="0"/>
                    </wp:wrapPolygon>
                  </wp:wrapTight>
                  <wp:docPr id="1073742005" name="Picture 1073742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438650" cy="16078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sz w:val="20"/>
                <w:szCs w:val="20"/>
              </w:rPr>
              <w:t xml:space="preserve">localised although not uncommon (Madge and Burn 1993) in Sierra de </w:t>
            </w:r>
            <w:proofErr w:type="spellStart"/>
            <w:r w:rsidRPr="005516CD">
              <w:rPr>
                <w:rFonts w:asciiTheme="majorHAnsi" w:hAnsiTheme="majorHAnsi" w:cstheme="majorHAnsi"/>
                <w:sz w:val="20"/>
                <w:szCs w:val="20"/>
              </w:rPr>
              <w:t>Baoruco</w:t>
            </w:r>
            <w:proofErr w:type="spellEnd"/>
            <w:r w:rsidRPr="005516CD">
              <w:rPr>
                <w:rFonts w:asciiTheme="majorHAnsi" w:hAnsiTheme="majorHAnsi" w:cstheme="majorHAnsi"/>
                <w:sz w:val="20"/>
                <w:szCs w:val="20"/>
              </w:rPr>
              <w:t xml:space="preserve">, Isla </w:t>
            </w:r>
            <w:proofErr w:type="spellStart"/>
            <w:r w:rsidRPr="005516CD">
              <w:rPr>
                <w:rFonts w:asciiTheme="majorHAnsi" w:hAnsiTheme="majorHAnsi" w:cstheme="majorHAnsi"/>
                <w:sz w:val="20"/>
                <w:szCs w:val="20"/>
              </w:rPr>
              <w:t>Cabritos</w:t>
            </w:r>
            <w:proofErr w:type="spellEnd"/>
            <w:r w:rsidRPr="005516CD">
              <w:rPr>
                <w:rFonts w:asciiTheme="majorHAnsi" w:hAnsiTheme="majorHAnsi" w:cstheme="majorHAnsi"/>
                <w:sz w:val="20"/>
                <w:szCs w:val="20"/>
              </w:rPr>
              <w:t xml:space="preserve"> and the Cordillera Central of the Dominican Republic, and only remains locally common in the Massif de la </w:t>
            </w:r>
            <w:proofErr w:type="spellStart"/>
            <w:r w:rsidRPr="005516CD">
              <w:rPr>
                <w:rFonts w:asciiTheme="majorHAnsi" w:hAnsiTheme="majorHAnsi" w:cstheme="majorHAnsi"/>
                <w:sz w:val="20"/>
                <w:szCs w:val="20"/>
              </w:rPr>
              <w:t>Selle</w:t>
            </w:r>
            <w:proofErr w:type="spellEnd"/>
            <w:r w:rsidRPr="005516CD">
              <w:rPr>
                <w:rFonts w:asciiTheme="majorHAnsi" w:hAnsiTheme="majorHAnsi" w:cstheme="majorHAnsi"/>
                <w:sz w:val="20"/>
                <w:szCs w:val="20"/>
              </w:rPr>
              <w:t xml:space="preserve"> (Madge and Burn 1993, </w:t>
            </w:r>
            <w:proofErr w:type="spellStart"/>
            <w:r w:rsidRPr="005516CD">
              <w:rPr>
                <w:rFonts w:asciiTheme="majorHAnsi" w:hAnsiTheme="majorHAnsi" w:cstheme="majorHAnsi"/>
                <w:sz w:val="20"/>
                <w:szCs w:val="20"/>
              </w:rPr>
              <w:t>Dávalos</w:t>
            </w:r>
            <w:proofErr w:type="spellEnd"/>
            <w:r w:rsidRPr="005516CD">
              <w:rPr>
                <w:rFonts w:asciiTheme="majorHAnsi" w:hAnsiTheme="majorHAnsi" w:cstheme="majorHAnsi"/>
                <w:sz w:val="20"/>
                <w:szCs w:val="20"/>
              </w:rPr>
              <w:t xml:space="preserve"> and Brooks 2001) and in the northern pine belt of Haiti (</w:t>
            </w:r>
            <w:proofErr w:type="spellStart"/>
            <w:r w:rsidRPr="005516CD">
              <w:rPr>
                <w:rFonts w:asciiTheme="majorHAnsi" w:hAnsiTheme="majorHAnsi" w:cstheme="majorHAnsi"/>
                <w:sz w:val="20"/>
                <w:szCs w:val="20"/>
              </w:rPr>
              <w:t>Latta</w:t>
            </w:r>
            <w:proofErr w:type="spellEnd"/>
            <w:r w:rsidRPr="005516CD">
              <w:rPr>
                <w:rFonts w:asciiTheme="majorHAnsi" w:hAnsiTheme="majorHAnsi" w:cstheme="majorHAnsi"/>
                <w:sz w:val="20"/>
                <w:szCs w:val="20"/>
              </w:rPr>
              <w:t xml:space="preserve"> et al. 2006). The Cuban race </w:t>
            </w:r>
            <w:proofErr w:type="spellStart"/>
            <w:r w:rsidRPr="005516CD">
              <w:rPr>
                <w:rFonts w:asciiTheme="majorHAnsi" w:hAnsiTheme="majorHAnsi" w:cstheme="majorHAnsi"/>
                <w:sz w:val="20"/>
                <w:szCs w:val="20"/>
              </w:rPr>
              <w:t>minutus</w:t>
            </w:r>
            <w:proofErr w:type="spellEnd"/>
            <w:r w:rsidRPr="005516CD">
              <w:rPr>
                <w:rFonts w:asciiTheme="majorHAnsi" w:hAnsiTheme="majorHAnsi" w:cstheme="majorHAnsi"/>
                <w:sz w:val="20"/>
                <w:szCs w:val="20"/>
              </w:rPr>
              <w:t xml:space="preserve"> has a very restricted range (Garrido et al. 1997, Garrido and </w:t>
            </w:r>
            <w:proofErr w:type="spellStart"/>
            <w:r w:rsidRPr="005516CD">
              <w:rPr>
                <w:rFonts w:asciiTheme="majorHAnsi" w:hAnsiTheme="majorHAnsi" w:cstheme="majorHAnsi"/>
                <w:sz w:val="20"/>
                <w:szCs w:val="20"/>
              </w:rPr>
              <w:t>Kirkconnell</w:t>
            </w:r>
            <w:proofErr w:type="spellEnd"/>
            <w:r w:rsidRPr="005516CD">
              <w:rPr>
                <w:rFonts w:asciiTheme="majorHAnsi" w:hAnsiTheme="majorHAnsi" w:cstheme="majorHAnsi"/>
                <w:sz w:val="20"/>
                <w:szCs w:val="20"/>
              </w:rPr>
              <w:t xml:space="preserve"> 2000). It is rare and local (Madge and Burn 1993), with the only recent records being from five '</w:t>
            </w:r>
            <w:proofErr w:type="spellStart"/>
            <w:r w:rsidRPr="005516CD">
              <w:rPr>
                <w:rFonts w:asciiTheme="majorHAnsi" w:hAnsiTheme="majorHAnsi" w:cstheme="majorHAnsi"/>
                <w:sz w:val="20"/>
                <w:szCs w:val="20"/>
              </w:rPr>
              <w:t>municipios</w:t>
            </w:r>
            <w:proofErr w:type="spellEnd"/>
            <w:r w:rsidRPr="005516CD">
              <w:rPr>
                <w:rFonts w:asciiTheme="majorHAnsi" w:hAnsiTheme="majorHAnsi" w:cstheme="majorHAnsi"/>
                <w:sz w:val="20"/>
                <w:szCs w:val="20"/>
              </w:rPr>
              <w:t xml:space="preserve">' south of Camagüey city in south-central Camagüey province (P. Regalado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2007). The five municipalities holding the species in Camagüey province in order of importance are: </w:t>
            </w:r>
            <w:proofErr w:type="spellStart"/>
            <w:r w:rsidRPr="005516CD">
              <w:rPr>
                <w:rFonts w:asciiTheme="majorHAnsi" w:hAnsiTheme="majorHAnsi" w:cstheme="majorHAnsi"/>
                <w:sz w:val="20"/>
                <w:szCs w:val="20"/>
              </w:rPr>
              <w:t>Najasa</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Jimaguayú</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Vertientes</w:t>
            </w:r>
            <w:proofErr w:type="spellEnd"/>
            <w:r w:rsidRPr="005516CD">
              <w:rPr>
                <w:rFonts w:asciiTheme="majorHAnsi" w:hAnsiTheme="majorHAnsi" w:cstheme="majorHAnsi"/>
                <w:sz w:val="20"/>
                <w:szCs w:val="20"/>
              </w:rPr>
              <w:t xml:space="preserve">, Santa Cruz and Camagüey city (Regalado in press). In </w:t>
            </w:r>
            <w:proofErr w:type="spellStart"/>
            <w:r w:rsidRPr="005516CD">
              <w:rPr>
                <w:rFonts w:asciiTheme="majorHAnsi" w:hAnsiTheme="majorHAnsi" w:cstheme="majorHAnsi"/>
                <w:sz w:val="20"/>
                <w:szCs w:val="20"/>
              </w:rPr>
              <w:t>Najasa</w:t>
            </w:r>
            <w:proofErr w:type="spellEnd"/>
            <w:r w:rsidRPr="005516CD">
              <w:rPr>
                <w:rFonts w:asciiTheme="majorHAnsi" w:hAnsiTheme="majorHAnsi" w:cstheme="majorHAnsi"/>
                <w:sz w:val="20"/>
                <w:szCs w:val="20"/>
              </w:rPr>
              <w:t xml:space="preserve">, it is locally quite common (Madge and Burn 1993, A. </w:t>
            </w:r>
            <w:proofErr w:type="spellStart"/>
            <w:r w:rsidRPr="005516CD">
              <w:rPr>
                <w:rFonts w:asciiTheme="majorHAnsi" w:hAnsiTheme="majorHAnsi" w:cstheme="majorHAnsi"/>
                <w:sz w:val="20"/>
                <w:szCs w:val="20"/>
              </w:rPr>
              <w:t>Kirkconnell</w:t>
            </w:r>
            <w:proofErr w:type="spellEnd"/>
            <w:r w:rsidRPr="005516CD">
              <w:rPr>
                <w:rFonts w:asciiTheme="majorHAnsi" w:hAnsiTheme="majorHAnsi" w:cstheme="majorHAnsi"/>
                <w:sz w:val="20"/>
                <w:szCs w:val="20"/>
              </w:rPr>
              <w:t xml:space="preserve">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1999), but although it has undergone historic declines (A. Mitchell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1998) surveys suggest that it remained stable between 2000-2006 (P. Regalado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2007). Although it has also been recorded from Pinar del Rio provinces (La </w:t>
            </w:r>
            <w:proofErr w:type="spellStart"/>
            <w:r w:rsidRPr="005516CD">
              <w:rPr>
                <w:rFonts w:asciiTheme="majorHAnsi" w:hAnsiTheme="majorHAnsi" w:cstheme="majorHAnsi"/>
                <w:sz w:val="20"/>
                <w:szCs w:val="20"/>
              </w:rPr>
              <w:t>Manaja</w:t>
            </w:r>
            <w:proofErr w:type="spellEnd"/>
            <w:r w:rsidRPr="005516CD">
              <w:rPr>
                <w:rFonts w:asciiTheme="majorHAnsi" w:hAnsiTheme="majorHAnsi" w:cstheme="majorHAnsi"/>
                <w:sz w:val="20"/>
                <w:szCs w:val="20"/>
              </w:rPr>
              <w:t xml:space="preserve">, Los </w:t>
            </w:r>
            <w:proofErr w:type="spellStart"/>
            <w:r w:rsidRPr="005516CD">
              <w:rPr>
                <w:rFonts w:asciiTheme="majorHAnsi" w:hAnsiTheme="majorHAnsi" w:cstheme="majorHAnsi"/>
                <w:sz w:val="20"/>
                <w:szCs w:val="20"/>
              </w:rPr>
              <w:t>Acostas</w:t>
            </w:r>
            <w:proofErr w:type="spellEnd"/>
            <w:r w:rsidRPr="005516CD">
              <w:rPr>
                <w:rFonts w:asciiTheme="majorHAnsi" w:hAnsiTheme="majorHAnsi" w:cstheme="majorHAnsi"/>
                <w:sz w:val="20"/>
                <w:szCs w:val="20"/>
              </w:rPr>
              <w:t xml:space="preserve"> and El Francisco), there has only been one (undocumented) report from this area within the last 50 years (</w:t>
            </w:r>
            <w:proofErr w:type="spellStart"/>
            <w:r w:rsidRPr="005516CD">
              <w:rPr>
                <w:rFonts w:asciiTheme="majorHAnsi" w:hAnsiTheme="majorHAnsi" w:cstheme="majorHAnsi"/>
                <w:sz w:val="20"/>
                <w:szCs w:val="20"/>
              </w:rPr>
              <w:t>Kirkconnell</w:t>
            </w:r>
            <w:proofErr w:type="spellEnd"/>
            <w:r w:rsidRPr="005516CD">
              <w:rPr>
                <w:rFonts w:asciiTheme="majorHAnsi" w:hAnsiTheme="majorHAnsi" w:cstheme="majorHAnsi"/>
                <w:sz w:val="20"/>
                <w:szCs w:val="20"/>
              </w:rPr>
              <w:t xml:space="preserve"> et al. 2004). The species is historically known from Pan Valley, at </w:t>
            </w:r>
            <w:proofErr w:type="spellStart"/>
            <w:r w:rsidRPr="005516CD">
              <w:rPr>
                <w:rFonts w:asciiTheme="majorHAnsi" w:hAnsiTheme="majorHAnsi" w:cstheme="majorHAnsi"/>
                <w:sz w:val="20"/>
                <w:szCs w:val="20"/>
              </w:rPr>
              <w:t>Guajibon</w:t>
            </w:r>
            <w:proofErr w:type="spellEnd"/>
            <w:r w:rsidRPr="005516CD">
              <w:rPr>
                <w:rFonts w:asciiTheme="majorHAnsi" w:hAnsiTheme="majorHAnsi" w:cstheme="majorHAnsi"/>
                <w:sz w:val="20"/>
                <w:szCs w:val="20"/>
              </w:rPr>
              <w:t xml:space="preserve"> and in the </w:t>
            </w:r>
            <w:proofErr w:type="spellStart"/>
            <w:r w:rsidRPr="005516CD">
              <w:rPr>
                <w:rFonts w:asciiTheme="majorHAnsi" w:hAnsiTheme="majorHAnsi" w:cstheme="majorHAnsi"/>
                <w:sz w:val="20"/>
                <w:szCs w:val="20"/>
              </w:rPr>
              <w:t>Vinales</w:t>
            </w:r>
            <w:proofErr w:type="spellEnd"/>
            <w:r w:rsidRPr="005516CD">
              <w:rPr>
                <w:rFonts w:asciiTheme="majorHAnsi" w:hAnsiTheme="majorHAnsi" w:cstheme="majorHAnsi"/>
                <w:sz w:val="20"/>
                <w:szCs w:val="20"/>
              </w:rPr>
              <w:t xml:space="preserve"> Valley (Pinar del Rio province); </w:t>
            </w:r>
            <w:proofErr w:type="spellStart"/>
            <w:r w:rsidRPr="005516CD">
              <w:rPr>
                <w:rFonts w:asciiTheme="majorHAnsi" w:hAnsiTheme="majorHAnsi" w:cstheme="majorHAnsi"/>
                <w:sz w:val="20"/>
                <w:szCs w:val="20"/>
              </w:rPr>
              <w:t>Yaguaramas</w:t>
            </w:r>
            <w:proofErr w:type="spellEnd"/>
            <w:r w:rsidRPr="005516CD">
              <w:rPr>
                <w:rFonts w:asciiTheme="majorHAnsi" w:hAnsiTheme="majorHAnsi" w:cstheme="majorHAnsi"/>
                <w:sz w:val="20"/>
                <w:szCs w:val="20"/>
              </w:rPr>
              <w:t xml:space="preserve">, near Cienfuegos; in the Trinidad Valley; and in the Sierra de </w:t>
            </w:r>
            <w:proofErr w:type="spellStart"/>
            <w:r w:rsidRPr="005516CD">
              <w:rPr>
                <w:rFonts w:asciiTheme="majorHAnsi" w:hAnsiTheme="majorHAnsi" w:cstheme="majorHAnsi"/>
                <w:sz w:val="20"/>
                <w:szCs w:val="20"/>
              </w:rPr>
              <w:t>Banao</w:t>
            </w:r>
            <w:proofErr w:type="spellEnd"/>
            <w:r w:rsidRPr="005516CD">
              <w:rPr>
                <w:rFonts w:asciiTheme="majorHAnsi" w:hAnsiTheme="majorHAnsi" w:cstheme="majorHAnsi"/>
                <w:sz w:val="20"/>
                <w:szCs w:val="20"/>
              </w:rPr>
              <w:t xml:space="preserve"> (Sancti Spiritus province) (</w:t>
            </w:r>
            <w:proofErr w:type="spellStart"/>
            <w:r w:rsidRPr="005516CD">
              <w:rPr>
                <w:rFonts w:asciiTheme="majorHAnsi" w:hAnsiTheme="majorHAnsi" w:cstheme="majorHAnsi"/>
                <w:sz w:val="20"/>
                <w:szCs w:val="20"/>
              </w:rPr>
              <w:t>Kirkconnell</w:t>
            </w:r>
            <w:proofErr w:type="spellEnd"/>
            <w:r w:rsidRPr="005516CD">
              <w:rPr>
                <w:rFonts w:asciiTheme="majorHAnsi" w:hAnsiTheme="majorHAnsi" w:cstheme="majorHAnsi"/>
                <w:sz w:val="20"/>
                <w:szCs w:val="20"/>
              </w:rPr>
              <w:t xml:space="preserve"> et al. 2004). It is thought to have had a wider distribution in Camagüey province in the past, occupying municipalities in the north: </w:t>
            </w:r>
            <w:proofErr w:type="spellStart"/>
            <w:r w:rsidRPr="005516CD">
              <w:rPr>
                <w:rFonts w:asciiTheme="majorHAnsi" w:hAnsiTheme="majorHAnsi" w:cstheme="majorHAnsi"/>
                <w:sz w:val="20"/>
                <w:szCs w:val="20"/>
              </w:rPr>
              <w:t>Cubitas</w:t>
            </w:r>
            <w:proofErr w:type="spellEnd"/>
            <w:r w:rsidRPr="005516CD">
              <w:rPr>
                <w:rFonts w:asciiTheme="majorHAnsi" w:hAnsiTheme="majorHAnsi" w:cstheme="majorHAnsi"/>
                <w:sz w:val="20"/>
                <w:szCs w:val="20"/>
              </w:rPr>
              <w:t xml:space="preserve">, Minas and </w:t>
            </w:r>
            <w:proofErr w:type="spellStart"/>
            <w:r w:rsidRPr="005516CD">
              <w:rPr>
                <w:rFonts w:asciiTheme="majorHAnsi" w:hAnsiTheme="majorHAnsi" w:cstheme="majorHAnsi"/>
                <w:sz w:val="20"/>
                <w:szCs w:val="20"/>
              </w:rPr>
              <w:t>Guáimaro</w:t>
            </w:r>
            <w:proofErr w:type="spellEnd"/>
            <w:r w:rsidRPr="005516CD">
              <w:rPr>
                <w:rFonts w:asciiTheme="majorHAnsi" w:hAnsiTheme="majorHAnsi" w:cstheme="majorHAnsi"/>
                <w:sz w:val="20"/>
                <w:szCs w:val="20"/>
              </w:rPr>
              <w:t xml:space="preserve"> (Regalado in press).</w:t>
            </w:r>
          </w:p>
          <w:p w14:paraId="2108E390"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On Hispaniola, birds are usually seen in small to medium-sized groups, foraging on the ground or in trees for fruit, seeds, insects, snails and lizards (Raffaele et al. 1998) and, in Haiti, it has even been recorded around local food markets (T. M. Brooks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2000). In Cuba the species is now known only from lowland cultivation with scattered groups of Royal Palms </w:t>
            </w:r>
            <w:proofErr w:type="spellStart"/>
            <w:r w:rsidRPr="005516CD">
              <w:rPr>
                <w:rFonts w:asciiTheme="majorHAnsi" w:hAnsiTheme="majorHAnsi" w:cstheme="majorHAnsi"/>
                <w:sz w:val="20"/>
                <w:szCs w:val="20"/>
              </w:rPr>
              <w:t>Roystonea</w:t>
            </w:r>
            <w:proofErr w:type="spellEnd"/>
            <w:r w:rsidRPr="005516CD">
              <w:rPr>
                <w:rFonts w:asciiTheme="majorHAnsi" w:hAnsiTheme="majorHAnsi" w:cstheme="majorHAnsi"/>
                <w:sz w:val="20"/>
                <w:szCs w:val="20"/>
              </w:rPr>
              <w:t xml:space="preserve"> regia (Madge and Burn 1993, P. Regalado in prep. 2016). Nests are located in stands of tall palms (Madge and Burn 1993), with breeding from March-July (Raffaele et al. 1998, A. </w:t>
            </w:r>
            <w:proofErr w:type="spellStart"/>
            <w:r w:rsidRPr="005516CD">
              <w:rPr>
                <w:rFonts w:asciiTheme="majorHAnsi" w:hAnsiTheme="majorHAnsi" w:cstheme="majorHAnsi"/>
                <w:sz w:val="20"/>
                <w:szCs w:val="20"/>
              </w:rPr>
              <w:t>Kirkconnell</w:t>
            </w:r>
            <w:proofErr w:type="spellEnd"/>
            <w:r w:rsidRPr="005516CD">
              <w:rPr>
                <w:rFonts w:asciiTheme="majorHAnsi" w:hAnsiTheme="majorHAnsi" w:cstheme="majorHAnsi"/>
                <w:sz w:val="20"/>
                <w:szCs w:val="20"/>
              </w:rPr>
              <w:t xml:space="preserve">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1999, Garrido and </w:t>
            </w:r>
            <w:proofErr w:type="spellStart"/>
            <w:r w:rsidRPr="005516CD">
              <w:rPr>
                <w:rFonts w:asciiTheme="majorHAnsi" w:hAnsiTheme="majorHAnsi" w:cstheme="majorHAnsi"/>
                <w:sz w:val="20"/>
                <w:szCs w:val="20"/>
              </w:rPr>
              <w:t>Kirkconnell</w:t>
            </w:r>
            <w:proofErr w:type="spellEnd"/>
            <w:r w:rsidRPr="005516CD">
              <w:rPr>
                <w:rFonts w:asciiTheme="majorHAnsi" w:hAnsiTheme="majorHAnsi" w:cstheme="majorHAnsi"/>
                <w:sz w:val="20"/>
                <w:szCs w:val="20"/>
              </w:rPr>
              <w:t xml:space="preserve"> 2000). It roosts communally, including with C. </w:t>
            </w:r>
            <w:proofErr w:type="spellStart"/>
            <w:r w:rsidRPr="005516CD">
              <w:rPr>
                <w:rFonts w:asciiTheme="majorHAnsi" w:hAnsiTheme="majorHAnsi" w:cstheme="majorHAnsi"/>
                <w:sz w:val="20"/>
                <w:szCs w:val="20"/>
              </w:rPr>
              <w:t>nasicus</w:t>
            </w:r>
            <w:proofErr w:type="spellEnd"/>
            <w:r w:rsidRPr="005516CD">
              <w:rPr>
                <w:rFonts w:asciiTheme="majorHAnsi" w:hAnsiTheme="majorHAnsi" w:cstheme="majorHAnsi"/>
                <w:sz w:val="20"/>
                <w:szCs w:val="20"/>
              </w:rPr>
              <w:t xml:space="preserve"> where the two occur together (P. Regalado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2007).</w:t>
            </w:r>
          </w:p>
          <w:p w14:paraId="6D0EBFD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Major Threat(s):</w:t>
            </w:r>
            <w:r w:rsidRPr="005516CD">
              <w:rPr>
                <w:rFonts w:asciiTheme="majorHAnsi" w:hAnsiTheme="majorHAnsi" w:cstheme="majorHAnsi"/>
                <w:sz w:val="20"/>
                <w:szCs w:val="20"/>
              </w:rPr>
              <w:t xml:space="preserve"> On Hispaniola its decline is a result of widespread forest clearance for agriculture and probably also hunting for food (it is reputedly a delicacy) and sport (Madge and Burn 1993, </w:t>
            </w:r>
            <w:proofErr w:type="spellStart"/>
            <w:r w:rsidRPr="005516CD">
              <w:rPr>
                <w:rFonts w:asciiTheme="majorHAnsi" w:hAnsiTheme="majorHAnsi" w:cstheme="majorHAnsi"/>
                <w:sz w:val="20"/>
                <w:szCs w:val="20"/>
              </w:rPr>
              <w:t>Latta</w:t>
            </w:r>
            <w:proofErr w:type="spellEnd"/>
            <w:r w:rsidRPr="005516CD">
              <w:rPr>
                <w:rFonts w:asciiTheme="majorHAnsi" w:hAnsiTheme="majorHAnsi" w:cstheme="majorHAnsi"/>
                <w:sz w:val="20"/>
                <w:szCs w:val="20"/>
              </w:rPr>
              <w:t xml:space="preserve"> et al. 2006). It is more abundant on Haiti where gun ownership is lower (</w:t>
            </w:r>
            <w:proofErr w:type="spellStart"/>
            <w:r w:rsidRPr="005516CD">
              <w:rPr>
                <w:rFonts w:asciiTheme="majorHAnsi" w:hAnsiTheme="majorHAnsi" w:cstheme="majorHAnsi"/>
                <w:sz w:val="20"/>
                <w:szCs w:val="20"/>
              </w:rPr>
              <w:t>Latta</w:t>
            </w:r>
            <w:proofErr w:type="spellEnd"/>
            <w:r w:rsidRPr="005516CD">
              <w:rPr>
                <w:rFonts w:asciiTheme="majorHAnsi" w:hAnsiTheme="majorHAnsi" w:cstheme="majorHAnsi"/>
                <w:sz w:val="20"/>
                <w:szCs w:val="20"/>
              </w:rPr>
              <w:t xml:space="preserve"> et al. 2006). In Cuba, although partial clearance of dense forest may not have affected the species, the intensive clearance of Royal Palm (in which the species nests) for agriculture and livestock grazing may be causing declines and local extirpation, such as in Camagüey province (P. Regalado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2007). Housing developments have replaced much suitable habitat, and human disturbance of breeding sites and foraging areas may present a further threat (P. Regalado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2007). The species is extremely intolerant of humans and now lives in municipalities with the lowest human population densities (P. Regalado in prep. 2016). Competition with Cuban Crow C. </w:t>
            </w:r>
            <w:proofErr w:type="spellStart"/>
            <w:r w:rsidRPr="005516CD">
              <w:rPr>
                <w:rFonts w:asciiTheme="majorHAnsi" w:hAnsiTheme="majorHAnsi" w:cstheme="majorHAnsi"/>
                <w:sz w:val="20"/>
                <w:szCs w:val="20"/>
              </w:rPr>
              <w:t>nasicus</w:t>
            </w:r>
            <w:proofErr w:type="spellEnd"/>
            <w:r w:rsidRPr="005516CD">
              <w:rPr>
                <w:rFonts w:asciiTheme="majorHAnsi" w:hAnsiTheme="majorHAnsi" w:cstheme="majorHAnsi"/>
                <w:sz w:val="20"/>
                <w:szCs w:val="20"/>
              </w:rPr>
              <w:t xml:space="preserve">, since habitat destruction has resulted in the overlap of their ranges, was thought to be a potential threat (A. Mitchell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1998), but it has since been suggested that the two species occupy different niches (P. Regalado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2007).</w:t>
            </w:r>
          </w:p>
          <w:p w14:paraId="69E25B3E"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Conservation and Research Actions Proposed:</w:t>
            </w:r>
            <w:r w:rsidRPr="005516CD">
              <w:rPr>
                <w:rFonts w:asciiTheme="majorHAnsi" w:hAnsiTheme="majorHAnsi" w:cstheme="majorHAnsi"/>
                <w:sz w:val="20"/>
                <w:szCs w:val="20"/>
              </w:rPr>
              <w:t xml:space="preserve"> Ensure the effective protection of habitat in national parks. Discourage the clearance of native forest for agriculture. Afford protection to the species and enforce this protection to discourage hunting. Monitor the species and investigate the effect of hunting on populations. Support efforts to create an ecological station at </w:t>
            </w:r>
            <w:proofErr w:type="spellStart"/>
            <w:r w:rsidRPr="005516CD">
              <w:rPr>
                <w:rFonts w:asciiTheme="majorHAnsi" w:hAnsiTheme="majorHAnsi" w:cstheme="majorHAnsi"/>
                <w:sz w:val="20"/>
                <w:szCs w:val="20"/>
              </w:rPr>
              <w:t>Najasa</w:t>
            </w:r>
            <w:proofErr w:type="spellEnd"/>
            <w:r w:rsidRPr="005516CD">
              <w:rPr>
                <w:rFonts w:asciiTheme="majorHAnsi" w:hAnsiTheme="majorHAnsi" w:cstheme="majorHAnsi"/>
                <w:sz w:val="20"/>
                <w:szCs w:val="20"/>
              </w:rPr>
              <w:t xml:space="preserve"> in order to implement conservation actions for this and other key species in collaboration with local communities and regional authorities (P. Regalado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2007).</w:t>
            </w:r>
          </w:p>
        </w:tc>
      </w:tr>
      <w:tr w:rsidR="00DB73E3" w:rsidRPr="005516CD" w14:paraId="698827C6" w14:textId="77777777" w:rsidTr="005B0548">
        <w:tc>
          <w:tcPr>
            <w:tcW w:w="1956" w:type="dxa"/>
          </w:tcPr>
          <w:p w14:paraId="632F2862"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color w:val="333333"/>
                <w:sz w:val="20"/>
                <w:szCs w:val="20"/>
              </w:rPr>
              <w:t>Laterallus</w:t>
            </w:r>
            <w:proofErr w:type="spellEnd"/>
            <w:r w:rsidRPr="005516CD">
              <w:rPr>
                <w:rFonts w:asciiTheme="majorHAnsi" w:eastAsia="Times New Roman" w:hAnsiTheme="majorHAnsi" w:cstheme="majorHAnsi"/>
                <w:color w:val="333333"/>
                <w:sz w:val="20"/>
                <w:szCs w:val="20"/>
              </w:rPr>
              <w:t xml:space="preserve"> </w:t>
            </w:r>
            <w:proofErr w:type="spellStart"/>
            <w:r w:rsidRPr="005516CD">
              <w:rPr>
                <w:rFonts w:asciiTheme="majorHAnsi" w:eastAsia="Times New Roman" w:hAnsiTheme="majorHAnsi" w:cstheme="majorHAnsi"/>
                <w:color w:val="333333"/>
                <w:sz w:val="20"/>
                <w:szCs w:val="20"/>
              </w:rPr>
              <w:t>jamaicensis</w:t>
            </w:r>
            <w:proofErr w:type="spellEnd"/>
            <w:r w:rsidRPr="005516CD">
              <w:rPr>
                <w:rFonts w:asciiTheme="majorHAnsi" w:eastAsia="Times New Roman" w:hAnsiTheme="majorHAnsi" w:cstheme="majorHAnsi"/>
                <w:color w:val="0563C1"/>
                <w:sz w:val="20"/>
                <w:szCs w:val="20"/>
                <w:u w:val="single"/>
              </w:rPr>
              <w:t xml:space="preserve"> </w:t>
            </w:r>
            <w:hyperlink r:id="rId127" w:tooltip="view black rail profile" w:history="1">
              <w:r w:rsidRPr="005516CD">
                <w:rPr>
                  <w:rFonts w:asciiTheme="majorHAnsi" w:eastAsia="Times New Roman" w:hAnsiTheme="majorHAnsi" w:cstheme="majorHAnsi"/>
                  <w:color w:val="0563C1"/>
                  <w:sz w:val="20"/>
                  <w:szCs w:val="20"/>
                  <w:u w:val="single"/>
                </w:rPr>
                <w:t>Black Rail</w:t>
              </w:r>
            </w:hyperlink>
          </w:p>
        </w:tc>
        <w:tc>
          <w:tcPr>
            <w:tcW w:w="1495" w:type="dxa"/>
          </w:tcPr>
          <w:p w14:paraId="232D1EC8" w14:textId="77777777" w:rsidR="00DB73E3" w:rsidRPr="005516CD" w:rsidRDefault="00DB73E3" w:rsidP="007B146B">
            <w:pPr>
              <w:rPr>
                <w:rFonts w:asciiTheme="majorHAnsi" w:hAnsiTheme="majorHAnsi" w:cstheme="majorHAnsi"/>
                <w:sz w:val="20"/>
                <w:szCs w:val="20"/>
              </w:rPr>
            </w:pPr>
          </w:p>
        </w:tc>
        <w:tc>
          <w:tcPr>
            <w:tcW w:w="10497" w:type="dxa"/>
          </w:tcPr>
          <w:p w14:paraId="150296B5"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Justification:</w:t>
            </w:r>
            <w:r w:rsidRPr="005516CD">
              <w:rPr>
                <w:rFonts w:asciiTheme="majorHAnsi" w:hAnsiTheme="majorHAnsi" w:cstheme="majorHAnsi"/>
                <w:sz w:val="20"/>
                <w:szCs w:val="20"/>
              </w:rPr>
              <w:t xml:space="preserve"> This poorly known species is believed to be declining at a moderately rapid rate and consequently it is classified as Near Threatened (del </w:t>
            </w:r>
            <w:proofErr w:type="spellStart"/>
            <w:r w:rsidRPr="005516CD">
              <w:rPr>
                <w:rFonts w:asciiTheme="majorHAnsi" w:hAnsiTheme="majorHAnsi" w:cstheme="majorHAnsi"/>
                <w:sz w:val="20"/>
                <w:szCs w:val="20"/>
              </w:rPr>
              <w:t>Hoyo</w:t>
            </w:r>
            <w:proofErr w:type="spellEnd"/>
            <w:r w:rsidRPr="005516CD">
              <w:rPr>
                <w:rFonts w:asciiTheme="majorHAnsi" w:hAnsiTheme="majorHAnsi" w:cstheme="majorHAnsi"/>
                <w:sz w:val="20"/>
                <w:szCs w:val="20"/>
              </w:rPr>
              <w:t xml:space="preserve"> et al. 1996).</w:t>
            </w:r>
          </w:p>
          <w:p w14:paraId="1F5C4C23" w14:textId="65930BA3"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29920" behindDoc="1" locked="0" layoutInCell="1" allowOverlap="1" wp14:anchorId="7FA8411D" wp14:editId="74D6EA45">
                  <wp:simplePos x="0" y="0"/>
                  <wp:positionH relativeFrom="column">
                    <wp:posOffset>5015865</wp:posOffset>
                  </wp:positionH>
                  <wp:positionV relativeFrom="paragraph">
                    <wp:posOffset>50800</wp:posOffset>
                  </wp:positionV>
                  <wp:extent cx="1548765" cy="2065020"/>
                  <wp:effectExtent l="0" t="0" r="0" b="0"/>
                  <wp:wrapTight wrapText="bothSides">
                    <wp:wrapPolygon edited="0">
                      <wp:start x="0" y="0"/>
                      <wp:lineTo x="0" y="21321"/>
                      <wp:lineTo x="21255" y="21321"/>
                      <wp:lineTo x="21255" y="0"/>
                      <wp:lineTo x="0" y="0"/>
                    </wp:wrapPolygon>
                  </wp:wrapTight>
                  <wp:docPr id="1073742006" name="Picture 1073742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8" cstate="print">
                            <a:extLst>
                              <a:ext uri="{28A0092B-C50C-407E-A947-70E740481C1C}">
                                <a14:useLocalDpi xmlns:a14="http://schemas.microsoft.com/office/drawing/2010/main" val="0"/>
                              </a:ext>
                            </a:extLst>
                          </a:blip>
                          <a:srcRect/>
                          <a:stretch>
                            <a:fillRect/>
                          </a:stretch>
                        </pic:blipFill>
                        <pic:spPr bwMode="auto">
                          <a:xfrm>
                            <a:off x="0" y="0"/>
                            <a:ext cx="1548765" cy="20650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i/>
                <w:sz w:val="20"/>
                <w:szCs w:val="20"/>
              </w:rPr>
              <w:t>Laterallus</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jamaicensis</w:t>
            </w:r>
            <w:proofErr w:type="spellEnd"/>
            <w:r w:rsidRPr="005516CD">
              <w:rPr>
                <w:rFonts w:asciiTheme="majorHAnsi" w:hAnsiTheme="majorHAnsi" w:cstheme="majorHAnsi"/>
                <w:sz w:val="20"/>
                <w:szCs w:val="20"/>
              </w:rPr>
              <w:t xml:space="preserve"> is widespread, but very local, in fresh and saline marshes, wet meadows and savanna in North, Central and South America, and the Caribbean. The nominate race occurs on the east coast of USA, with sporadic records inland to Colorado and Minnesota (but no confirmed nesting since 1932). It is very local in north-east Mexico, Belize, Guatemala (only in 1903), Costa Rica, Panama (only in 1963), and has recently been recorded in Honduras (R. Gallardo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2013). It is locally rare in the Dominican Republic and Haiti, but mainly a winter visitor on Jamaica and Cuba. It was probably extirpated as a breeder from Puerto Rico (to USA) by introduced </w:t>
            </w:r>
            <w:r w:rsidR="00C94788" w:rsidRPr="005516CD">
              <w:rPr>
                <w:rFonts w:asciiTheme="majorHAnsi" w:hAnsiTheme="majorHAnsi" w:cstheme="majorHAnsi"/>
                <w:sz w:val="20"/>
                <w:szCs w:val="20"/>
              </w:rPr>
              <w:t>mongooses and</w:t>
            </w:r>
            <w:r w:rsidRPr="005516CD">
              <w:rPr>
                <w:rFonts w:asciiTheme="majorHAnsi" w:hAnsiTheme="majorHAnsi" w:cstheme="majorHAnsi"/>
                <w:sz w:val="20"/>
                <w:szCs w:val="20"/>
              </w:rPr>
              <w:t xml:space="preserve"> is now extremely rare in winter. It is recorded as a non-breeder in the Virgin Islands (to USA). There is one recent record from north Brazil. The race </w:t>
            </w:r>
            <w:proofErr w:type="spellStart"/>
            <w:r w:rsidRPr="005516CD">
              <w:rPr>
                <w:rFonts w:asciiTheme="majorHAnsi" w:hAnsiTheme="majorHAnsi" w:cstheme="majorHAnsi"/>
                <w:sz w:val="20"/>
                <w:szCs w:val="20"/>
              </w:rPr>
              <w:t>coturniculus</w:t>
            </w:r>
            <w:proofErr w:type="spellEnd"/>
            <w:r w:rsidRPr="005516CD">
              <w:rPr>
                <w:rFonts w:asciiTheme="majorHAnsi" w:hAnsiTheme="majorHAnsi" w:cstheme="majorHAnsi"/>
                <w:sz w:val="20"/>
                <w:szCs w:val="20"/>
              </w:rPr>
              <w:t xml:space="preserve"> is very local in south-west USA, irregularly to north-west Mexico (one recent record). The race </w:t>
            </w:r>
            <w:proofErr w:type="spellStart"/>
            <w:r w:rsidRPr="005516CD">
              <w:rPr>
                <w:rFonts w:asciiTheme="majorHAnsi" w:hAnsiTheme="majorHAnsi" w:cstheme="majorHAnsi"/>
                <w:sz w:val="20"/>
                <w:szCs w:val="20"/>
              </w:rPr>
              <w:t>murivagans</w:t>
            </w:r>
            <w:proofErr w:type="spellEnd"/>
            <w:r w:rsidRPr="005516CD">
              <w:rPr>
                <w:rFonts w:asciiTheme="majorHAnsi" w:hAnsiTheme="majorHAnsi" w:cstheme="majorHAnsi"/>
                <w:sz w:val="20"/>
                <w:szCs w:val="20"/>
              </w:rPr>
              <w:t xml:space="preserve"> occurs at few coastal marshes in central Peru. The race </w:t>
            </w:r>
            <w:proofErr w:type="spellStart"/>
            <w:r w:rsidRPr="005516CD">
              <w:rPr>
                <w:rFonts w:asciiTheme="majorHAnsi" w:hAnsiTheme="majorHAnsi" w:cstheme="majorHAnsi"/>
                <w:sz w:val="20"/>
                <w:szCs w:val="20"/>
              </w:rPr>
              <w:t>salinasi</w:t>
            </w:r>
            <w:proofErr w:type="spellEnd"/>
            <w:r w:rsidRPr="005516CD">
              <w:rPr>
                <w:rFonts w:asciiTheme="majorHAnsi" w:hAnsiTheme="majorHAnsi" w:cstheme="majorHAnsi"/>
                <w:sz w:val="20"/>
                <w:szCs w:val="20"/>
              </w:rPr>
              <w:t xml:space="preserve"> is rare and local in south Peru to central Chile and adjacent parts of west-central Argentina. It may occur (doubtful race </w:t>
            </w:r>
            <w:proofErr w:type="spellStart"/>
            <w:r w:rsidRPr="005516CD">
              <w:rPr>
                <w:rFonts w:asciiTheme="majorHAnsi" w:hAnsiTheme="majorHAnsi" w:cstheme="majorHAnsi"/>
                <w:sz w:val="20"/>
                <w:szCs w:val="20"/>
              </w:rPr>
              <w:t>pygmaeus</w:t>
            </w:r>
            <w:proofErr w:type="spellEnd"/>
            <w:r w:rsidRPr="005516CD">
              <w:rPr>
                <w:rFonts w:asciiTheme="majorHAnsi" w:hAnsiTheme="majorHAnsi" w:cstheme="majorHAnsi"/>
                <w:sz w:val="20"/>
                <w:szCs w:val="20"/>
              </w:rPr>
              <w:t>) in the Colombian East Andes. In USA, most populations declined drastically in the 20th century, and the breeding range seriously contracted.</w:t>
            </w:r>
          </w:p>
          <w:p w14:paraId="32E19EE7"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Trend Justification:</w:t>
            </w:r>
            <w:r w:rsidRPr="005516CD">
              <w:rPr>
                <w:rFonts w:asciiTheme="majorHAnsi" w:hAnsiTheme="majorHAnsi" w:cstheme="majorHAnsi"/>
                <w:sz w:val="20"/>
                <w:szCs w:val="20"/>
              </w:rPr>
              <w:t xml:space="preserve">  This poorly known species is facing a number of serious threats which are thought to be causing declines in many parts of its range. The number of recent records suggest it is extremely scarce or no longer occurs in a number of former areas. There is anecdotal information to suggest that declines have occurred along the Atlantic coast of the US for the past 20 years due to loss of coastal breeding habitat, particularly in the Chesapeake bay region where the species is considered to have seen a big decline in occupied sites over the past 10 years (N. Roach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2016). The overall population is suspected to be declining at a moderately rapid rate.</w:t>
            </w:r>
          </w:p>
          <w:p w14:paraId="1499C2A3"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It inhabits fresh and saline marshes, wet meadows and savanna. It occupies marshes with shallower water than other </w:t>
            </w:r>
            <w:proofErr w:type="spellStart"/>
            <w:r w:rsidRPr="005516CD">
              <w:rPr>
                <w:rFonts w:asciiTheme="majorHAnsi" w:hAnsiTheme="majorHAnsi" w:cstheme="majorHAnsi"/>
                <w:sz w:val="20"/>
                <w:szCs w:val="20"/>
              </w:rPr>
              <w:t>rallids</w:t>
            </w:r>
            <w:proofErr w:type="spellEnd"/>
            <w:r w:rsidRPr="005516CD">
              <w:rPr>
                <w:rFonts w:asciiTheme="majorHAnsi" w:hAnsiTheme="majorHAnsi" w:cstheme="majorHAnsi"/>
                <w:sz w:val="20"/>
                <w:szCs w:val="20"/>
              </w:rPr>
              <w:t xml:space="preserve"> and requires some tall vegetation to escape into. Feeds on terrestrial and aquatic invertebrates. Uses impoundments (managed wetlands) to forage and nest (Nicolette &amp; Barrett 2015).</w:t>
            </w:r>
          </w:p>
          <w:p w14:paraId="69CC9BF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Major Threat(s):</w:t>
            </w:r>
            <w:r w:rsidRPr="005516CD">
              <w:rPr>
                <w:rFonts w:asciiTheme="majorHAnsi" w:hAnsiTheme="majorHAnsi" w:cstheme="majorHAnsi"/>
                <w:sz w:val="20"/>
                <w:szCs w:val="20"/>
              </w:rPr>
              <w:t xml:space="preserve"> Continued massive degradation of wetlands habitats give cause for concern. In parts of its range it is threatened by pollution, drought, wildfires, groundwater removal, changing water levels, grazing and agricultural expansion (</w:t>
            </w:r>
            <w:proofErr w:type="spellStart"/>
            <w:r w:rsidRPr="005516CD">
              <w:rPr>
                <w:rFonts w:asciiTheme="majorHAnsi" w:hAnsiTheme="majorHAnsi" w:cstheme="majorHAnsi"/>
                <w:sz w:val="20"/>
                <w:szCs w:val="20"/>
              </w:rPr>
              <w:t>Eddleman</w:t>
            </w:r>
            <w:proofErr w:type="spellEnd"/>
            <w:r w:rsidRPr="005516CD">
              <w:rPr>
                <w:rFonts w:asciiTheme="majorHAnsi" w:hAnsiTheme="majorHAnsi" w:cstheme="majorHAnsi"/>
                <w:sz w:val="20"/>
                <w:szCs w:val="20"/>
              </w:rPr>
              <w:t xml:space="preserve"> et al. 1994, Taylor and van </w:t>
            </w:r>
            <w:proofErr w:type="spellStart"/>
            <w:r w:rsidRPr="005516CD">
              <w:rPr>
                <w:rFonts w:asciiTheme="majorHAnsi" w:hAnsiTheme="majorHAnsi" w:cstheme="majorHAnsi"/>
                <w:sz w:val="20"/>
                <w:szCs w:val="20"/>
              </w:rPr>
              <w:t>Perlo</w:t>
            </w:r>
            <w:proofErr w:type="spellEnd"/>
            <w:r w:rsidRPr="005516CD">
              <w:rPr>
                <w:rFonts w:asciiTheme="majorHAnsi" w:hAnsiTheme="majorHAnsi" w:cstheme="majorHAnsi"/>
                <w:sz w:val="20"/>
                <w:szCs w:val="20"/>
              </w:rPr>
              <w:t xml:space="preserve"> 1998).</w:t>
            </w:r>
          </w:p>
        </w:tc>
      </w:tr>
      <w:tr w:rsidR="00DB73E3" w:rsidRPr="005516CD" w14:paraId="245F5CF8" w14:textId="77777777" w:rsidTr="005B0548">
        <w:tc>
          <w:tcPr>
            <w:tcW w:w="1956" w:type="dxa"/>
          </w:tcPr>
          <w:p w14:paraId="276AB6FD" w14:textId="77777777" w:rsidR="00DB73E3" w:rsidRPr="005516CD" w:rsidRDefault="00DB73E3" w:rsidP="007B146B">
            <w:pPr>
              <w:rPr>
                <w:rFonts w:asciiTheme="majorHAnsi" w:eastAsia="Times New Roman" w:hAnsiTheme="majorHAnsi" w:cstheme="majorHAnsi"/>
                <w:color w:val="333333"/>
                <w:sz w:val="20"/>
                <w:szCs w:val="20"/>
              </w:rPr>
            </w:pPr>
            <w:proofErr w:type="spellStart"/>
            <w:r w:rsidRPr="005516CD">
              <w:rPr>
                <w:rFonts w:asciiTheme="majorHAnsi" w:eastAsia="Times New Roman" w:hAnsiTheme="majorHAnsi" w:cstheme="majorHAnsi"/>
                <w:color w:val="333333"/>
                <w:sz w:val="20"/>
                <w:szCs w:val="20"/>
              </w:rPr>
              <w:t>Patagioenas</w:t>
            </w:r>
            <w:proofErr w:type="spellEnd"/>
            <w:r w:rsidRPr="005516CD">
              <w:rPr>
                <w:rFonts w:asciiTheme="majorHAnsi" w:eastAsia="Times New Roman" w:hAnsiTheme="majorHAnsi" w:cstheme="majorHAnsi"/>
                <w:color w:val="333333"/>
                <w:sz w:val="20"/>
                <w:szCs w:val="20"/>
              </w:rPr>
              <w:t xml:space="preserve"> </w:t>
            </w:r>
            <w:proofErr w:type="spellStart"/>
            <w:r w:rsidRPr="005516CD">
              <w:rPr>
                <w:rFonts w:asciiTheme="majorHAnsi" w:eastAsia="Times New Roman" w:hAnsiTheme="majorHAnsi" w:cstheme="majorHAnsi"/>
                <w:color w:val="333333"/>
                <w:sz w:val="20"/>
                <w:szCs w:val="20"/>
              </w:rPr>
              <w:t>leucocephala</w:t>
            </w:r>
            <w:proofErr w:type="spellEnd"/>
            <w:r w:rsidRPr="005516CD">
              <w:rPr>
                <w:rFonts w:asciiTheme="majorHAnsi" w:eastAsia="Times New Roman" w:hAnsiTheme="majorHAnsi" w:cstheme="majorHAnsi"/>
                <w:color w:val="333333"/>
                <w:sz w:val="20"/>
                <w:szCs w:val="20"/>
              </w:rPr>
              <w:t xml:space="preserve"> (</w:t>
            </w:r>
            <w:hyperlink r:id="rId129" w:tooltip="view white-crowned pigeon profile" w:history="1">
              <w:r w:rsidRPr="005516CD">
                <w:rPr>
                  <w:rFonts w:asciiTheme="majorHAnsi" w:eastAsia="Times New Roman" w:hAnsiTheme="majorHAnsi" w:cstheme="majorHAnsi"/>
                  <w:color w:val="0563C1"/>
                  <w:sz w:val="20"/>
                  <w:szCs w:val="20"/>
                  <w:u w:val="single"/>
                </w:rPr>
                <w:t>White-crowned Pigeon</w:t>
              </w:r>
            </w:hyperlink>
            <w:r w:rsidRPr="005516CD">
              <w:rPr>
                <w:rFonts w:asciiTheme="majorHAnsi" w:eastAsia="Times New Roman" w:hAnsiTheme="majorHAnsi" w:cstheme="majorHAnsi"/>
                <w:color w:val="0563C1"/>
                <w:sz w:val="20"/>
                <w:szCs w:val="20"/>
                <w:u w:val="single"/>
              </w:rPr>
              <w:t>)</w:t>
            </w:r>
          </w:p>
        </w:tc>
        <w:tc>
          <w:tcPr>
            <w:tcW w:w="1495" w:type="dxa"/>
          </w:tcPr>
          <w:p w14:paraId="43FADC81"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Near Threatened</w:t>
            </w:r>
          </w:p>
        </w:tc>
        <w:tc>
          <w:tcPr>
            <w:tcW w:w="10497" w:type="dxa"/>
          </w:tcPr>
          <w:p w14:paraId="09EA1D7A"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This species is classified as Near Threatened because although it has quite a wide range, it is restricted to low-lying areas where deforestation and habitat degradation are most intense. Together with hunting pressure, this is thought to be causing a moderately rapid population reduction.</w:t>
            </w:r>
            <w:r w:rsidRPr="005516CD">
              <w:rPr>
                <w:rFonts w:asciiTheme="majorHAnsi" w:hAnsiTheme="majorHAnsi" w:cstheme="majorHAnsi"/>
                <w:b/>
                <w:sz w:val="20"/>
                <w:szCs w:val="20"/>
              </w:rPr>
              <w:t xml:space="preserve"> </w:t>
            </w:r>
          </w:p>
          <w:p w14:paraId="7579984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30944" behindDoc="1" locked="0" layoutInCell="1" allowOverlap="1" wp14:anchorId="73E65944" wp14:editId="66FB7DD0">
                  <wp:simplePos x="0" y="0"/>
                  <wp:positionH relativeFrom="column">
                    <wp:posOffset>3116580</wp:posOffset>
                  </wp:positionH>
                  <wp:positionV relativeFrom="paragraph">
                    <wp:posOffset>42545</wp:posOffset>
                  </wp:positionV>
                  <wp:extent cx="3398520" cy="1843405"/>
                  <wp:effectExtent l="0" t="0" r="0" b="4445"/>
                  <wp:wrapTight wrapText="bothSides">
                    <wp:wrapPolygon edited="0">
                      <wp:start x="0" y="0"/>
                      <wp:lineTo x="0" y="21429"/>
                      <wp:lineTo x="21430" y="21429"/>
                      <wp:lineTo x="21430" y="0"/>
                      <wp:lineTo x="0" y="0"/>
                    </wp:wrapPolygon>
                  </wp:wrapTight>
                  <wp:docPr id="1073742007" name="Picture 107374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3398520" cy="18434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i/>
                <w:sz w:val="20"/>
                <w:szCs w:val="20"/>
              </w:rPr>
              <w:t>Patagioenas</w:t>
            </w:r>
            <w:proofErr w:type="spellEnd"/>
            <w:r w:rsidRPr="005516CD">
              <w:rPr>
                <w:rFonts w:asciiTheme="majorHAnsi" w:hAnsiTheme="majorHAnsi" w:cstheme="majorHAnsi"/>
                <w:i/>
                <w:sz w:val="20"/>
                <w:szCs w:val="20"/>
              </w:rPr>
              <w:t xml:space="preserve"> </w:t>
            </w:r>
            <w:proofErr w:type="spellStart"/>
            <w:r w:rsidRPr="005516CD">
              <w:rPr>
                <w:rFonts w:asciiTheme="majorHAnsi" w:hAnsiTheme="majorHAnsi" w:cstheme="majorHAnsi"/>
                <w:i/>
                <w:sz w:val="20"/>
                <w:szCs w:val="20"/>
              </w:rPr>
              <w:t>leucocephala</w:t>
            </w:r>
            <w:proofErr w:type="spellEnd"/>
            <w:r w:rsidRPr="005516CD">
              <w:rPr>
                <w:rFonts w:asciiTheme="majorHAnsi" w:hAnsiTheme="majorHAnsi" w:cstheme="majorHAnsi"/>
                <w:sz w:val="20"/>
                <w:szCs w:val="20"/>
              </w:rPr>
              <w:t xml:space="preserve"> is found primarily in the Bahamas, Cuba, Jamaica and Antigua. It breeds in smaller numbers in Hispaniola (Dominican Republic and Haiti), Puerto Rico, the Virgin Islands (to USA), the Virgin Islands (to UK), San Andres (Colombia), Isla de Providencia and the Corn Islands (Nicaragua), Cayman Islands, Anguilla (to UK), St Barthelemy (to France), and more rarely on St Martin and Guadeloupe (to France) (Bancroft and Bowman 2001). Populations extend west along the Caribbean coasts of Yucatan Mexico, Belize, Honduras and north-west Panama. It reaches the USA only in the Florida Keys and the southern tip of mainland Florida (del </w:t>
            </w:r>
            <w:proofErr w:type="spellStart"/>
            <w:r w:rsidRPr="005516CD">
              <w:rPr>
                <w:rFonts w:asciiTheme="majorHAnsi" w:hAnsiTheme="majorHAnsi" w:cstheme="majorHAnsi"/>
                <w:sz w:val="20"/>
                <w:szCs w:val="20"/>
              </w:rPr>
              <w:t>Hoyo</w:t>
            </w:r>
            <w:proofErr w:type="spellEnd"/>
            <w:r w:rsidRPr="005516CD">
              <w:rPr>
                <w:rFonts w:asciiTheme="majorHAnsi" w:hAnsiTheme="majorHAnsi" w:cstheme="majorHAnsi"/>
                <w:sz w:val="20"/>
                <w:szCs w:val="20"/>
              </w:rPr>
              <w:t xml:space="preserve"> et al. 1997, Bancroft and Bowman 2001). </w:t>
            </w:r>
          </w:p>
          <w:p w14:paraId="54D3B628"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In Florida, the Bahamas, the coastal Yucatan islets and the Lesser Antilles it requires isolated offshore mangrove islets with limited disturbance for breeding, for feeding it flies to humid evergreen or semi-deciduous hardwood forests on adjacent mainland areas (Bancroft and Bowman 2001, Gibbs et al. 2001). Elsewhere it generally occupies lower-lying forest habitats (Gibbs et al. 2001).</w:t>
            </w:r>
          </w:p>
          <w:p w14:paraId="58FFF8C4"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Major Threat(s):</w:t>
            </w:r>
            <w:r w:rsidRPr="005516CD">
              <w:rPr>
                <w:rFonts w:asciiTheme="majorHAnsi" w:hAnsiTheme="majorHAnsi" w:cstheme="majorHAnsi"/>
                <w:sz w:val="20"/>
                <w:szCs w:val="20"/>
              </w:rPr>
              <w:t xml:space="preserve"> Degradation of foraging habitat is a threat to this species (del </w:t>
            </w:r>
            <w:proofErr w:type="spellStart"/>
            <w:r w:rsidRPr="005516CD">
              <w:rPr>
                <w:rFonts w:asciiTheme="majorHAnsi" w:hAnsiTheme="majorHAnsi" w:cstheme="majorHAnsi"/>
                <w:sz w:val="20"/>
                <w:szCs w:val="20"/>
              </w:rPr>
              <w:t>Hoyo</w:t>
            </w:r>
            <w:proofErr w:type="spellEnd"/>
            <w:r w:rsidRPr="005516CD">
              <w:rPr>
                <w:rFonts w:asciiTheme="majorHAnsi" w:hAnsiTheme="majorHAnsi" w:cstheme="majorHAnsi"/>
                <w:sz w:val="20"/>
                <w:szCs w:val="20"/>
              </w:rPr>
              <w:t xml:space="preserve"> et al. 1997). In Florida removal of poisonwood </w:t>
            </w:r>
            <w:proofErr w:type="spellStart"/>
            <w:r w:rsidRPr="005516CD">
              <w:rPr>
                <w:rFonts w:asciiTheme="majorHAnsi" w:hAnsiTheme="majorHAnsi" w:cstheme="majorHAnsi"/>
                <w:sz w:val="20"/>
                <w:szCs w:val="20"/>
              </w:rPr>
              <w:t>Metopium</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toxiferum</w:t>
            </w:r>
            <w:proofErr w:type="spellEnd"/>
            <w:r w:rsidRPr="005516CD">
              <w:rPr>
                <w:rFonts w:asciiTheme="majorHAnsi" w:hAnsiTheme="majorHAnsi" w:cstheme="majorHAnsi"/>
                <w:sz w:val="20"/>
                <w:szCs w:val="20"/>
              </w:rPr>
              <w:t xml:space="preserve">, which can cause severe human dermatitis, affects the species as it feeds on the poisonwood's fruit (Bancroft and Bowman 2001, Gibbs et al. 2001). P. </w:t>
            </w:r>
            <w:proofErr w:type="spellStart"/>
            <w:r w:rsidRPr="005516CD">
              <w:rPr>
                <w:rFonts w:asciiTheme="majorHAnsi" w:hAnsiTheme="majorHAnsi" w:cstheme="majorHAnsi"/>
                <w:sz w:val="20"/>
                <w:szCs w:val="20"/>
              </w:rPr>
              <w:t>leucocephala</w:t>
            </w:r>
            <w:proofErr w:type="spellEnd"/>
            <w:r w:rsidRPr="005516CD">
              <w:rPr>
                <w:rFonts w:asciiTheme="majorHAnsi" w:hAnsiTheme="majorHAnsi" w:cstheme="majorHAnsi"/>
                <w:sz w:val="20"/>
                <w:szCs w:val="20"/>
              </w:rPr>
              <w:t xml:space="preserve"> is an important game species through much of its range, and although hunting regulations in the Bahamas have been changed, illegal hunting seems to be a threat (Bancroft and Bowman 2001). Collision with man-made objects is a major source of mortality in Florida, and pesticide </w:t>
            </w:r>
            <w:proofErr w:type="gramStart"/>
            <w:r w:rsidRPr="005516CD">
              <w:rPr>
                <w:rFonts w:asciiTheme="majorHAnsi" w:hAnsiTheme="majorHAnsi" w:cstheme="majorHAnsi"/>
                <w:sz w:val="20"/>
                <w:szCs w:val="20"/>
              </w:rPr>
              <w:t>use</w:t>
            </w:r>
            <w:proofErr w:type="gramEnd"/>
            <w:r w:rsidRPr="005516CD">
              <w:rPr>
                <w:rFonts w:asciiTheme="majorHAnsi" w:hAnsiTheme="majorHAnsi" w:cstheme="majorHAnsi"/>
                <w:sz w:val="20"/>
                <w:szCs w:val="20"/>
              </w:rPr>
              <w:t xml:space="preserve"> and human impact may also have detrimental effects (Bancroft and Bowman 2001).</w:t>
            </w:r>
          </w:p>
          <w:p w14:paraId="6EF7680B"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Conservation Actions Proposed:</w:t>
            </w:r>
            <w:r w:rsidRPr="005516CD">
              <w:rPr>
                <w:rFonts w:asciiTheme="majorHAnsi" w:hAnsiTheme="majorHAnsi" w:cstheme="majorHAnsi"/>
                <w:sz w:val="20"/>
                <w:szCs w:val="20"/>
              </w:rPr>
              <w:t xml:space="preserve"> Protect important breeding islets. Ensure protection of low-lying forests on larger islands where the species forages. Discourage removal of poisonwood where possible in Florida. Enforce hunting laws. Take measures to reduce collision with man-made objects. Educational programs that encourage people to plant native, fruit-producing trees in the Florida Keys should be enacted. Investigate the effects of pesticide use on the species. Monitor key populations throughout the species range.</w:t>
            </w:r>
          </w:p>
        </w:tc>
      </w:tr>
      <w:tr w:rsidR="00DB73E3" w:rsidRPr="005516CD" w14:paraId="0F380B08" w14:textId="77777777" w:rsidTr="005B0548">
        <w:tc>
          <w:tcPr>
            <w:tcW w:w="1956" w:type="dxa"/>
          </w:tcPr>
          <w:p w14:paraId="797E4A04" w14:textId="77777777" w:rsidR="00DB73E3" w:rsidRPr="005516CD" w:rsidRDefault="00DB73E3" w:rsidP="007B146B">
            <w:pPr>
              <w:rPr>
                <w:rFonts w:asciiTheme="majorHAnsi" w:hAnsiTheme="majorHAnsi" w:cstheme="majorHAnsi"/>
                <w:sz w:val="20"/>
                <w:szCs w:val="20"/>
                <w:lang w:val="uz-Cyrl-UZ"/>
              </w:rPr>
            </w:pPr>
            <w:r w:rsidRPr="005516CD">
              <w:rPr>
                <w:rFonts w:asciiTheme="majorHAnsi" w:hAnsiTheme="majorHAnsi" w:cstheme="majorHAnsi"/>
                <w:i/>
                <w:sz w:val="20"/>
                <w:szCs w:val="20"/>
                <w:lang w:val="uz-Cyrl-UZ"/>
              </w:rPr>
              <w:t>Psittacara chloropterus</w:t>
            </w:r>
            <w:r w:rsidRPr="005516CD">
              <w:rPr>
                <w:rFonts w:asciiTheme="majorHAnsi" w:hAnsiTheme="majorHAnsi" w:cstheme="majorHAnsi"/>
                <w:sz w:val="20"/>
                <w:szCs w:val="20"/>
                <w:lang w:val="uz-Cyrl-UZ"/>
              </w:rPr>
              <w:t xml:space="preserve"> (Hispaniolan Parakeet) = Aratinga chloroptera</w:t>
            </w:r>
          </w:p>
        </w:tc>
        <w:tc>
          <w:tcPr>
            <w:tcW w:w="1495" w:type="dxa"/>
          </w:tcPr>
          <w:p w14:paraId="7CEA76EE"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Vulnerable: Hispaniola endemic</w:t>
            </w:r>
          </w:p>
        </w:tc>
        <w:tc>
          <w:tcPr>
            <w:tcW w:w="10497" w:type="dxa"/>
          </w:tcPr>
          <w:p w14:paraId="49E195DA"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sz w:val="20"/>
                <w:szCs w:val="20"/>
              </w:rPr>
              <w:t>This species has a small and fragmented range and population, which continues to decline as a result of habitat loss and persecution. It consequently qualifies as Vulnerable.</w:t>
            </w:r>
          </w:p>
          <w:p w14:paraId="6E3E9CBE"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noProof/>
                <w:sz w:val="20"/>
                <w:szCs w:val="20"/>
                <w:lang w:val="en-US" w:eastAsia="en-US"/>
              </w:rPr>
              <w:drawing>
                <wp:anchor distT="0" distB="0" distL="114300" distR="114300" simplePos="0" relativeHeight="251714560" behindDoc="1" locked="0" layoutInCell="1" allowOverlap="1" wp14:anchorId="591674FE" wp14:editId="4D932BB5">
                  <wp:simplePos x="0" y="0"/>
                  <wp:positionH relativeFrom="column">
                    <wp:posOffset>3188335</wp:posOffset>
                  </wp:positionH>
                  <wp:positionV relativeFrom="paragraph">
                    <wp:posOffset>91440</wp:posOffset>
                  </wp:positionV>
                  <wp:extent cx="3351530" cy="1858010"/>
                  <wp:effectExtent l="0" t="0" r="1270" b="8890"/>
                  <wp:wrapTight wrapText="bothSides">
                    <wp:wrapPolygon edited="0">
                      <wp:start x="0" y="0"/>
                      <wp:lineTo x="0" y="21482"/>
                      <wp:lineTo x="21485" y="21482"/>
                      <wp:lineTo x="21485" y="0"/>
                      <wp:lineTo x="0" y="0"/>
                    </wp:wrapPolygon>
                  </wp:wrapTight>
                  <wp:docPr id="1073742008" name="Picture 1073742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351530" cy="1858010"/>
                          </a:xfrm>
                          <a:prstGeom prst="rect">
                            <a:avLst/>
                          </a:prstGeom>
                          <a:noFill/>
                          <a:ln>
                            <a:noFill/>
                          </a:ln>
                        </pic:spPr>
                      </pic:pic>
                    </a:graphicData>
                  </a:graphic>
                </wp:anchor>
              </w:drawing>
            </w:r>
            <w:r w:rsidRPr="005516CD">
              <w:rPr>
                <w:rFonts w:asciiTheme="majorHAnsi" w:hAnsiTheme="majorHAnsi" w:cstheme="majorHAnsi"/>
                <w:b/>
                <w:sz w:val="20"/>
                <w:szCs w:val="20"/>
              </w:rPr>
              <w:t xml:space="preserve">Geographic range: </w:t>
            </w:r>
            <w:proofErr w:type="spellStart"/>
            <w:r w:rsidRPr="005516CD">
              <w:rPr>
                <w:rFonts w:asciiTheme="majorHAnsi" w:hAnsiTheme="majorHAnsi" w:cstheme="majorHAnsi"/>
                <w:sz w:val="20"/>
                <w:szCs w:val="20"/>
              </w:rPr>
              <w:t>Psittacara</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chloroptera</w:t>
            </w:r>
            <w:proofErr w:type="spellEnd"/>
            <w:r w:rsidRPr="005516CD">
              <w:rPr>
                <w:rFonts w:asciiTheme="majorHAnsi" w:hAnsiTheme="majorHAnsi" w:cstheme="majorHAnsi"/>
                <w:sz w:val="20"/>
                <w:szCs w:val="20"/>
              </w:rPr>
              <w:t xml:space="preserve"> occurs in Haiti and the Dominican Republic It is now generally rare with isolated populations in the Cordillera Central, Sierra de </w:t>
            </w:r>
            <w:proofErr w:type="spellStart"/>
            <w:r w:rsidRPr="005516CD">
              <w:rPr>
                <w:rFonts w:asciiTheme="majorHAnsi" w:hAnsiTheme="majorHAnsi" w:cstheme="majorHAnsi"/>
                <w:sz w:val="20"/>
                <w:szCs w:val="20"/>
              </w:rPr>
              <w:t>Baoruco</w:t>
            </w:r>
            <w:proofErr w:type="spellEnd"/>
            <w:r w:rsidRPr="005516CD">
              <w:rPr>
                <w:rFonts w:asciiTheme="majorHAnsi" w:hAnsiTheme="majorHAnsi" w:cstheme="majorHAnsi"/>
                <w:sz w:val="20"/>
                <w:szCs w:val="20"/>
              </w:rPr>
              <w:t xml:space="preserve"> and the suburbs of Santo Domingo, Dominican Republic (S. </w:t>
            </w:r>
            <w:proofErr w:type="spellStart"/>
            <w:r w:rsidRPr="005516CD">
              <w:rPr>
                <w:rFonts w:asciiTheme="majorHAnsi" w:hAnsiTheme="majorHAnsi" w:cstheme="majorHAnsi"/>
                <w:sz w:val="20"/>
                <w:szCs w:val="20"/>
              </w:rPr>
              <w:t>Latta</w:t>
            </w:r>
            <w:proofErr w:type="spellEnd"/>
            <w:r w:rsidRPr="005516CD">
              <w:rPr>
                <w:rFonts w:asciiTheme="majorHAnsi" w:hAnsiTheme="majorHAnsi" w:cstheme="majorHAnsi"/>
                <w:sz w:val="20"/>
                <w:szCs w:val="20"/>
              </w:rPr>
              <w:t xml:space="preserve">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xml:space="preserve">. 1998). Its status in Haiti is unclear. It has been suggested that it may be extinct in Haiti (Juniper and Parr 1998), and the species was not recorded in the previously inhabited La </w:t>
            </w:r>
            <w:proofErr w:type="spellStart"/>
            <w:r w:rsidRPr="005516CD">
              <w:rPr>
                <w:rFonts w:asciiTheme="majorHAnsi" w:hAnsiTheme="majorHAnsi" w:cstheme="majorHAnsi"/>
                <w:sz w:val="20"/>
                <w:szCs w:val="20"/>
              </w:rPr>
              <w:t>Viste</w:t>
            </w:r>
            <w:proofErr w:type="spellEnd"/>
            <w:r w:rsidRPr="005516CD">
              <w:rPr>
                <w:rFonts w:asciiTheme="majorHAnsi" w:hAnsiTheme="majorHAnsi" w:cstheme="majorHAnsi"/>
                <w:sz w:val="20"/>
                <w:szCs w:val="20"/>
              </w:rPr>
              <w:t xml:space="preserve"> National Park in 2000 (</w:t>
            </w:r>
            <w:proofErr w:type="spellStart"/>
            <w:r w:rsidRPr="005516CD">
              <w:rPr>
                <w:rFonts w:asciiTheme="majorHAnsi" w:hAnsiTheme="majorHAnsi" w:cstheme="majorHAnsi"/>
                <w:sz w:val="20"/>
                <w:szCs w:val="20"/>
              </w:rPr>
              <w:t>Dávalos</w:t>
            </w:r>
            <w:proofErr w:type="spellEnd"/>
            <w:r w:rsidRPr="005516CD">
              <w:rPr>
                <w:rFonts w:asciiTheme="majorHAnsi" w:hAnsiTheme="majorHAnsi" w:cstheme="majorHAnsi"/>
                <w:sz w:val="20"/>
                <w:szCs w:val="20"/>
              </w:rPr>
              <w:t xml:space="preserve"> and Brooks 2001), but there are also claims that it is common in the Massif de la </w:t>
            </w:r>
            <w:proofErr w:type="spellStart"/>
            <w:r w:rsidRPr="005516CD">
              <w:rPr>
                <w:rFonts w:asciiTheme="majorHAnsi" w:hAnsiTheme="majorHAnsi" w:cstheme="majorHAnsi"/>
                <w:sz w:val="20"/>
                <w:szCs w:val="20"/>
              </w:rPr>
              <w:t>Selle</w:t>
            </w:r>
            <w:proofErr w:type="spellEnd"/>
            <w:r w:rsidRPr="005516CD">
              <w:rPr>
                <w:rFonts w:asciiTheme="majorHAnsi" w:hAnsiTheme="majorHAnsi" w:cstheme="majorHAnsi"/>
                <w:sz w:val="20"/>
                <w:szCs w:val="20"/>
              </w:rPr>
              <w:t xml:space="preserve"> and la </w:t>
            </w:r>
            <w:proofErr w:type="spellStart"/>
            <w:r w:rsidRPr="005516CD">
              <w:rPr>
                <w:rFonts w:asciiTheme="majorHAnsi" w:hAnsiTheme="majorHAnsi" w:cstheme="majorHAnsi"/>
                <w:sz w:val="20"/>
                <w:szCs w:val="20"/>
              </w:rPr>
              <w:t>Citadelle</w:t>
            </w:r>
            <w:proofErr w:type="spellEnd"/>
            <w:r w:rsidRPr="005516CD">
              <w:rPr>
                <w:rFonts w:asciiTheme="majorHAnsi" w:hAnsiTheme="majorHAnsi" w:cstheme="majorHAnsi"/>
                <w:sz w:val="20"/>
                <w:szCs w:val="20"/>
              </w:rPr>
              <w:t xml:space="preserve"> area of the Massif du Nord (Raffaele et al. 1998).</w:t>
            </w:r>
          </w:p>
          <w:p w14:paraId="731008FA" w14:textId="77777777" w:rsidR="00DB73E3" w:rsidRPr="005516CD" w:rsidRDefault="00DB73E3" w:rsidP="006B27F4">
            <w:pPr>
              <w:pStyle w:val="ListParagraph"/>
              <w:numPr>
                <w:ilvl w:val="0"/>
                <w:numId w:val="94"/>
              </w:numPr>
              <w:contextualSpacing/>
              <w:rPr>
                <w:rFonts w:asciiTheme="majorHAnsi" w:hAnsiTheme="majorHAnsi" w:cstheme="majorHAnsi"/>
                <w:sz w:val="20"/>
                <w:szCs w:val="20"/>
              </w:rPr>
            </w:pPr>
            <w:r w:rsidRPr="005516CD">
              <w:rPr>
                <w:rFonts w:asciiTheme="majorHAnsi" w:hAnsiTheme="majorHAnsi" w:cstheme="majorHAnsi"/>
                <w:sz w:val="20"/>
                <w:szCs w:val="20"/>
              </w:rPr>
              <w:t>Number of mature individuals: 1500-7000</w:t>
            </w:r>
            <w:r w:rsidRPr="005516CD">
              <w:rPr>
                <w:rFonts w:asciiTheme="majorHAnsi" w:hAnsiTheme="majorHAnsi" w:cstheme="majorHAnsi"/>
                <w:sz w:val="20"/>
                <w:szCs w:val="20"/>
              </w:rPr>
              <w:tab/>
            </w:r>
          </w:p>
          <w:p w14:paraId="493544A6" w14:textId="77777777" w:rsidR="00DB73E3" w:rsidRPr="005516CD" w:rsidRDefault="00DB73E3" w:rsidP="006B27F4">
            <w:pPr>
              <w:pStyle w:val="ListParagraph"/>
              <w:numPr>
                <w:ilvl w:val="0"/>
                <w:numId w:val="94"/>
              </w:numPr>
              <w:contextualSpacing/>
              <w:rPr>
                <w:rFonts w:asciiTheme="majorHAnsi" w:hAnsiTheme="majorHAnsi" w:cstheme="majorHAnsi"/>
                <w:sz w:val="20"/>
                <w:szCs w:val="20"/>
              </w:rPr>
            </w:pPr>
            <w:r w:rsidRPr="005516CD">
              <w:rPr>
                <w:rFonts w:asciiTheme="majorHAnsi" w:hAnsiTheme="majorHAnsi" w:cstheme="majorHAnsi"/>
                <w:sz w:val="20"/>
                <w:szCs w:val="20"/>
              </w:rPr>
              <w:t>Continuing decline of mature individuals: Yes</w:t>
            </w:r>
          </w:p>
          <w:p w14:paraId="1B976874" w14:textId="77777777" w:rsidR="00DB73E3" w:rsidRPr="005516CD" w:rsidRDefault="00DB73E3" w:rsidP="006B27F4">
            <w:pPr>
              <w:pStyle w:val="ListParagraph"/>
              <w:numPr>
                <w:ilvl w:val="0"/>
                <w:numId w:val="94"/>
              </w:numPr>
              <w:contextualSpacing/>
              <w:rPr>
                <w:rFonts w:asciiTheme="majorHAnsi" w:hAnsiTheme="majorHAnsi" w:cstheme="majorHAnsi"/>
                <w:sz w:val="20"/>
                <w:szCs w:val="20"/>
              </w:rPr>
            </w:pPr>
            <w:r w:rsidRPr="005516CD">
              <w:rPr>
                <w:rFonts w:asciiTheme="majorHAnsi" w:hAnsiTheme="majorHAnsi" w:cstheme="majorHAnsi"/>
                <w:sz w:val="20"/>
                <w:szCs w:val="20"/>
              </w:rPr>
              <w:t>Population severely fragmented: Yes</w:t>
            </w:r>
          </w:p>
          <w:p w14:paraId="1A8EDCF2" w14:textId="77777777" w:rsidR="00DB73E3" w:rsidRPr="005516CD" w:rsidRDefault="00DB73E3" w:rsidP="006B27F4">
            <w:pPr>
              <w:pStyle w:val="ListParagraph"/>
              <w:numPr>
                <w:ilvl w:val="0"/>
                <w:numId w:val="94"/>
              </w:numPr>
              <w:contextualSpacing/>
              <w:rPr>
                <w:rFonts w:asciiTheme="majorHAnsi" w:hAnsiTheme="majorHAnsi" w:cstheme="majorHAnsi"/>
                <w:sz w:val="20"/>
                <w:szCs w:val="20"/>
              </w:rPr>
            </w:pPr>
            <w:r w:rsidRPr="005516CD">
              <w:rPr>
                <w:rFonts w:asciiTheme="majorHAnsi" w:hAnsiTheme="majorHAnsi" w:cstheme="majorHAnsi"/>
                <w:sz w:val="20"/>
                <w:szCs w:val="20"/>
              </w:rPr>
              <w:t>No. of subpopulations: 2-100</w:t>
            </w:r>
            <w:r w:rsidRPr="005516CD">
              <w:rPr>
                <w:rFonts w:asciiTheme="majorHAnsi" w:hAnsiTheme="majorHAnsi" w:cstheme="majorHAnsi"/>
                <w:sz w:val="20"/>
                <w:szCs w:val="20"/>
              </w:rPr>
              <w:tab/>
            </w:r>
          </w:p>
          <w:p w14:paraId="75BEE93B" w14:textId="77777777" w:rsidR="00DB73E3" w:rsidRPr="005516CD" w:rsidRDefault="00DB73E3" w:rsidP="007B146B">
            <w:pPr>
              <w:spacing w:before="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It inhabits all kinds of natural habitat from montane forest to arid lowland forest, palm-savannah and open woodland, and ranges into agricultural land and second growth (Juniper and Parr 1998). It occupies a wide altitudinal range from the lowlands to 3,000 m (Juniper and Parr 1998). Nesting takes place in tree-cavities or arboreal termite nests (Juniper and Parr 1998).</w:t>
            </w:r>
          </w:p>
          <w:p w14:paraId="38067AEA" w14:textId="77777777" w:rsidR="00DB73E3" w:rsidRPr="005516CD" w:rsidRDefault="00DB73E3" w:rsidP="007B146B">
            <w:pPr>
              <w:spacing w:before="120"/>
              <w:rPr>
                <w:rFonts w:asciiTheme="majorHAnsi" w:hAnsiTheme="majorHAnsi" w:cstheme="majorHAnsi"/>
                <w:sz w:val="20"/>
                <w:szCs w:val="20"/>
              </w:rPr>
            </w:pPr>
            <w:r w:rsidRPr="005516CD">
              <w:rPr>
                <w:rFonts w:asciiTheme="majorHAnsi" w:hAnsiTheme="majorHAnsi" w:cstheme="majorHAnsi"/>
                <w:b/>
                <w:sz w:val="20"/>
                <w:szCs w:val="20"/>
              </w:rPr>
              <w:t>Movement patterns:</w:t>
            </w:r>
            <w:r w:rsidRPr="005516CD">
              <w:rPr>
                <w:rFonts w:asciiTheme="majorHAnsi" w:hAnsiTheme="majorHAnsi" w:cstheme="majorHAnsi"/>
                <w:sz w:val="20"/>
                <w:szCs w:val="20"/>
              </w:rPr>
              <w:t xml:space="preserve"> Not a Migrant</w:t>
            </w:r>
          </w:p>
          <w:p w14:paraId="6BA62DDC" w14:textId="77777777" w:rsidR="00DB73E3" w:rsidRPr="005516CD" w:rsidRDefault="00DB73E3" w:rsidP="007B146B">
            <w:pPr>
              <w:spacing w:before="120"/>
              <w:rPr>
                <w:rFonts w:asciiTheme="majorHAnsi" w:hAnsiTheme="majorHAnsi" w:cstheme="majorHAnsi"/>
                <w:sz w:val="20"/>
                <w:szCs w:val="20"/>
              </w:rPr>
            </w:pPr>
            <w:r w:rsidRPr="005516CD">
              <w:rPr>
                <w:rFonts w:asciiTheme="majorHAnsi" w:hAnsiTheme="majorHAnsi" w:cstheme="majorHAnsi"/>
                <w:b/>
                <w:sz w:val="20"/>
                <w:szCs w:val="20"/>
              </w:rPr>
              <w:t>Major Threat(s):</w:t>
            </w:r>
            <w:r w:rsidRPr="005516CD">
              <w:rPr>
                <w:rFonts w:asciiTheme="majorHAnsi" w:hAnsiTheme="majorHAnsi" w:cstheme="majorHAnsi"/>
                <w:sz w:val="20"/>
                <w:szCs w:val="20"/>
              </w:rPr>
              <w:t xml:space="preserve"> Habitat loss and persecution as a crop-pest are the greatest threats to this species. It is exploited for local and international trade, but only 12 wild-caught individuals were reported in international trade in 1991-1995 (Snyder et al. 2000).</w:t>
            </w:r>
          </w:p>
          <w:p w14:paraId="613A3C5E" w14:textId="77777777" w:rsidR="00DB73E3" w:rsidRPr="005516CD" w:rsidRDefault="00DB73E3" w:rsidP="007B146B">
            <w:pPr>
              <w:spacing w:before="120"/>
              <w:rPr>
                <w:rFonts w:asciiTheme="majorHAnsi" w:hAnsiTheme="majorHAnsi" w:cstheme="majorHAnsi"/>
                <w:sz w:val="20"/>
                <w:szCs w:val="20"/>
              </w:rPr>
            </w:pPr>
            <w:r w:rsidRPr="005516CD">
              <w:rPr>
                <w:rFonts w:asciiTheme="majorHAnsi" w:hAnsiTheme="majorHAnsi" w:cstheme="majorHAnsi"/>
                <w:b/>
                <w:sz w:val="20"/>
                <w:szCs w:val="20"/>
              </w:rPr>
              <w:t>Conservation Actions Underway:</w:t>
            </w:r>
            <w:r w:rsidRPr="005516CD">
              <w:rPr>
                <w:rFonts w:asciiTheme="majorHAnsi" w:hAnsiTheme="majorHAnsi" w:cstheme="majorHAnsi"/>
                <w:sz w:val="20"/>
                <w:szCs w:val="20"/>
              </w:rPr>
              <w:t xml:space="preserve"> CITES Appendix II. In the Dominican Republic, it is legally protected against hunting and trapping, but this legislation is not adequately enforced (Snyder et al. 2000). An education strategy with community participation has been launched for the protection of this species (Vásquez et al. 1995). Interactions between this species and Olive-throated Parakeet </w:t>
            </w:r>
            <w:proofErr w:type="spellStart"/>
            <w:r w:rsidRPr="005516CD">
              <w:rPr>
                <w:rFonts w:asciiTheme="majorHAnsi" w:hAnsiTheme="majorHAnsi" w:cstheme="majorHAnsi"/>
                <w:sz w:val="20"/>
                <w:szCs w:val="20"/>
              </w:rPr>
              <w:t>Aratinga</w:t>
            </w:r>
            <w:proofErr w:type="spellEnd"/>
            <w:r w:rsidRPr="005516CD">
              <w:rPr>
                <w:rFonts w:asciiTheme="majorHAnsi" w:hAnsiTheme="majorHAnsi" w:cstheme="majorHAnsi"/>
                <w:sz w:val="20"/>
                <w:szCs w:val="20"/>
              </w:rPr>
              <w:t xml:space="preserve"> nana (because of the recent increase in numbers of A. nana in the Sierra de </w:t>
            </w:r>
            <w:proofErr w:type="spellStart"/>
            <w:r w:rsidRPr="005516CD">
              <w:rPr>
                <w:rFonts w:asciiTheme="majorHAnsi" w:hAnsiTheme="majorHAnsi" w:cstheme="majorHAnsi"/>
                <w:sz w:val="20"/>
                <w:szCs w:val="20"/>
              </w:rPr>
              <w:t>Baoruco</w:t>
            </w:r>
            <w:proofErr w:type="spellEnd"/>
            <w:r w:rsidRPr="005516CD">
              <w:rPr>
                <w:rFonts w:asciiTheme="majorHAnsi" w:hAnsiTheme="majorHAnsi" w:cstheme="majorHAnsi"/>
                <w:sz w:val="20"/>
                <w:szCs w:val="20"/>
              </w:rPr>
              <w:t xml:space="preserve"> [S. </w:t>
            </w:r>
            <w:proofErr w:type="spellStart"/>
            <w:r w:rsidRPr="005516CD">
              <w:rPr>
                <w:rFonts w:asciiTheme="majorHAnsi" w:hAnsiTheme="majorHAnsi" w:cstheme="majorHAnsi"/>
                <w:sz w:val="20"/>
                <w:szCs w:val="20"/>
              </w:rPr>
              <w:t>Latta</w:t>
            </w:r>
            <w:proofErr w:type="spellEnd"/>
            <w:r w:rsidRPr="005516CD">
              <w:rPr>
                <w:rFonts w:asciiTheme="majorHAnsi" w:hAnsiTheme="majorHAnsi" w:cstheme="majorHAnsi"/>
                <w:sz w:val="20"/>
                <w:szCs w:val="20"/>
              </w:rPr>
              <w:t xml:space="preserve">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1998]) are being investigated (Anon. 2007). A volunteer parrot protection group is to be set up and damaged nest cavities refurbished (Anon. 2007).</w:t>
            </w:r>
          </w:p>
          <w:p w14:paraId="122ACE46" w14:textId="77777777" w:rsidR="00DB73E3" w:rsidRPr="005516CD" w:rsidRDefault="00DB73E3" w:rsidP="007B146B">
            <w:pPr>
              <w:spacing w:before="120"/>
              <w:rPr>
                <w:rFonts w:asciiTheme="majorHAnsi" w:hAnsiTheme="majorHAnsi" w:cstheme="majorHAnsi"/>
                <w:sz w:val="20"/>
                <w:szCs w:val="20"/>
              </w:rPr>
            </w:pPr>
            <w:r w:rsidRPr="005516CD">
              <w:rPr>
                <w:rFonts w:asciiTheme="majorHAnsi" w:hAnsiTheme="majorHAnsi" w:cstheme="majorHAnsi"/>
                <w:b/>
                <w:sz w:val="20"/>
                <w:szCs w:val="20"/>
              </w:rPr>
              <w:t>Conservation Actions Proposed:</w:t>
            </w:r>
            <w:r w:rsidRPr="005516CD">
              <w:rPr>
                <w:rFonts w:asciiTheme="majorHAnsi" w:hAnsiTheme="majorHAnsi" w:cstheme="majorHAnsi"/>
                <w:sz w:val="20"/>
                <w:szCs w:val="20"/>
              </w:rPr>
              <w:t xml:space="preserve"> Clarify the status of the species in Haiti. Study ecology and breeding success to determine natural limiting factors. Enforce existing legislation in the Dominican Republic.</w:t>
            </w:r>
          </w:p>
        </w:tc>
      </w:tr>
      <w:tr w:rsidR="00DB73E3" w:rsidRPr="005516CD" w14:paraId="00B83B37" w14:textId="77777777" w:rsidTr="005B0548">
        <w:tc>
          <w:tcPr>
            <w:tcW w:w="1956" w:type="dxa"/>
          </w:tcPr>
          <w:p w14:paraId="740BDCD6" w14:textId="77777777" w:rsidR="00DB73E3" w:rsidRPr="005516CD" w:rsidRDefault="00DB73E3" w:rsidP="007B146B">
            <w:pPr>
              <w:rPr>
                <w:rFonts w:asciiTheme="majorHAnsi" w:hAnsiTheme="majorHAnsi" w:cstheme="majorHAnsi"/>
                <w:i/>
                <w:sz w:val="20"/>
                <w:szCs w:val="20"/>
              </w:rPr>
            </w:pPr>
            <w:proofErr w:type="spellStart"/>
            <w:r w:rsidRPr="005516CD">
              <w:rPr>
                <w:rFonts w:asciiTheme="majorHAnsi" w:eastAsia="Times New Roman" w:hAnsiTheme="majorHAnsi" w:cstheme="majorHAnsi"/>
                <w:color w:val="333333"/>
                <w:sz w:val="20"/>
                <w:szCs w:val="20"/>
              </w:rPr>
              <w:t>Siphonorhis</w:t>
            </w:r>
            <w:proofErr w:type="spellEnd"/>
            <w:r w:rsidRPr="005516CD">
              <w:rPr>
                <w:rFonts w:asciiTheme="majorHAnsi" w:eastAsia="Times New Roman" w:hAnsiTheme="majorHAnsi" w:cstheme="majorHAnsi"/>
                <w:color w:val="333333"/>
                <w:sz w:val="20"/>
                <w:szCs w:val="20"/>
              </w:rPr>
              <w:t xml:space="preserve"> </w:t>
            </w:r>
            <w:proofErr w:type="spellStart"/>
            <w:r w:rsidRPr="005516CD">
              <w:rPr>
                <w:rFonts w:asciiTheme="majorHAnsi" w:eastAsia="Times New Roman" w:hAnsiTheme="majorHAnsi" w:cstheme="majorHAnsi"/>
                <w:color w:val="333333"/>
                <w:sz w:val="20"/>
                <w:szCs w:val="20"/>
              </w:rPr>
              <w:t>brewsteri</w:t>
            </w:r>
            <w:proofErr w:type="spellEnd"/>
            <w:r w:rsidRPr="005516CD">
              <w:rPr>
                <w:rFonts w:asciiTheme="majorHAnsi" w:eastAsia="Times New Roman" w:hAnsiTheme="majorHAnsi" w:cstheme="majorHAnsi"/>
                <w:color w:val="0563C1"/>
                <w:sz w:val="20"/>
                <w:szCs w:val="20"/>
                <w:u w:val="single"/>
              </w:rPr>
              <w:t xml:space="preserve"> (</w:t>
            </w:r>
            <w:hyperlink r:id="rId131" w:tooltip="view least pauraque profile" w:history="1">
              <w:r w:rsidRPr="005516CD">
                <w:rPr>
                  <w:rFonts w:asciiTheme="majorHAnsi" w:eastAsia="Times New Roman" w:hAnsiTheme="majorHAnsi" w:cstheme="majorHAnsi"/>
                  <w:color w:val="0563C1"/>
                  <w:sz w:val="20"/>
                  <w:szCs w:val="20"/>
                  <w:u w:val="single"/>
                </w:rPr>
                <w:t>Least Pauraque</w:t>
              </w:r>
            </w:hyperlink>
            <w:r w:rsidRPr="005516CD">
              <w:rPr>
                <w:rFonts w:asciiTheme="majorHAnsi" w:eastAsia="Times New Roman" w:hAnsiTheme="majorHAnsi" w:cstheme="majorHAnsi"/>
                <w:color w:val="0563C1"/>
                <w:sz w:val="20"/>
                <w:szCs w:val="20"/>
                <w:u w:val="single"/>
              </w:rPr>
              <w:t>)</w:t>
            </w:r>
          </w:p>
        </w:tc>
        <w:tc>
          <w:tcPr>
            <w:tcW w:w="1495" w:type="dxa"/>
          </w:tcPr>
          <w:p w14:paraId="06240105"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 xml:space="preserve">Near Threatened, </w:t>
            </w:r>
            <w:proofErr w:type="spellStart"/>
            <w:r w:rsidRPr="005516CD">
              <w:rPr>
                <w:rFonts w:asciiTheme="majorHAnsi" w:hAnsiTheme="majorHAnsi" w:cstheme="majorHAnsi"/>
                <w:sz w:val="20"/>
                <w:szCs w:val="20"/>
              </w:rPr>
              <w:t>Hispaniolan</w:t>
            </w:r>
            <w:proofErr w:type="spellEnd"/>
            <w:r w:rsidRPr="005516CD">
              <w:rPr>
                <w:rFonts w:asciiTheme="majorHAnsi" w:hAnsiTheme="majorHAnsi" w:cstheme="majorHAnsi"/>
                <w:sz w:val="20"/>
                <w:szCs w:val="20"/>
              </w:rPr>
              <w:t xml:space="preserve"> endemic</w:t>
            </w:r>
          </w:p>
        </w:tc>
        <w:tc>
          <w:tcPr>
            <w:tcW w:w="10497" w:type="dxa"/>
          </w:tcPr>
          <w:p w14:paraId="2E47D949"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Justification:</w:t>
            </w:r>
            <w:r w:rsidRPr="005516CD">
              <w:rPr>
                <w:rFonts w:asciiTheme="majorHAnsi" w:hAnsiTheme="majorHAnsi" w:cstheme="majorHAnsi"/>
                <w:sz w:val="20"/>
                <w:szCs w:val="20"/>
              </w:rPr>
              <w:t xml:space="preserve"> Although this species is very poorly known, its population is believed to be moderately small and declining owing to habitat loss and degradation. Its small range is, however, not yet severely fragmented or restricted to few locations. For these reasons it has been classified as Near Threatened.</w:t>
            </w:r>
          </w:p>
          <w:p w14:paraId="15678F67"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31968" behindDoc="1" locked="0" layoutInCell="1" allowOverlap="1" wp14:anchorId="2200AD20" wp14:editId="0EFE6D75">
                  <wp:simplePos x="0" y="0"/>
                  <wp:positionH relativeFrom="column">
                    <wp:posOffset>3314700</wp:posOffset>
                  </wp:positionH>
                  <wp:positionV relativeFrom="paragraph">
                    <wp:posOffset>-556260</wp:posOffset>
                  </wp:positionV>
                  <wp:extent cx="3189605" cy="1996440"/>
                  <wp:effectExtent l="0" t="0" r="0" b="3810"/>
                  <wp:wrapTight wrapText="bothSides">
                    <wp:wrapPolygon edited="0">
                      <wp:start x="0" y="0"/>
                      <wp:lineTo x="0" y="21435"/>
                      <wp:lineTo x="21415" y="21435"/>
                      <wp:lineTo x="21415" y="0"/>
                      <wp:lineTo x="0" y="0"/>
                    </wp:wrapPolygon>
                  </wp:wrapTight>
                  <wp:docPr id="1073742009" name="Picture 1073742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189605" cy="19964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Siphonorhis</w:t>
            </w:r>
            <w:proofErr w:type="spellEnd"/>
            <w:r w:rsidRPr="005516CD">
              <w:rPr>
                <w:rFonts w:asciiTheme="majorHAnsi" w:hAnsiTheme="majorHAnsi" w:cstheme="majorHAnsi"/>
                <w:sz w:val="20"/>
                <w:szCs w:val="20"/>
              </w:rPr>
              <w:t xml:space="preserve"> </w:t>
            </w:r>
            <w:proofErr w:type="spellStart"/>
            <w:r w:rsidRPr="005516CD">
              <w:rPr>
                <w:rFonts w:asciiTheme="majorHAnsi" w:hAnsiTheme="majorHAnsi" w:cstheme="majorHAnsi"/>
                <w:sz w:val="20"/>
                <w:szCs w:val="20"/>
              </w:rPr>
              <w:t>brewsteri</w:t>
            </w:r>
            <w:proofErr w:type="spellEnd"/>
            <w:r w:rsidRPr="005516CD">
              <w:rPr>
                <w:rFonts w:asciiTheme="majorHAnsi" w:hAnsiTheme="majorHAnsi" w:cstheme="majorHAnsi"/>
                <w:sz w:val="20"/>
                <w:szCs w:val="20"/>
              </w:rPr>
              <w:t xml:space="preserve"> is found in central and west Dominican Republic (particularly on the north slope of the Sierra de </w:t>
            </w:r>
            <w:proofErr w:type="spellStart"/>
            <w:r w:rsidRPr="005516CD">
              <w:rPr>
                <w:rFonts w:asciiTheme="majorHAnsi" w:hAnsiTheme="majorHAnsi" w:cstheme="majorHAnsi"/>
                <w:sz w:val="20"/>
                <w:szCs w:val="20"/>
              </w:rPr>
              <w:t>Baoruco</w:t>
            </w:r>
            <w:proofErr w:type="spellEnd"/>
            <w:r w:rsidRPr="005516CD">
              <w:rPr>
                <w:rFonts w:asciiTheme="majorHAnsi" w:hAnsiTheme="majorHAnsi" w:cstheme="majorHAnsi"/>
                <w:sz w:val="20"/>
                <w:szCs w:val="20"/>
              </w:rPr>
              <w:t xml:space="preserve"> and between Oviedo and Pedernales), Haiti (between </w:t>
            </w:r>
            <w:proofErr w:type="spellStart"/>
            <w:r w:rsidRPr="005516CD">
              <w:rPr>
                <w:rFonts w:asciiTheme="majorHAnsi" w:hAnsiTheme="majorHAnsi" w:cstheme="majorHAnsi"/>
                <w:sz w:val="20"/>
                <w:szCs w:val="20"/>
              </w:rPr>
              <w:t>Arcahaie</w:t>
            </w:r>
            <w:proofErr w:type="spellEnd"/>
            <w:r w:rsidRPr="005516CD">
              <w:rPr>
                <w:rFonts w:asciiTheme="majorHAnsi" w:hAnsiTheme="majorHAnsi" w:cstheme="majorHAnsi"/>
                <w:sz w:val="20"/>
                <w:szCs w:val="20"/>
              </w:rPr>
              <w:t xml:space="preserve"> and </w:t>
            </w:r>
            <w:proofErr w:type="spellStart"/>
            <w:r w:rsidRPr="005516CD">
              <w:rPr>
                <w:rFonts w:asciiTheme="majorHAnsi" w:hAnsiTheme="majorHAnsi" w:cstheme="majorHAnsi"/>
                <w:sz w:val="20"/>
                <w:szCs w:val="20"/>
              </w:rPr>
              <w:t>Montruis</w:t>
            </w:r>
            <w:proofErr w:type="spellEnd"/>
            <w:r w:rsidRPr="005516CD">
              <w:rPr>
                <w:rFonts w:asciiTheme="majorHAnsi" w:hAnsiTheme="majorHAnsi" w:cstheme="majorHAnsi"/>
                <w:sz w:val="20"/>
                <w:szCs w:val="20"/>
              </w:rPr>
              <w:t xml:space="preserve"> north of Port-au-Prince) and, at least formerly, was numerous on Ile de la </w:t>
            </w:r>
            <w:proofErr w:type="spellStart"/>
            <w:r w:rsidRPr="005516CD">
              <w:rPr>
                <w:rFonts w:asciiTheme="majorHAnsi" w:hAnsiTheme="majorHAnsi" w:cstheme="majorHAnsi"/>
                <w:sz w:val="20"/>
                <w:szCs w:val="20"/>
              </w:rPr>
              <w:t>Gonâve</w:t>
            </w:r>
            <w:proofErr w:type="spellEnd"/>
            <w:r w:rsidRPr="005516CD">
              <w:rPr>
                <w:rFonts w:asciiTheme="majorHAnsi" w:hAnsiTheme="majorHAnsi" w:cstheme="majorHAnsi"/>
                <w:sz w:val="20"/>
                <w:szCs w:val="20"/>
              </w:rPr>
              <w:t xml:space="preserve"> (Raffaele et al. 1998). It is thought to be generally rare, although it can be locally common and is possibly under-recorded (</w:t>
            </w:r>
            <w:proofErr w:type="spellStart"/>
            <w:r w:rsidRPr="005516CD">
              <w:rPr>
                <w:rFonts w:asciiTheme="majorHAnsi" w:hAnsiTheme="majorHAnsi" w:cstheme="majorHAnsi"/>
                <w:sz w:val="20"/>
                <w:szCs w:val="20"/>
              </w:rPr>
              <w:t>Cleere</w:t>
            </w:r>
            <w:proofErr w:type="spellEnd"/>
            <w:r w:rsidRPr="005516CD">
              <w:rPr>
                <w:rFonts w:asciiTheme="majorHAnsi" w:hAnsiTheme="majorHAnsi" w:cstheme="majorHAnsi"/>
                <w:sz w:val="20"/>
                <w:szCs w:val="20"/>
              </w:rPr>
              <w:t xml:space="preserve"> and </w:t>
            </w:r>
            <w:proofErr w:type="spellStart"/>
            <w:r w:rsidRPr="005516CD">
              <w:rPr>
                <w:rFonts w:asciiTheme="majorHAnsi" w:hAnsiTheme="majorHAnsi" w:cstheme="majorHAnsi"/>
                <w:sz w:val="20"/>
                <w:szCs w:val="20"/>
              </w:rPr>
              <w:t>Nurney</w:t>
            </w:r>
            <w:proofErr w:type="spellEnd"/>
            <w:r w:rsidRPr="005516CD">
              <w:rPr>
                <w:rFonts w:asciiTheme="majorHAnsi" w:hAnsiTheme="majorHAnsi" w:cstheme="majorHAnsi"/>
                <w:sz w:val="20"/>
                <w:szCs w:val="20"/>
              </w:rPr>
              <w:t xml:space="preserve"> 1998, Raffaele et al. 1998). Surveys at Las Cruces, Sierra de </w:t>
            </w:r>
            <w:proofErr w:type="spellStart"/>
            <w:r w:rsidRPr="005516CD">
              <w:rPr>
                <w:rFonts w:asciiTheme="majorHAnsi" w:hAnsiTheme="majorHAnsi" w:cstheme="majorHAnsi"/>
                <w:sz w:val="20"/>
                <w:szCs w:val="20"/>
              </w:rPr>
              <w:t>Bahoruco</w:t>
            </w:r>
            <w:proofErr w:type="spellEnd"/>
            <w:r w:rsidRPr="005516CD">
              <w:rPr>
                <w:rFonts w:asciiTheme="majorHAnsi" w:hAnsiTheme="majorHAnsi" w:cstheme="majorHAnsi"/>
                <w:sz w:val="20"/>
                <w:szCs w:val="20"/>
              </w:rPr>
              <w:t xml:space="preserve">, in March 1996 revealed 4.5 birds/km2, essentially unchanged from 4.8 birds/km2 during 1976 surveys in the same area. </w:t>
            </w:r>
          </w:p>
          <w:p w14:paraId="40F519A4"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Population:</w:t>
            </w:r>
            <w:r w:rsidRPr="005516CD">
              <w:rPr>
                <w:rFonts w:asciiTheme="majorHAnsi" w:hAnsiTheme="majorHAnsi" w:cstheme="majorHAnsi"/>
                <w:sz w:val="20"/>
                <w:szCs w:val="20"/>
              </w:rPr>
              <w:t xml:space="preserve"> This species is suspected to have a moderately small population based upon its apparent rarity and the limited availability of suitable habitat. It is placed in the band 10,000-19,999 individuals, equating to 6,667-13,333 mature individuals, rounded here to 6,000-15,000 mature individuals. The species is suspected to be declining at a slow to moderate rate across much of its range, owing to habitat destruction (S. </w:t>
            </w:r>
            <w:proofErr w:type="spellStart"/>
            <w:r w:rsidRPr="005516CD">
              <w:rPr>
                <w:rFonts w:asciiTheme="majorHAnsi" w:hAnsiTheme="majorHAnsi" w:cstheme="majorHAnsi"/>
                <w:sz w:val="20"/>
                <w:szCs w:val="20"/>
              </w:rPr>
              <w:t>Latta</w:t>
            </w:r>
            <w:proofErr w:type="spellEnd"/>
            <w:r w:rsidRPr="005516CD">
              <w:rPr>
                <w:rFonts w:asciiTheme="majorHAnsi" w:hAnsiTheme="majorHAnsi" w:cstheme="majorHAnsi"/>
                <w:sz w:val="20"/>
                <w:szCs w:val="20"/>
              </w:rPr>
              <w:t xml:space="preserve"> in </w:t>
            </w:r>
            <w:proofErr w:type="spellStart"/>
            <w:r w:rsidRPr="005516CD">
              <w:rPr>
                <w:rFonts w:asciiTheme="majorHAnsi" w:hAnsiTheme="majorHAnsi" w:cstheme="majorHAnsi"/>
                <w:sz w:val="20"/>
                <w:szCs w:val="20"/>
              </w:rPr>
              <w:t>litt</w:t>
            </w:r>
            <w:proofErr w:type="spellEnd"/>
            <w:r w:rsidRPr="005516CD">
              <w:rPr>
                <w:rFonts w:asciiTheme="majorHAnsi" w:hAnsiTheme="majorHAnsi" w:cstheme="majorHAnsi"/>
                <w:sz w:val="20"/>
                <w:szCs w:val="20"/>
              </w:rPr>
              <w:t>. 2006).</w:t>
            </w:r>
          </w:p>
          <w:p w14:paraId="15E57D6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It is found in arid or semi-arid lowlands, especially scrubby woodland, and also broadleaf, pine or mixed forest up to 800 m (</w:t>
            </w:r>
            <w:proofErr w:type="spellStart"/>
            <w:r w:rsidRPr="005516CD">
              <w:rPr>
                <w:rFonts w:asciiTheme="majorHAnsi" w:hAnsiTheme="majorHAnsi" w:cstheme="majorHAnsi"/>
                <w:sz w:val="20"/>
                <w:szCs w:val="20"/>
              </w:rPr>
              <w:t>Cleere</w:t>
            </w:r>
            <w:proofErr w:type="spellEnd"/>
            <w:r w:rsidRPr="005516CD">
              <w:rPr>
                <w:rFonts w:asciiTheme="majorHAnsi" w:hAnsiTheme="majorHAnsi" w:cstheme="majorHAnsi"/>
                <w:sz w:val="20"/>
                <w:szCs w:val="20"/>
              </w:rPr>
              <w:t xml:space="preserve"> and </w:t>
            </w:r>
            <w:proofErr w:type="spellStart"/>
            <w:r w:rsidRPr="005516CD">
              <w:rPr>
                <w:rFonts w:asciiTheme="majorHAnsi" w:hAnsiTheme="majorHAnsi" w:cstheme="majorHAnsi"/>
                <w:sz w:val="20"/>
                <w:szCs w:val="20"/>
              </w:rPr>
              <w:t>Nurney</w:t>
            </w:r>
            <w:proofErr w:type="spellEnd"/>
            <w:r w:rsidRPr="005516CD">
              <w:rPr>
                <w:rFonts w:asciiTheme="majorHAnsi" w:hAnsiTheme="majorHAnsi" w:cstheme="majorHAnsi"/>
                <w:sz w:val="20"/>
                <w:szCs w:val="20"/>
              </w:rPr>
              <w:t xml:space="preserve"> 1998). Perches inconspicuously by day on branches close to the ground. Crepuscular and nocturnal, calling at night.</w:t>
            </w:r>
          </w:p>
          <w:p w14:paraId="20087D3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Major Threat(s):</w:t>
            </w:r>
            <w:r w:rsidRPr="005516CD">
              <w:rPr>
                <w:rFonts w:asciiTheme="majorHAnsi" w:hAnsiTheme="majorHAnsi" w:cstheme="majorHAnsi"/>
                <w:sz w:val="20"/>
                <w:szCs w:val="20"/>
              </w:rPr>
              <w:t xml:space="preserve"> Habitat destruction and introduced predators are thought to threaten the species (Raffaele et al. 1998).</w:t>
            </w:r>
          </w:p>
        </w:tc>
      </w:tr>
      <w:tr w:rsidR="00DB73E3" w:rsidRPr="005516CD" w14:paraId="26F47755" w14:textId="77777777" w:rsidTr="005B0548">
        <w:tc>
          <w:tcPr>
            <w:tcW w:w="13948" w:type="dxa"/>
            <w:gridSpan w:val="3"/>
            <w:shd w:val="clear" w:color="auto" w:fill="D9D9D9" w:themeFill="background1" w:themeFillShade="D9"/>
          </w:tcPr>
          <w:p w14:paraId="36C4621B" w14:textId="77777777" w:rsidR="00DB73E3" w:rsidRPr="005516CD" w:rsidRDefault="00DB73E3" w:rsidP="007B146B">
            <w:pPr>
              <w:rPr>
                <w:rFonts w:asciiTheme="majorHAnsi" w:hAnsiTheme="majorHAnsi" w:cstheme="majorHAnsi"/>
                <w:b/>
                <w:sz w:val="20"/>
                <w:szCs w:val="20"/>
              </w:rPr>
            </w:pPr>
            <w:r w:rsidRPr="005516CD">
              <w:rPr>
                <w:rFonts w:asciiTheme="majorHAnsi" w:hAnsiTheme="majorHAnsi" w:cstheme="majorHAnsi"/>
                <w:b/>
                <w:sz w:val="20"/>
                <w:szCs w:val="20"/>
              </w:rPr>
              <w:t>Mammals</w:t>
            </w:r>
          </w:p>
        </w:tc>
      </w:tr>
      <w:tr w:rsidR="00DB73E3" w:rsidRPr="005516CD" w14:paraId="21C70B00" w14:textId="77777777" w:rsidTr="005B0548">
        <w:tc>
          <w:tcPr>
            <w:tcW w:w="1956" w:type="dxa"/>
          </w:tcPr>
          <w:p w14:paraId="0B92CECD" w14:textId="77777777" w:rsidR="00DB73E3" w:rsidRPr="005516CD" w:rsidRDefault="00DB73E3" w:rsidP="007B146B">
            <w:pPr>
              <w:rPr>
                <w:rFonts w:asciiTheme="majorHAnsi" w:hAnsiTheme="majorHAnsi" w:cstheme="majorHAnsi"/>
                <w:i/>
                <w:iCs/>
                <w:sz w:val="20"/>
                <w:szCs w:val="20"/>
              </w:rPr>
            </w:pPr>
            <w:proofErr w:type="spellStart"/>
            <w:r w:rsidRPr="005516CD">
              <w:rPr>
                <w:rFonts w:asciiTheme="majorHAnsi" w:hAnsiTheme="majorHAnsi" w:cstheme="majorHAnsi"/>
                <w:i/>
                <w:iCs/>
                <w:sz w:val="20"/>
                <w:szCs w:val="20"/>
              </w:rPr>
              <w:t>Chilonatalus</w:t>
            </w:r>
            <w:proofErr w:type="spellEnd"/>
            <w:r w:rsidRPr="005516CD">
              <w:rPr>
                <w:rFonts w:asciiTheme="majorHAnsi" w:hAnsiTheme="majorHAnsi" w:cstheme="majorHAnsi"/>
                <w:i/>
                <w:iCs/>
                <w:sz w:val="20"/>
                <w:szCs w:val="20"/>
              </w:rPr>
              <w:t xml:space="preserve"> </w:t>
            </w:r>
            <w:proofErr w:type="spellStart"/>
            <w:r w:rsidRPr="005516CD">
              <w:rPr>
                <w:rFonts w:asciiTheme="majorHAnsi" w:hAnsiTheme="majorHAnsi" w:cstheme="majorHAnsi"/>
                <w:i/>
                <w:iCs/>
                <w:sz w:val="20"/>
                <w:szCs w:val="20"/>
              </w:rPr>
              <w:t>micropus</w:t>
            </w:r>
            <w:proofErr w:type="spellEnd"/>
            <w:r w:rsidRPr="005516CD">
              <w:rPr>
                <w:rFonts w:asciiTheme="majorHAnsi" w:hAnsiTheme="majorHAnsi" w:cstheme="majorHAnsi"/>
                <w:iCs/>
                <w:sz w:val="20"/>
                <w:szCs w:val="20"/>
              </w:rPr>
              <w:t xml:space="preserve"> (Cuban Lesser Funnel-eared Bat)</w:t>
            </w:r>
            <w:r w:rsidRPr="005516CD">
              <w:rPr>
                <w:rFonts w:asciiTheme="majorHAnsi" w:hAnsiTheme="majorHAnsi" w:cstheme="majorHAnsi"/>
                <w:i/>
                <w:iCs/>
                <w:sz w:val="20"/>
                <w:szCs w:val="20"/>
              </w:rPr>
              <w:t xml:space="preserve"> </w:t>
            </w:r>
          </w:p>
        </w:tc>
        <w:tc>
          <w:tcPr>
            <w:tcW w:w="1495" w:type="dxa"/>
          </w:tcPr>
          <w:p w14:paraId="1A143690"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Near threatened</w:t>
            </w:r>
          </w:p>
        </w:tc>
        <w:tc>
          <w:tcPr>
            <w:tcW w:w="10497" w:type="dxa"/>
          </w:tcPr>
          <w:p w14:paraId="147DEC9C"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sz w:val="20"/>
                <w:szCs w:val="20"/>
              </w:rPr>
              <w:t>Listed as Near Threatened because historically only 15 caves (locations) are used by the species, and there is great pressure on them which is causing a population decline but at a rate of less than 30% over the past 10 years. Almost qualifies as threatened under criterion A2c.</w:t>
            </w:r>
          </w:p>
          <w:p w14:paraId="3DEADC49"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15584" behindDoc="1" locked="0" layoutInCell="1" allowOverlap="1" wp14:anchorId="51B9EA42" wp14:editId="645CCE20">
                  <wp:simplePos x="0" y="0"/>
                  <wp:positionH relativeFrom="column">
                    <wp:posOffset>3267710</wp:posOffset>
                  </wp:positionH>
                  <wp:positionV relativeFrom="paragraph">
                    <wp:posOffset>-588010</wp:posOffset>
                  </wp:positionV>
                  <wp:extent cx="3322320" cy="1838325"/>
                  <wp:effectExtent l="0" t="0" r="0" b="9525"/>
                  <wp:wrapTight wrapText="bothSides">
                    <wp:wrapPolygon edited="0">
                      <wp:start x="0" y="0"/>
                      <wp:lineTo x="0" y="21488"/>
                      <wp:lineTo x="21427" y="21488"/>
                      <wp:lineTo x="21427" y="0"/>
                      <wp:lineTo x="0" y="0"/>
                    </wp:wrapPolygon>
                  </wp:wrapTight>
                  <wp:docPr id="1073742010" name="Picture 1073742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3322320" cy="1838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516CD">
              <w:rPr>
                <w:rFonts w:asciiTheme="majorHAnsi" w:hAnsiTheme="majorHAnsi" w:cstheme="majorHAnsi"/>
                <w:b/>
                <w:sz w:val="20"/>
                <w:szCs w:val="20"/>
              </w:rPr>
              <w:t xml:space="preserve">Range Description: </w:t>
            </w:r>
            <w:r w:rsidRPr="005516CD">
              <w:rPr>
                <w:rFonts w:asciiTheme="majorHAnsi" w:hAnsiTheme="majorHAnsi" w:cstheme="majorHAnsi"/>
                <w:sz w:val="20"/>
                <w:szCs w:val="20"/>
              </w:rPr>
              <w:t xml:space="preserve">This species is known from Cuba, Jamaica, Hispaniola, and Providencia Islands (Colombia) (Simmons, 2005). </w:t>
            </w:r>
          </w:p>
          <w:p w14:paraId="7611BE8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This bat is an obligate cave roosting species. Its biology is poorly known. It is insectivorous. A female with an embryo was caught in December; and two lactating females were found in July (Genoways et al., 2005). 15 to 17 caves used by the species in Cuba.</w:t>
            </w:r>
          </w:p>
        </w:tc>
      </w:tr>
      <w:tr w:rsidR="00DB73E3" w:rsidRPr="005516CD" w14:paraId="47BBC626" w14:textId="77777777" w:rsidTr="005B0548">
        <w:tc>
          <w:tcPr>
            <w:tcW w:w="1956" w:type="dxa"/>
          </w:tcPr>
          <w:p w14:paraId="6BFDBD43" w14:textId="77777777" w:rsidR="00DB73E3" w:rsidRPr="005516CD" w:rsidRDefault="00DB73E3" w:rsidP="007B146B">
            <w:pPr>
              <w:rPr>
                <w:rFonts w:asciiTheme="majorHAnsi" w:hAnsiTheme="majorHAnsi" w:cstheme="majorHAnsi"/>
                <w:i/>
                <w:iCs/>
                <w:sz w:val="20"/>
                <w:szCs w:val="20"/>
                <w:lang w:val="uz-Cyrl-UZ"/>
              </w:rPr>
            </w:pPr>
            <w:r w:rsidRPr="005516CD">
              <w:rPr>
                <w:rFonts w:asciiTheme="majorHAnsi" w:eastAsia="Times New Roman" w:hAnsiTheme="majorHAnsi" w:cstheme="majorHAnsi"/>
                <w:color w:val="333333"/>
                <w:sz w:val="20"/>
                <w:szCs w:val="20"/>
                <w:lang w:val="uz-Cyrl-UZ"/>
              </w:rPr>
              <w:t>Lasiurus minor</w:t>
            </w:r>
            <w:r w:rsidRPr="005516CD">
              <w:rPr>
                <w:rFonts w:asciiTheme="majorHAnsi" w:eastAsia="Times New Roman" w:hAnsiTheme="majorHAnsi" w:cstheme="majorHAnsi"/>
                <w:color w:val="0563C1"/>
                <w:sz w:val="20"/>
                <w:szCs w:val="20"/>
                <w:u w:val="single"/>
                <w:lang w:val="uz-Cyrl-UZ"/>
              </w:rPr>
              <w:t xml:space="preserve"> </w:t>
            </w:r>
            <w:hyperlink r:id="rId133" w:tooltip="view minor red bat profile" w:history="1">
              <w:r w:rsidRPr="005516CD">
                <w:rPr>
                  <w:rFonts w:asciiTheme="majorHAnsi" w:eastAsia="Times New Roman" w:hAnsiTheme="majorHAnsi" w:cstheme="majorHAnsi"/>
                  <w:color w:val="0563C1"/>
                  <w:sz w:val="20"/>
                  <w:szCs w:val="20"/>
                  <w:u w:val="single"/>
                  <w:lang w:val="uz-Cyrl-UZ"/>
                </w:rPr>
                <w:t>Minor Red Bat</w:t>
              </w:r>
            </w:hyperlink>
          </w:p>
        </w:tc>
        <w:tc>
          <w:tcPr>
            <w:tcW w:w="1495" w:type="dxa"/>
          </w:tcPr>
          <w:p w14:paraId="0052B160"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Vulnerable</w:t>
            </w:r>
          </w:p>
        </w:tc>
        <w:tc>
          <w:tcPr>
            <w:tcW w:w="10497" w:type="dxa"/>
          </w:tcPr>
          <w:p w14:paraId="7F6B5111" w14:textId="1D1B182D"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sz w:val="20"/>
                <w:szCs w:val="20"/>
              </w:rPr>
              <w:t xml:space="preserve">Justification: </w:t>
            </w:r>
            <w:r w:rsidRPr="005516CD">
              <w:rPr>
                <w:rFonts w:asciiTheme="majorHAnsi" w:hAnsiTheme="majorHAnsi" w:cstheme="majorHAnsi"/>
                <w:sz w:val="20"/>
                <w:szCs w:val="20"/>
              </w:rPr>
              <w:t xml:space="preserve">Minor Red Bat has a small geographic range, occurs in less than 15 localities in only three Caribbean </w:t>
            </w:r>
            <w:r w:rsidR="00C94788" w:rsidRPr="005516CD">
              <w:rPr>
                <w:rFonts w:asciiTheme="majorHAnsi" w:hAnsiTheme="majorHAnsi" w:cstheme="majorHAnsi"/>
                <w:sz w:val="20"/>
                <w:szCs w:val="20"/>
              </w:rPr>
              <w:t>islands</w:t>
            </w:r>
            <w:r w:rsidRPr="005516CD">
              <w:rPr>
                <w:rFonts w:asciiTheme="majorHAnsi" w:hAnsiTheme="majorHAnsi" w:cstheme="majorHAnsi"/>
                <w:sz w:val="20"/>
                <w:szCs w:val="20"/>
              </w:rPr>
              <w:t xml:space="preserve"> (Puerto Rico, Bahamas and Hispaniola). The species is affected by major threats like deforestation or decline in habitat quality, both of them associated to rapid expansion of human settlements. It is also highly susceptible to the impact of hurricanes. Habitat loss has had a direct effect on its </w:t>
            </w:r>
            <w:r w:rsidR="00C94788" w:rsidRPr="005516CD">
              <w:rPr>
                <w:rFonts w:asciiTheme="majorHAnsi" w:hAnsiTheme="majorHAnsi" w:cstheme="majorHAnsi"/>
                <w:sz w:val="20"/>
                <w:szCs w:val="20"/>
              </w:rPr>
              <w:t>populations,</w:t>
            </w:r>
            <w:r w:rsidRPr="005516CD">
              <w:rPr>
                <w:rFonts w:asciiTheme="majorHAnsi" w:hAnsiTheme="majorHAnsi" w:cstheme="majorHAnsi"/>
                <w:sz w:val="20"/>
                <w:szCs w:val="20"/>
              </w:rPr>
              <w:t xml:space="preserve"> and it is suspected a past population reduction &gt;30% and low population density in the past three generations (18 years; </w:t>
            </w:r>
            <w:proofErr w:type="spellStart"/>
            <w:r w:rsidRPr="005516CD">
              <w:rPr>
                <w:rFonts w:asciiTheme="majorHAnsi" w:hAnsiTheme="majorHAnsi" w:cstheme="majorHAnsi"/>
                <w:sz w:val="20"/>
                <w:szCs w:val="20"/>
              </w:rPr>
              <w:t>Pacifici</w:t>
            </w:r>
            <w:proofErr w:type="spellEnd"/>
            <w:r w:rsidRPr="005516CD">
              <w:rPr>
                <w:rFonts w:asciiTheme="majorHAnsi" w:hAnsiTheme="majorHAnsi" w:cstheme="majorHAnsi"/>
                <w:sz w:val="20"/>
                <w:szCs w:val="20"/>
              </w:rPr>
              <w:t xml:space="preserve"> et al. 2013). For this </w:t>
            </w:r>
            <w:r w:rsidR="00C94788" w:rsidRPr="005516CD">
              <w:rPr>
                <w:rFonts w:asciiTheme="majorHAnsi" w:hAnsiTheme="majorHAnsi" w:cstheme="majorHAnsi"/>
                <w:sz w:val="20"/>
                <w:szCs w:val="20"/>
              </w:rPr>
              <w:t>reason,</w:t>
            </w:r>
            <w:r w:rsidRPr="005516CD">
              <w:rPr>
                <w:rFonts w:asciiTheme="majorHAnsi" w:hAnsiTheme="majorHAnsi" w:cstheme="majorHAnsi"/>
                <w:sz w:val="20"/>
                <w:szCs w:val="20"/>
              </w:rPr>
              <w:t xml:space="preserve"> the species is listed as Vulnerable.</w:t>
            </w:r>
            <w:r w:rsidRPr="005516CD">
              <w:rPr>
                <w:rFonts w:asciiTheme="majorHAnsi" w:hAnsiTheme="majorHAnsi" w:cstheme="majorHAnsi"/>
                <w:b/>
                <w:sz w:val="20"/>
                <w:szCs w:val="20"/>
              </w:rPr>
              <w:t xml:space="preserve"> </w:t>
            </w:r>
          </w:p>
          <w:p w14:paraId="5311E4EC" w14:textId="77777777" w:rsidR="00DB73E3" w:rsidRPr="005516CD" w:rsidRDefault="00DB73E3" w:rsidP="007B146B">
            <w:pPr>
              <w:spacing w:after="120"/>
              <w:rPr>
                <w:rFonts w:asciiTheme="majorHAnsi" w:hAnsiTheme="majorHAnsi" w:cstheme="majorHAnsi"/>
                <w:b/>
                <w:sz w:val="20"/>
                <w:szCs w:val="20"/>
              </w:rPr>
            </w:pPr>
            <w:r w:rsidRPr="005516CD">
              <w:rPr>
                <w:rFonts w:asciiTheme="majorHAnsi" w:hAnsiTheme="majorHAnsi" w:cstheme="majorHAnsi"/>
                <w:b/>
                <w:noProof/>
                <w:sz w:val="20"/>
                <w:szCs w:val="20"/>
                <w:lang w:val="en-US" w:eastAsia="en-US"/>
              </w:rPr>
              <w:drawing>
                <wp:anchor distT="0" distB="0" distL="114300" distR="114300" simplePos="0" relativeHeight="251732992" behindDoc="1" locked="0" layoutInCell="1" allowOverlap="1" wp14:anchorId="575C8DE5" wp14:editId="14BC7617">
                  <wp:simplePos x="0" y="0"/>
                  <wp:positionH relativeFrom="column">
                    <wp:posOffset>3390900</wp:posOffset>
                  </wp:positionH>
                  <wp:positionV relativeFrom="paragraph">
                    <wp:posOffset>41275</wp:posOffset>
                  </wp:positionV>
                  <wp:extent cx="3154680" cy="1571625"/>
                  <wp:effectExtent l="0" t="0" r="7620" b="9525"/>
                  <wp:wrapTight wrapText="bothSides">
                    <wp:wrapPolygon edited="0">
                      <wp:start x="0" y="0"/>
                      <wp:lineTo x="0" y="21469"/>
                      <wp:lineTo x="21522" y="21469"/>
                      <wp:lineTo x="21522" y="0"/>
                      <wp:lineTo x="0" y="0"/>
                    </wp:wrapPolygon>
                  </wp:wrapTight>
                  <wp:docPr id="1073742011" name="Picture 1073742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154680" cy="1571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 xml:space="preserve">Range Description: </w:t>
            </w:r>
            <w:r w:rsidRPr="005516CD">
              <w:rPr>
                <w:rFonts w:asciiTheme="majorHAnsi" w:hAnsiTheme="majorHAnsi" w:cstheme="majorHAnsi"/>
                <w:sz w:val="20"/>
                <w:szCs w:val="20"/>
              </w:rPr>
              <w:t>This species occurs in Bahamas, Hispaniola (Dominican Republic and Haiti), and Puerto Rico (Simmons 2005).</w:t>
            </w:r>
          </w:p>
          <w:p w14:paraId="7088219A"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This species is solitary. It rests among the leaves of trees and does not take shelter in tree hollows, buildings, or caves. This bat is a swift flier but not highly manoeuvrable, consequently, it typically forages in open areas (above the canopy, in woodland open areas, and along forest edges). It is insectivorous, its diet has not been studied in detail. Some faecal pellets examined contained moths, winged termites, and flying ants (Rodriguez-Duran and Kunz 2001, Gannon et al. 2005). A lactating female with three pups was captured in Puerto Rico during the month of June (Rodríguez-Durán 1999).</w:t>
            </w:r>
          </w:p>
          <w:p w14:paraId="317DF20E"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Major Threat(s):</w:t>
            </w:r>
            <w:r w:rsidRPr="005516CD">
              <w:rPr>
                <w:rFonts w:asciiTheme="majorHAnsi" w:hAnsiTheme="majorHAnsi" w:cstheme="majorHAnsi"/>
                <w:sz w:val="20"/>
                <w:szCs w:val="20"/>
              </w:rPr>
              <w:t xml:space="preserve"> Higher rates of </w:t>
            </w:r>
            <w:proofErr w:type="spellStart"/>
            <w:r w:rsidRPr="005516CD">
              <w:rPr>
                <w:rFonts w:asciiTheme="majorHAnsi" w:hAnsiTheme="majorHAnsi" w:cstheme="majorHAnsi"/>
                <w:sz w:val="20"/>
                <w:szCs w:val="20"/>
              </w:rPr>
              <w:t>deforestion</w:t>
            </w:r>
            <w:proofErr w:type="spellEnd"/>
            <w:r w:rsidRPr="005516CD">
              <w:rPr>
                <w:rFonts w:asciiTheme="majorHAnsi" w:hAnsiTheme="majorHAnsi" w:cstheme="majorHAnsi"/>
                <w:sz w:val="20"/>
                <w:szCs w:val="20"/>
              </w:rPr>
              <w:t xml:space="preserve"> associated to human population growth is especially serious in Haiti but also on western Dominican Republic. Loss of forests is a direct threat to species that roost in tree foliage, like L. minor. In addition, these islands are usually affected by severe weather, including seasonal hurricanes.</w:t>
            </w:r>
          </w:p>
        </w:tc>
      </w:tr>
      <w:tr w:rsidR="00DB73E3" w:rsidRPr="005516CD" w14:paraId="7E691738" w14:textId="77777777" w:rsidTr="005B0548">
        <w:tc>
          <w:tcPr>
            <w:tcW w:w="1956" w:type="dxa"/>
          </w:tcPr>
          <w:p w14:paraId="09AD6917" w14:textId="77777777" w:rsidR="00DB73E3" w:rsidRPr="005516CD" w:rsidRDefault="00DB73E3" w:rsidP="007B146B">
            <w:pPr>
              <w:rPr>
                <w:rFonts w:asciiTheme="majorHAnsi" w:hAnsiTheme="majorHAnsi" w:cstheme="majorHAnsi"/>
                <w:i/>
                <w:iCs/>
                <w:sz w:val="20"/>
                <w:szCs w:val="20"/>
              </w:rPr>
            </w:pPr>
            <w:proofErr w:type="spellStart"/>
            <w:r w:rsidRPr="005516CD">
              <w:rPr>
                <w:rFonts w:asciiTheme="majorHAnsi" w:hAnsiTheme="majorHAnsi" w:cstheme="majorHAnsi"/>
                <w:i/>
                <w:iCs/>
                <w:sz w:val="20"/>
                <w:szCs w:val="20"/>
              </w:rPr>
              <w:t>Natalus</w:t>
            </w:r>
            <w:proofErr w:type="spellEnd"/>
            <w:r w:rsidRPr="005516CD">
              <w:rPr>
                <w:rFonts w:asciiTheme="majorHAnsi" w:hAnsiTheme="majorHAnsi" w:cstheme="majorHAnsi"/>
                <w:i/>
                <w:iCs/>
                <w:sz w:val="20"/>
                <w:szCs w:val="20"/>
              </w:rPr>
              <w:t xml:space="preserve"> major</w:t>
            </w:r>
            <w:r w:rsidRPr="005516CD">
              <w:rPr>
                <w:rFonts w:asciiTheme="majorHAnsi" w:hAnsiTheme="majorHAnsi" w:cstheme="majorHAnsi"/>
                <w:iCs/>
                <w:sz w:val="20"/>
                <w:szCs w:val="20"/>
              </w:rPr>
              <w:t xml:space="preserve"> (</w:t>
            </w:r>
            <w:proofErr w:type="spellStart"/>
            <w:r w:rsidRPr="005516CD">
              <w:rPr>
                <w:rFonts w:asciiTheme="majorHAnsi" w:hAnsiTheme="majorHAnsi" w:cstheme="majorHAnsi"/>
                <w:iCs/>
                <w:sz w:val="20"/>
                <w:szCs w:val="20"/>
              </w:rPr>
              <w:t>Hispaniolan</w:t>
            </w:r>
            <w:proofErr w:type="spellEnd"/>
            <w:r w:rsidRPr="005516CD">
              <w:rPr>
                <w:rFonts w:asciiTheme="majorHAnsi" w:hAnsiTheme="majorHAnsi" w:cstheme="majorHAnsi"/>
                <w:iCs/>
                <w:sz w:val="20"/>
                <w:szCs w:val="20"/>
              </w:rPr>
              <w:t xml:space="preserve"> Greater Funnel-eared Bat)</w:t>
            </w:r>
            <w:r w:rsidRPr="005516CD">
              <w:rPr>
                <w:rFonts w:asciiTheme="majorHAnsi" w:hAnsiTheme="majorHAnsi" w:cstheme="majorHAnsi"/>
                <w:i/>
                <w:iCs/>
                <w:sz w:val="20"/>
                <w:szCs w:val="20"/>
              </w:rPr>
              <w:t xml:space="preserve"> </w:t>
            </w:r>
          </w:p>
        </w:tc>
        <w:tc>
          <w:tcPr>
            <w:tcW w:w="1495" w:type="dxa"/>
          </w:tcPr>
          <w:p w14:paraId="5CA53D31"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Near threatened</w:t>
            </w:r>
          </w:p>
        </w:tc>
        <w:tc>
          <w:tcPr>
            <w:tcW w:w="10497" w:type="dxa"/>
          </w:tcPr>
          <w:p w14:paraId="4A29769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sz w:val="20"/>
                <w:szCs w:val="20"/>
              </w:rPr>
              <w:t>Listed as Near Threatened because, although the species is still reasonably widely distributed, it is dependent upon a highly fragile and threatened habitat (caves with very specific requirements). Given the current threats to these caves, and the fact that they seem to be increasing in recent years, it could qualify as Vulnerable under criterion A3c, due to a suspected population decline in the future - it is suspected that within the next three generations (approximately 17 years), the population decline will be 20-25%.</w:t>
            </w:r>
          </w:p>
          <w:p w14:paraId="33B74703"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noProof/>
                <w:sz w:val="20"/>
                <w:szCs w:val="20"/>
                <w:lang w:val="en-US" w:eastAsia="en-US"/>
              </w:rPr>
              <w:drawing>
                <wp:anchor distT="0" distB="0" distL="114300" distR="114300" simplePos="0" relativeHeight="251716608" behindDoc="1" locked="0" layoutInCell="1" allowOverlap="1" wp14:anchorId="1D0B196A" wp14:editId="4DDAAECE">
                  <wp:simplePos x="0" y="0"/>
                  <wp:positionH relativeFrom="column">
                    <wp:posOffset>3413760</wp:posOffset>
                  </wp:positionH>
                  <wp:positionV relativeFrom="paragraph">
                    <wp:posOffset>84455</wp:posOffset>
                  </wp:positionV>
                  <wp:extent cx="3123565" cy="1483360"/>
                  <wp:effectExtent l="0" t="0" r="635" b="2540"/>
                  <wp:wrapTight wrapText="bothSides">
                    <wp:wrapPolygon edited="0">
                      <wp:start x="0" y="0"/>
                      <wp:lineTo x="0" y="21360"/>
                      <wp:lineTo x="21473" y="21360"/>
                      <wp:lineTo x="21473" y="0"/>
                      <wp:lineTo x="0" y="0"/>
                    </wp:wrapPolygon>
                  </wp:wrapTight>
                  <wp:docPr id="1073742012" name="Picture 107374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3123565" cy="14833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516CD">
              <w:rPr>
                <w:rFonts w:asciiTheme="majorHAnsi" w:hAnsiTheme="majorHAnsi" w:cstheme="majorHAnsi"/>
                <w:b/>
                <w:sz w:val="20"/>
                <w:szCs w:val="20"/>
              </w:rPr>
              <w:t>Population:</w:t>
            </w:r>
            <w:r w:rsidRPr="005516CD">
              <w:rPr>
                <w:rFonts w:asciiTheme="majorHAnsi" w:hAnsiTheme="majorHAnsi" w:cstheme="majorHAnsi"/>
                <w:sz w:val="20"/>
                <w:szCs w:val="20"/>
              </w:rPr>
              <w:t xml:space="preserve"> </w:t>
            </w:r>
            <w:proofErr w:type="spellStart"/>
            <w:r w:rsidRPr="005516CD">
              <w:rPr>
                <w:rFonts w:asciiTheme="majorHAnsi" w:hAnsiTheme="majorHAnsi" w:cstheme="majorHAnsi"/>
                <w:i/>
                <w:sz w:val="20"/>
                <w:szCs w:val="20"/>
              </w:rPr>
              <w:t>Natalus</w:t>
            </w:r>
            <w:proofErr w:type="spellEnd"/>
            <w:r w:rsidRPr="005516CD">
              <w:rPr>
                <w:rFonts w:asciiTheme="majorHAnsi" w:hAnsiTheme="majorHAnsi" w:cstheme="majorHAnsi"/>
                <w:i/>
                <w:sz w:val="20"/>
                <w:szCs w:val="20"/>
              </w:rPr>
              <w:t xml:space="preserve"> major</w:t>
            </w:r>
            <w:r w:rsidRPr="005516CD">
              <w:rPr>
                <w:rFonts w:asciiTheme="majorHAnsi" w:hAnsiTheme="majorHAnsi" w:cstheme="majorHAnsi"/>
                <w:sz w:val="20"/>
                <w:szCs w:val="20"/>
              </w:rPr>
              <w:t xml:space="preserve"> is known from 30 localities of which at least 10 have been roost sites, nine of them caves and one a large hollow tree (Timm and Genoways 2003). The caves where N. major has been found range from small to very large, are always humid, and often contain hot chambers and bodies of water. The species roosts in loose groups of less than 10 to more than 50 individuals, occupying areas of low ceilings or cave walls; roosting colonies may reach a few hundred individuals (</w:t>
            </w:r>
            <w:proofErr w:type="spellStart"/>
            <w:r w:rsidRPr="005516CD">
              <w:rPr>
                <w:rFonts w:asciiTheme="majorHAnsi" w:hAnsiTheme="majorHAnsi" w:cstheme="majorHAnsi"/>
                <w:sz w:val="20"/>
                <w:szCs w:val="20"/>
              </w:rPr>
              <w:t>Tejedor</w:t>
            </w:r>
            <w:proofErr w:type="spellEnd"/>
            <w:r w:rsidRPr="005516CD">
              <w:rPr>
                <w:rFonts w:asciiTheme="majorHAnsi" w:hAnsiTheme="majorHAnsi" w:cstheme="majorHAnsi"/>
                <w:sz w:val="20"/>
                <w:szCs w:val="20"/>
              </w:rPr>
              <w:t xml:space="preserve"> 2011). It may be locally common in specific areas (Hoyt and Baker 1980).</w:t>
            </w:r>
          </w:p>
          <w:p w14:paraId="192C14DC" w14:textId="16F4D5D8"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This species is found throughout dry areas. </w:t>
            </w:r>
            <w:proofErr w:type="spellStart"/>
            <w:r w:rsidRPr="005516CD">
              <w:rPr>
                <w:rFonts w:asciiTheme="majorHAnsi" w:hAnsiTheme="majorHAnsi" w:cstheme="majorHAnsi"/>
                <w:sz w:val="20"/>
                <w:szCs w:val="20"/>
              </w:rPr>
              <w:t>Natalus</w:t>
            </w:r>
            <w:proofErr w:type="spellEnd"/>
            <w:r w:rsidRPr="005516CD">
              <w:rPr>
                <w:rFonts w:asciiTheme="majorHAnsi" w:hAnsiTheme="majorHAnsi" w:cstheme="majorHAnsi"/>
                <w:sz w:val="20"/>
                <w:szCs w:val="20"/>
              </w:rPr>
              <w:t xml:space="preserve"> major has been found almost exclusively in caves, the exception being one report of nine individuals (2 females and 7 males) found roosting inside a large hollow tree in semiarid lowlands in the northern Dominican Republic (Timm and Genoways 2003). Its delicate wing membrane is subject to rapid dehydration; thus, this species probably </w:t>
            </w:r>
            <w:r w:rsidR="00C94788" w:rsidRPr="005516CD">
              <w:rPr>
                <w:rFonts w:asciiTheme="majorHAnsi" w:hAnsiTheme="majorHAnsi" w:cstheme="majorHAnsi"/>
                <w:sz w:val="20"/>
                <w:szCs w:val="20"/>
              </w:rPr>
              <w:t>requires</w:t>
            </w:r>
            <w:r w:rsidRPr="005516CD">
              <w:rPr>
                <w:rFonts w:asciiTheme="majorHAnsi" w:hAnsiTheme="majorHAnsi" w:cstheme="majorHAnsi"/>
                <w:sz w:val="20"/>
                <w:szCs w:val="20"/>
              </w:rPr>
              <w:t xml:space="preserve"> caves with relative humidity for day time roosts. There is no reproductive information available (Hoyt and Baker 1980). It is insectivorous (Nowak 1999). It probably forages in rather cluttered vegetation and over relatively small home ranges (</w:t>
            </w:r>
            <w:proofErr w:type="spellStart"/>
            <w:r w:rsidRPr="005516CD">
              <w:rPr>
                <w:rFonts w:asciiTheme="majorHAnsi" w:hAnsiTheme="majorHAnsi" w:cstheme="majorHAnsi"/>
                <w:sz w:val="20"/>
                <w:szCs w:val="20"/>
              </w:rPr>
              <w:t>Tejedor</w:t>
            </w:r>
            <w:proofErr w:type="spellEnd"/>
            <w:r w:rsidRPr="005516CD">
              <w:rPr>
                <w:rFonts w:asciiTheme="majorHAnsi" w:hAnsiTheme="majorHAnsi" w:cstheme="majorHAnsi"/>
                <w:sz w:val="20"/>
                <w:szCs w:val="20"/>
              </w:rPr>
              <w:t xml:space="preserve"> et al. 2004).</w:t>
            </w:r>
          </w:p>
          <w:p w14:paraId="4B28FC6F"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Major Threat(s):</w:t>
            </w:r>
            <w:r w:rsidRPr="005516CD">
              <w:rPr>
                <w:rFonts w:asciiTheme="majorHAnsi" w:hAnsiTheme="majorHAnsi" w:cstheme="majorHAnsi"/>
                <w:sz w:val="20"/>
                <w:szCs w:val="20"/>
              </w:rPr>
              <w:t xml:space="preserve"> Some of the caves where the species is known to roost are subject to modification for touristic activities, as well as for mining exploitation in Dominican Republic (</w:t>
            </w:r>
            <w:proofErr w:type="spellStart"/>
            <w:r w:rsidRPr="005516CD">
              <w:rPr>
                <w:rFonts w:asciiTheme="majorHAnsi" w:hAnsiTheme="majorHAnsi" w:cstheme="majorHAnsi"/>
                <w:sz w:val="20"/>
                <w:szCs w:val="20"/>
              </w:rPr>
              <w:t>Inchaustegui</w:t>
            </w:r>
            <w:proofErr w:type="spellEnd"/>
            <w:r w:rsidRPr="005516CD">
              <w:rPr>
                <w:rFonts w:asciiTheme="majorHAnsi" w:hAnsiTheme="majorHAnsi" w:cstheme="majorHAnsi"/>
                <w:sz w:val="20"/>
                <w:szCs w:val="20"/>
              </w:rPr>
              <w:t>, pers. comm.). Other known threats come from access to caves for Guano extraction, or mining of caves for material construction (Rodriguez-Duran and Turvey, pers. comm.). This kind of disturbance can affect the suitability of caves for bats.</w:t>
            </w:r>
          </w:p>
        </w:tc>
      </w:tr>
      <w:tr w:rsidR="00DB73E3" w:rsidRPr="005516CD" w14:paraId="1FF21BF3" w14:textId="77777777" w:rsidTr="005B0548">
        <w:tc>
          <w:tcPr>
            <w:tcW w:w="13948" w:type="dxa"/>
            <w:gridSpan w:val="3"/>
            <w:shd w:val="clear" w:color="auto" w:fill="D9D9D9" w:themeFill="background1" w:themeFillShade="D9"/>
          </w:tcPr>
          <w:p w14:paraId="20ACCAF0" w14:textId="77777777" w:rsidR="00DB73E3" w:rsidRPr="005516CD" w:rsidRDefault="00DB73E3" w:rsidP="007B146B">
            <w:pPr>
              <w:rPr>
                <w:rFonts w:asciiTheme="majorHAnsi" w:hAnsiTheme="majorHAnsi" w:cstheme="majorHAnsi"/>
                <w:b/>
                <w:sz w:val="20"/>
                <w:szCs w:val="20"/>
              </w:rPr>
            </w:pPr>
            <w:r w:rsidRPr="005516CD">
              <w:rPr>
                <w:rFonts w:asciiTheme="majorHAnsi" w:hAnsiTheme="majorHAnsi" w:cstheme="majorHAnsi"/>
                <w:b/>
                <w:sz w:val="20"/>
                <w:szCs w:val="20"/>
              </w:rPr>
              <w:t>Insects</w:t>
            </w:r>
          </w:p>
        </w:tc>
      </w:tr>
      <w:tr w:rsidR="00DB73E3" w:rsidRPr="005516CD" w14:paraId="3A74AAC3" w14:textId="77777777" w:rsidTr="005B0548">
        <w:tc>
          <w:tcPr>
            <w:tcW w:w="1956" w:type="dxa"/>
          </w:tcPr>
          <w:p w14:paraId="26270D0D" w14:textId="77777777" w:rsidR="00DB73E3" w:rsidRPr="005516CD" w:rsidRDefault="00DB73E3" w:rsidP="007B146B">
            <w:pPr>
              <w:rPr>
                <w:rFonts w:asciiTheme="majorHAnsi" w:hAnsiTheme="majorHAnsi" w:cstheme="majorHAnsi"/>
                <w:sz w:val="20"/>
                <w:szCs w:val="20"/>
              </w:rPr>
            </w:pPr>
            <w:proofErr w:type="spellStart"/>
            <w:r w:rsidRPr="005516CD">
              <w:rPr>
                <w:rFonts w:asciiTheme="majorHAnsi" w:eastAsia="Times New Roman" w:hAnsiTheme="majorHAnsi" w:cstheme="majorHAnsi"/>
                <w:color w:val="333333"/>
                <w:sz w:val="20"/>
                <w:szCs w:val="20"/>
              </w:rPr>
              <w:t>Battus</w:t>
            </w:r>
            <w:proofErr w:type="spellEnd"/>
            <w:r w:rsidRPr="005516CD">
              <w:rPr>
                <w:rFonts w:asciiTheme="majorHAnsi" w:eastAsia="Times New Roman" w:hAnsiTheme="majorHAnsi" w:cstheme="majorHAnsi"/>
                <w:color w:val="333333"/>
                <w:sz w:val="20"/>
                <w:szCs w:val="20"/>
              </w:rPr>
              <w:t xml:space="preserve"> </w:t>
            </w:r>
            <w:proofErr w:type="spellStart"/>
            <w:r w:rsidRPr="005516CD">
              <w:rPr>
                <w:rFonts w:asciiTheme="majorHAnsi" w:eastAsia="Times New Roman" w:hAnsiTheme="majorHAnsi" w:cstheme="majorHAnsi"/>
                <w:color w:val="333333"/>
                <w:sz w:val="20"/>
                <w:szCs w:val="20"/>
              </w:rPr>
              <w:t>zetides</w:t>
            </w:r>
            <w:proofErr w:type="spellEnd"/>
            <w:r w:rsidRPr="005516CD">
              <w:rPr>
                <w:rFonts w:asciiTheme="majorHAnsi" w:eastAsia="Times New Roman" w:hAnsiTheme="majorHAnsi" w:cstheme="majorHAnsi"/>
                <w:color w:val="333333"/>
                <w:sz w:val="20"/>
                <w:szCs w:val="20"/>
              </w:rPr>
              <w:t xml:space="preserve"> (</w:t>
            </w:r>
            <w:proofErr w:type="spellStart"/>
            <w:r w:rsidR="00EA4B38">
              <w:fldChar w:fldCharType="begin"/>
            </w:r>
            <w:r w:rsidR="00EA4B38">
              <w:instrText xml:space="preserve"> HYPERLINK "http://earthsendangered.com/profile.asp?gr=I&amp;sp=13622" \o "view zetides swallowtail profile" </w:instrText>
            </w:r>
            <w:r w:rsidR="00EA4B38">
              <w:fldChar w:fldCharType="separate"/>
            </w:r>
            <w:r w:rsidRPr="005516CD">
              <w:rPr>
                <w:rFonts w:asciiTheme="majorHAnsi" w:eastAsia="Times New Roman" w:hAnsiTheme="majorHAnsi" w:cstheme="majorHAnsi"/>
                <w:color w:val="0563C1"/>
                <w:sz w:val="20"/>
                <w:szCs w:val="20"/>
                <w:u w:val="single"/>
              </w:rPr>
              <w:t>Zetides</w:t>
            </w:r>
            <w:proofErr w:type="spellEnd"/>
            <w:r w:rsidRPr="005516CD">
              <w:rPr>
                <w:rFonts w:asciiTheme="majorHAnsi" w:eastAsia="Times New Roman" w:hAnsiTheme="majorHAnsi" w:cstheme="majorHAnsi"/>
                <w:color w:val="0563C1"/>
                <w:sz w:val="20"/>
                <w:szCs w:val="20"/>
                <w:u w:val="single"/>
              </w:rPr>
              <w:t xml:space="preserve"> Swallowtail</w:t>
            </w:r>
            <w:r w:rsidR="00EA4B38">
              <w:rPr>
                <w:rFonts w:asciiTheme="majorHAnsi" w:eastAsia="Times New Roman" w:hAnsiTheme="majorHAnsi" w:cstheme="majorHAnsi"/>
                <w:color w:val="0563C1"/>
                <w:sz w:val="20"/>
                <w:szCs w:val="20"/>
                <w:u w:val="single"/>
              </w:rPr>
              <w:fldChar w:fldCharType="end"/>
            </w:r>
            <w:r w:rsidRPr="005516CD">
              <w:rPr>
                <w:rFonts w:asciiTheme="majorHAnsi" w:eastAsia="Times New Roman" w:hAnsiTheme="majorHAnsi" w:cstheme="majorHAnsi"/>
                <w:color w:val="0563C1"/>
                <w:sz w:val="20"/>
                <w:szCs w:val="20"/>
                <w:u w:val="single"/>
              </w:rPr>
              <w:t>)</w:t>
            </w:r>
          </w:p>
        </w:tc>
        <w:tc>
          <w:tcPr>
            <w:tcW w:w="1495" w:type="dxa"/>
          </w:tcPr>
          <w:p w14:paraId="432C620C"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Vulnerable: Hispaniola endemic</w:t>
            </w:r>
          </w:p>
        </w:tc>
        <w:tc>
          <w:tcPr>
            <w:tcW w:w="10497" w:type="dxa"/>
          </w:tcPr>
          <w:p w14:paraId="18BA344A" w14:textId="77777777" w:rsidR="00DB73E3" w:rsidRPr="005516CD" w:rsidRDefault="00DB73E3" w:rsidP="007B146B">
            <w:pPr>
              <w:spacing w:before="120"/>
              <w:rPr>
                <w:rFonts w:asciiTheme="majorHAnsi" w:hAnsiTheme="majorHAnsi" w:cstheme="majorHAnsi"/>
                <w:sz w:val="20"/>
                <w:szCs w:val="20"/>
              </w:rPr>
            </w:pPr>
          </w:p>
        </w:tc>
      </w:tr>
      <w:tr w:rsidR="00DB73E3" w:rsidRPr="005516CD" w14:paraId="159B845C" w14:textId="77777777" w:rsidTr="005B0548">
        <w:tc>
          <w:tcPr>
            <w:tcW w:w="13948" w:type="dxa"/>
            <w:gridSpan w:val="3"/>
          </w:tcPr>
          <w:p w14:paraId="28C7D74E" w14:textId="77777777" w:rsidR="00DB73E3" w:rsidRPr="005516CD" w:rsidRDefault="00DB73E3" w:rsidP="007B146B">
            <w:pPr>
              <w:rPr>
                <w:rFonts w:asciiTheme="majorHAnsi" w:hAnsiTheme="majorHAnsi" w:cstheme="majorHAnsi"/>
                <w:b/>
                <w:sz w:val="20"/>
                <w:szCs w:val="20"/>
              </w:rPr>
            </w:pPr>
            <w:r w:rsidRPr="005516CD">
              <w:rPr>
                <w:rFonts w:asciiTheme="majorHAnsi" w:hAnsiTheme="majorHAnsi" w:cstheme="majorHAnsi"/>
                <w:b/>
                <w:sz w:val="20"/>
                <w:szCs w:val="20"/>
              </w:rPr>
              <w:t>Crustaceans</w:t>
            </w:r>
          </w:p>
        </w:tc>
      </w:tr>
      <w:tr w:rsidR="00DB73E3" w:rsidRPr="005516CD" w14:paraId="551DD5DC" w14:textId="77777777" w:rsidTr="005B0548">
        <w:tc>
          <w:tcPr>
            <w:tcW w:w="1956" w:type="dxa"/>
          </w:tcPr>
          <w:p w14:paraId="0A3179AB" w14:textId="77777777" w:rsidR="00DB73E3" w:rsidRPr="005516CD" w:rsidRDefault="00155CF8" w:rsidP="007B146B">
            <w:pPr>
              <w:rPr>
                <w:rFonts w:asciiTheme="majorHAnsi" w:eastAsia="Times New Roman" w:hAnsiTheme="majorHAnsi" w:cstheme="majorHAnsi"/>
                <w:color w:val="333333"/>
                <w:sz w:val="20"/>
                <w:szCs w:val="20"/>
              </w:rPr>
            </w:pPr>
            <w:hyperlink r:id="rId135" w:tooltip="view epilobocera haytensis profile" w:history="1">
              <w:proofErr w:type="spellStart"/>
              <w:r w:rsidR="00DB73E3" w:rsidRPr="005516CD">
                <w:rPr>
                  <w:rFonts w:asciiTheme="majorHAnsi" w:eastAsia="Times New Roman" w:hAnsiTheme="majorHAnsi" w:cstheme="majorHAnsi"/>
                  <w:color w:val="0563C1"/>
                  <w:sz w:val="20"/>
                  <w:szCs w:val="20"/>
                  <w:u w:val="single"/>
                </w:rPr>
                <w:t>Epilobocera</w:t>
              </w:r>
              <w:proofErr w:type="spellEnd"/>
              <w:r w:rsidR="00DB73E3" w:rsidRPr="005516CD">
                <w:rPr>
                  <w:rFonts w:asciiTheme="majorHAnsi" w:eastAsia="Times New Roman" w:hAnsiTheme="majorHAnsi" w:cstheme="majorHAnsi"/>
                  <w:color w:val="0563C1"/>
                  <w:sz w:val="20"/>
                  <w:szCs w:val="20"/>
                  <w:u w:val="single"/>
                </w:rPr>
                <w:t xml:space="preserve"> </w:t>
              </w:r>
              <w:proofErr w:type="spellStart"/>
              <w:r w:rsidR="00DB73E3" w:rsidRPr="005516CD">
                <w:rPr>
                  <w:rFonts w:asciiTheme="majorHAnsi" w:eastAsia="Times New Roman" w:hAnsiTheme="majorHAnsi" w:cstheme="majorHAnsi"/>
                  <w:color w:val="0563C1"/>
                  <w:sz w:val="20"/>
                  <w:szCs w:val="20"/>
                  <w:u w:val="single"/>
                </w:rPr>
                <w:t>haytensis</w:t>
              </w:r>
              <w:proofErr w:type="spellEnd"/>
            </w:hyperlink>
          </w:p>
        </w:tc>
        <w:tc>
          <w:tcPr>
            <w:tcW w:w="1495" w:type="dxa"/>
          </w:tcPr>
          <w:p w14:paraId="27154A19"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Vulnerable: Hispaniola endemic</w:t>
            </w:r>
          </w:p>
        </w:tc>
        <w:tc>
          <w:tcPr>
            <w:tcW w:w="10497" w:type="dxa"/>
          </w:tcPr>
          <w:p w14:paraId="76C864AA"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Justification:</w:t>
            </w:r>
            <w:r w:rsidRPr="005516CD">
              <w:rPr>
                <w:rFonts w:asciiTheme="majorHAnsi" w:hAnsiTheme="majorHAnsi" w:cstheme="majorHAnsi"/>
                <w:sz w:val="20"/>
                <w:szCs w:val="20"/>
              </w:rPr>
              <w:t xml:space="preserve"> This species is listed as Vulnerable because its extent of occurrence is about 20,000 km², and because there is a continuing decline in the extent and quality of its habitat due to human induced degradation driven by human population increases and industrial and agrarian development. It is not found in a protected area. </w:t>
            </w:r>
          </w:p>
          <w:p w14:paraId="00CAC7D2"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noProof/>
                <w:sz w:val="20"/>
                <w:szCs w:val="20"/>
                <w:lang w:val="en-US" w:eastAsia="en-US"/>
              </w:rPr>
              <w:drawing>
                <wp:anchor distT="0" distB="0" distL="114300" distR="114300" simplePos="0" relativeHeight="251734016" behindDoc="1" locked="0" layoutInCell="1" allowOverlap="1" wp14:anchorId="5970F09F" wp14:editId="5CCBF128">
                  <wp:simplePos x="0" y="0"/>
                  <wp:positionH relativeFrom="column">
                    <wp:posOffset>3370580</wp:posOffset>
                  </wp:positionH>
                  <wp:positionV relativeFrom="paragraph">
                    <wp:posOffset>44450</wp:posOffset>
                  </wp:positionV>
                  <wp:extent cx="3223260" cy="1522095"/>
                  <wp:effectExtent l="0" t="0" r="0" b="1905"/>
                  <wp:wrapTight wrapText="bothSides">
                    <wp:wrapPolygon edited="0">
                      <wp:start x="0" y="0"/>
                      <wp:lineTo x="0" y="21357"/>
                      <wp:lineTo x="21447" y="21357"/>
                      <wp:lineTo x="21447" y="0"/>
                      <wp:lineTo x="0" y="0"/>
                    </wp:wrapPolygon>
                  </wp:wrapTight>
                  <wp:docPr id="1073742013" name="Picture 1073742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3223260" cy="1522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Island of Hispaniola: found in both Haiti (Moline) and the Dominican Republic (Santo Domingo near Paradis). Found in nearly all lowland rivers on Hispaniola.</w:t>
            </w:r>
          </w:p>
          <w:p w14:paraId="7E6072B7"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Major Threat(s):</w:t>
            </w:r>
            <w:r w:rsidRPr="005516CD">
              <w:rPr>
                <w:rFonts w:asciiTheme="majorHAnsi" w:hAnsiTheme="majorHAnsi" w:cstheme="majorHAnsi"/>
                <w:sz w:val="20"/>
                <w:szCs w:val="20"/>
              </w:rPr>
              <w:t xml:space="preserve"> The major current and future threats to this species include human-induced habitat loss/degradation and water pollution due to urbanization and the development of agriculture. Forest loss has been rapid and wide reaching in the Dominican Republic, with cover reduced from 75% to 14% between 1920 and 1981 (Brothers 1997). This deterioration has </w:t>
            </w:r>
            <w:proofErr w:type="gramStart"/>
            <w:r w:rsidRPr="005516CD">
              <w:rPr>
                <w:rFonts w:asciiTheme="majorHAnsi" w:hAnsiTheme="majorHAnsi" w:cstheme="majorHAnsi"/>
                <w:sz w:val="20"/>
                <w:szCs w:val="20"/>
              </w:rPr>
              <w:t>continued, and</w:t>
            </w:r>
            <w:proofErr w:type="gramEnd"/>
            <w:r w:rsidRPr="005516CD">
              <w:rPr>
                <w:rFonts w:asciiTheme="majorHAnsi" w:hAnsiTheme="majorHAnsi" w:cstheme="majorHAnsi"/>
                <w:sz w:val="20"/>
                <w:szCs w:val="20"/>
              </w:rPr>
              <w:t xml:space="preserve"> is greatest at lower altitudes.</w:t>
            </w:r>
          </w:p>
        </w:tc>
      </w:tr>
      <w:tr w:rsidR="00DB73E3" w:rsidRPr="005516CD" w14:paraId="0E066E91" w14:textId="77777777" w:rsidTr="005B0548">
        <w:tc>
          <w:tcPr>
            <w:tcW w:w="13948" w:type="dxa"/>
            <w:gridSpan w:val="3"/>
            <w:shd w:val="clear" w:color="auto" w:fill="D9D9D9" w:themeFill="background1" w:themeFillShade="D9"/>
          </w:tcPr>
          <w:p w14:paraId="74A23634" w14:textId="77777777" w:rsidR="00DB73E3" w:rsidRPr="005516CD" w:rsidRDefault="00DB73E3" w:rsidP="007B146B">
            <w:pPr>
              <w:rPr>
                <w:rFonts w:asciiTheme="majorHAnsi" w:hAnsiTheme="majorHAnsi" w:cstheme="majorHAnsi"/>
                <w:b/>
                <w:sz w:val="20"/>
                <w:szCs w:val="20"/>
              </w:rPr>
            </w:pPr>
            <w:r w:rsidRPr="005516CD">
              <w:rPr>
                <w:rFonts w:asciiTheme="majorHAnsi" w:hAnsiTheme="majorHAnsi" w:cstheme="majorHAnsi"/>
                <w:b/>
                <w:sz w:val="20"/>
                <w:szCs w:val="20"/>
              </w:rPr>
              <w:t>Plants</w:t>
            </w:r>
          </w:p>
        </w:tc>
      </w:tr>
      <w:tr w:rsidR="00DB73E3" w:rsidRPr="005516CD" w14:paraId="39F1F465" w14:textId="77777777" w:rsidTr="005B0548">
        <w:tc>
          <w:tcPr>
            <w:tcW w:w="1956" w:type="dxa"/>
          </w:tcPr>
          <w:p w14:paraId="27CC65F4" w14:textId="77777777" w:rsidR="00DB73E3" w:rsidRPr="005516CD" w:rsidRDefault="00155CF8" w:rsidP="007B146B">
            <w:pPr>
              <w:rPr>
                <w:rFonts w:asciiTheme="majorHAnsi" w:eastAsia="Times New Roman" w:hAnsiTheme="majorHAnsi" w:cstheme="majorHAnsi"/>
                <w:color w:val="0563C1"/>
                <w:sz w:val="20"/>
                <w:szCs w:val="20"/>
                <w:u w:val="single"/>
              </w:rPr>
            </w:pPr>
            <w:hyperlink r:id="rId137" w:tooltip="view albizia leonardii profile" w:history="1">
              <w:proofErr w:type="spellStart"/>
              <w:r w:rsidR="00DB73E3" w:rsidRPr="005516CD">
                <w:rPr>
                  <w:rFonts w:asciiTheme="majorHAnsi" w:eastAsia="Times New Roman" w:hAnsiTheme="majorHAnsi" w:cstheme="majorHAnsi"/>
                  <w:color w:val="0563C1"/>
                  <w:sz w:val="20"/>
                  <w:szCs w:val="20"/>
                  <w:u w:val="single"/>
                </w:rPr>
                <w:t>Albizia</w:t>
              </w:r>
              <w:proofErr w:type="spellEnd"/>
              <w:r w:rsidR="00DB73E3" w:rsidRPr="005516CD">
                <w:rPr>
                  <w:rFonts w:asciiTheme="majorHAnsi" w:eastAsia="Times New Roman" w:hAnsiTheme="majorHAnsi" w:cstheme="majorHAnsi"/>
                  <w:color w:val="0563C1"/>
                  <w:sz w:val="20"/>
                  <w:szCs w:val="20"/>
                  <w:u w:val="single"/>
                </w:rPr>
                <w:t xml:space="preserve"> </w:t>
              </w:r>
              <w:proofErr w:type="spellStart"/>
              <w:r w:rsidR="00DB73E3" w:rsidRPr="005516CD">
                <w:rPr>
                  <w:rFonts w:asciiTheme="majorHAnsi" w:eastAsia="Times New Roman" w:hAnsiTheme="majorHAnsi" w:cstheme="majorHAnsi"/>
                  <w:color w:val="0563C1"/>
                  <w:sz w:val="20"/>
                  <w:szCs w:val="20"/>
                  <w:u w:val="single"/>
                </w:rPr>
                <w:t>leonardii</w:t>
              </w:r>
              <w:proofErr w:type="spellEnd"/>
            </w:hyperlink>
          </w:p>
        </w:tc>
        <w:tc>
          <w:tcPr>
            <w:tcW w:w="1495" w:type="dxa"/>
          </w:tcPr>
          <w:p w14:paraId="676FFABC"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Vulnerable, endemic</w:t>
            </w:r>
          </w:p>
        </w:tc>
        <w:tc>
          <w:tcPr>
            <w:tcW w:w="10497" w:type="dxa"/>
          </w:tcPr>
          <w:p w14:paraId="4DF2E7DF"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North-west of Haiti </w:t>
            </w:r>
          </w:p>
          <w:p w14:paraId="7AB62D3A"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A small tree, localised in dry thickets.</w:t>
            </w:r>
          </w:p>
        </w:tc>
      </w:tr>
      <w:tr w:rsidR="00DB73E3" w:rsidRPr="005516CD" w14:paraId="758B667F" w14:textId="77777777" w:rsidTr="005B0548">
        <w:tc>
          <w:tcPr>
            <w:tcW w:w="1956" w:type="dxa"/>
          </w:tcPr>
          <w:p w14:paraId="123996F1" w14:textId="77777777" w:rsidR="00DB73E3" w:rsidRPr="005516CD" w:rsidRDefault="00155CF8" w:rsidP="007B146B">
            <w:pPr>
              <w:rPr>
                <w:rFonts w:asciiTheme="majorHAnsi" w:eastAsia="Times New Roman" w:hAnsiTheme="majorHAnsi" w:cstheme="majorHAnsi"/>
                <w:color w:val="0563C1"/>
                <w:sz w:val="20"/>
                <w:szCs w:val="20"/>
                <w:u w:val="single"/>
              </w:rPr>
            </w:pPr>
            <w:hyperlink r:id="rId138" w:tooltip="view antirhea radiata profile" w:history="1">
              <w:proofErr w:type="spellStart"/>
              <w:r w:rsidR="00DB73E3" w:rsidRPr="005516CD">
                <w:rPr>
                  <w:rFonts w:asciiTheme="majorHAnsi" w:eastAsia="Times New Roman" w:hAnsiTheme="majorHAnsi" w:cstheme="majorHAnsi"/>
                  <w:color w:val="0563C1"/>
                  <w:sz w:val="20"/>
                  <w:szCs w:val="20"/>
                  <w:u w:val="single"/>
                </w:rPr>
                <w:t>Antirhea</w:t>
              </w:r>
              <w:proofErr w:type="spellEnd"/>
              <w:r w:rsidR="00DB73E3" w:rsidRPr="005516CD">
                <w:rPr>
                  <w:rFonts w:asciiTheme="majorHAnsi" w:eastAsia="Times New Roman" w:hAnsiTheme="majorHAnsi" w:cstheme="majorHAnsi"/>
                  <w:color w:val="0563C1"/>
                  <w:sz w:val="20"/>
                  <w:szCs w:val="20"/>
                  <w:u w:val="single"/>
                </w:rPr>
                <w:t xml:space="preserve"> radiata</w:t>
              </w:r>
            </w:hyperlink>
          </w:p>
        </w:tc>
        <w:tc>
          <w:tcPr>
            <w:tcW w:w="1495" w:type="dxa"/>
          </w:tcPr>
          <w:p w14:paraId="466063A2"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Vulnerable</w:t>
            </w:r>
          </w:p>
        </w:tc>
        <w:tc>
          <w:tcPr>
            <w:tcW w:w="10497" w:type="dxa"/>
          </w:tcPr>
          <w:p w14:paraId="7ADB0DA6"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Occurring in central and eastern parts of Cuba and in the province of Pinar del Río, and also Hispaniola.</w:t>
            </w:r>
          </w:p>
          <w:p w14:paraId="40A7844D"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Habitat and Ecology:</w:t>
            </w:r>
            <w:r w:rsidRPr="005516CD">
              <w:rPr>
                <w:rFonts w:asciiTheme="majorHAnsi" w:hAnsiTheme="majorHAnsi" w:cstheme="majorHAnsi"/>
                <w:sz w:val="20"/>
                <w:szCs w:val="20"/>
              </w:rPr>
              <w:t xml:space="preserve"> A tree of montane rainforest and </w:t>
            </w:r>
            <w:proofErr w:type="spellStart"/>
            <w:r w:rsidRPr="005516CD">
              <w:rPr>
                <w:rFonts w:asciiTheme="majorHAnsi" w:hAnsiTheme="majorHAnsi" w:cstheme="majorHAnsi"/>
                <w:sz w:val="20"/>
                <w:szCs w:val="20"/>
              </w:rPr>
              <w:t>submontane</w:t>
            </w:r>
            <w:proofErr w:type="spellEnd"/>
            <w:r w:rsidRPr="005516CD">
              <w:rPr>
                <w:rFonts w:asciiTheme="majorHAnsi" w:hAnsiTheme="majorHAnsi" w:cstheme="majorHAnsi"/>
                <w:sz w:val="20"/>
                <w:szCs w:val="20"/>
              </w:rPr>
              <w:t xml:space="preserve"> semi-deciduous forest.</w:t>
            </w:r>
          </w:p>
        </w:tc>
      </w:tr>
      <w:tr w:rsidR="00DB73E3" w:rsidRPr="005516CD" w14:paraId="66635B87" w14:textId="77777777" w:rsidTr="005B0548">
        <w:tc>
          <w:tcPr>
            <w:tcW w:w="1956" w:type="dxa"/>
          </w:tcPr>
          <w:p w14:paraId="7FE7FEE2" w14:textId="77777777" w:rsidR="00DB73E3" w:rsidRPr="005516CD" w:rsidRDefault="00155CF8" w:rsidP="007B146B">
            <w:pPr>
              <w:rPr>
                <w:rFonts w:asciiTheme="majorHAnsi" w:hAnsiTheme="majorHAnsi" w:cstheme="majorHAnsi"/>
                <w:i/>
                <w:iCs/>
                <w:sz w:val="20"/>
                <w:szCs w:val="20"/>
              </w:rPr>
            </w:pPr>
            <w:hyperlink r:id="rId139" w:tooltip="view senna domingensis profile" w:history="1">
              <w:r w:rsidR="00DB73E3" w:rsidRPr="005516CD">
                <w:rPr>
                  <w:rFonts w:asciiTheme="majorHAnsi" w:eastAsia="Times New Roman" w:hAnsiTheme="majorHAnsi" w:cstheme="majorHAnsi"/>
                  <w:color w:val="0563C1"/>
                  <w:sz w:val="20"/>
                  <w:szCs w:val="20"/>
                  <w:u w:val="single"/>
                </w:rPr>
                <w:t xml:space="preserve">Senna </w:t>
              </w:r>
              <w:proofErr w:type="spellStart"/>
              <w:r w:rsidR="00DB73E3" w:rsidRPr="005516CD">
                <w:rPr>
                  <w:rFonts w:asciiTheme="majorHAnsi" w:eastAsia="Times New Roman" w:hAnsiTheme="majorHAnsi" w:cstheme="majorHAnsi"/>
                  <w:color w:val="0563C1"/>
                  <w:sz w:val="20"/>
                  <w:szCs w:val="20"/>
                  <w:u w:val="single"/>
                </w:rPr>
                <w:t>domingensis</w:t>
              </w:r>
              <w:proofErr w:type="spellEnd"/>
            </w:hyperlink>
          </w:p>
        </w:tc>
        <w:tc>
          <w:tcPr>
            <w:tcW w:w="1495" w:type="dxa"/>
          </w:tcPr>
          <w:p w14:paraId="022A21E9" w14:textId="77777777" w:rsidR="00DB73E3" w:rsidRPr="005516CD" w:rsidRDefault="00DB73E3" w:rsidP="007B146B">
            <w:pPr>
              <w:rPr>
                <w:rFonts w:asciiTheme="majorHAnsi" w:hAnsiTheme="majorHAnsi" w:cstheme="majorHAnsi"/>
                <w:sz w:val="20"/>
                <w:szCs w:val="20"/>
              </w:rPr>
            </w:pPr>
            <w:r w:rsidRPr="005516CD">
              <w:rPr>
                <w:rFonts w:asciiTheme="majorHAnsi" w:hAnsiTheme="majorHAnsi" w:cstheme="majorHAnsi"/>
                <w:sz w:val="20"/>
                <w:szCs w:val="20"/>
              </w:rPr>
              <w:t>Vulnerable</w:t>
            </w:r>
          </w:p>
        </w:tc>
        <w:tc>
          <w:tcPr>
            <w:tcW w:w="10497" w:type="dxa"/>
          </w:tcPr>
          <w:p w14:paraId="25639A39"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Range Description:</w:t>
            </w:r>
            <w:r w:rsidRPr="005516CD">
              <w:rPr>
                <w:rFonts w:asciiTheme="majorHAnsi" w:hAnsiTheme="majorHAnsi" w:cstheme="majorHAnsi"/>
                <w:sz w:val="20"/>
                <w:szCs w:val="20"/>
              </w:rPr>
              <w:t xml:space="preserve"> Known in Cuba from a single locality in the coastal areas of </w:t>
            </w:r>
            <w:proofErr w:type="spellStart"/>
            <w:r w:rsidRPr="005516CD">
              <w:rPr>
                <w:rFonts w:asciiTheme="majorHAnsi" w:hAnsiTheme="majorHAnsi" w:cstheme="majorHAnsi"/>
                <w:sz w:val="20"/>
                <w:szCs w:val="20"/>
              </w:rPr>
              <w:t>Daiquirí</w:t>
            </w:r>
            <w:proofErr w:type="spellEnd"/>
            <w:r w:rsidRPr="005516CD">
              <w:rPr>
                <w:rFonts w:asciiTheme="majorHAnsi" w:hAnsiTheme="majorHAnsi" w:cstheme="majorHAnsi"/>
                <w:sz w:val="20"/>
                <w:szCs w:val="20"/>
              </w:rPr>
              <w:t>, Santiago de Cuba province. The species is more widespread and more common in Hispaniola.</w:t>
            </w:r>
          </w:p>
          <w:p w14:paraId="7920477C" w14:textId="77777777" w:rsidR="00DB73E3" w:rsidRPr="005516CD" w:rsidRDefault="00DB73E3" w:rsidP="007B146B">
            <w:pPr>
              <w:spacing w:after="120"/>
              <w:rPr>
                <w:rFonts w:asciiTheme="majorHAnsi" w:hAnsiTheme="majorHAnsi" w:cstheme="majorHAnsi"/>
                <w:sz w:val="20"/>
                <w:szCs w:val="20"/>
              </w:rPr>
            </w:pPr>
            <w:r w:rsidRPr="005516CD">
              <w:rPr>
                <w:rFonts w:asciiTheme="majorHAnsi" w:hAnsiTheme="majorHAnsi" w:cstheme="majorHAnsi"/>
                <w:b/>
                <w:sz w:val="20"/>
                <w:szCs w:val="20"/>
              </w:rPr>
              <w:t xml:space="preserve">Habitat and Ecology: </w:t>
            </w:r>
            <w:r w:rsidRPr="005516CD">
              <w:rPr>
                <w:rFonts w:asciiTheme="majorHAnsi" w:hAnsiTheme="majorHAnsi" w:cstheme="majorHAnsi"/>
                <w:sz w:val="20"/>
                <w:szCs w:val="20"/>
              </w:rPr>
              <w:t xml:space="preserve">This small tree occurs infrequently in dry evergreen </w:t>
            </w:r>
            <w:proofErr w:type="spellStart"/>
            <w:r w:rsidRPr="005516CD">
              <w:rPr>
                <w:rFonts w:asciiTheme="majorHAnsi" w:hAnsiTheme="majorHAnsi" w:cstheme="majorHAnsi"/>
                <w:sz w:val="20"/>
                <w:szCs w:val="20"/>
              </w:rPr>
              <w:t>shrubwood</w:t>
            </w:r>
            <w:proofErr w:type="spellEnd"/>
            <w:r w:rsidRPr="005516CD">
              <w:rPr>
                <w:rFonts w:asciiTheme="majorHAnsi" w:hAnsiTheme="majorHAnsi" w:cstheme="majorHAnsi"/>
                <w:sz w:val="20"/>
                <w:szCs w:val="20"/>
              </w:rPr>
              <w:t xml:space="preserve"> and shrubland on limestone.</w:t>
            </w:r>
          </w:p>
        </w:tc>
      </w:tr>
    </w:tbl>
    <w:p w14:paraId="0CBB3113" w14:textId="77777777" w:rsidR="00DB73E3" w:rsidRPr="005516CD" w:rsidRDefault="00DB73E3" w:rsidP="007B146B"/>
    <w:p w14:paraId="04565004" w14:textId="77777777" w:rsidR="00E91A1B" w:rsidRPr="005516CD" w:rsidRDefault="00E91A1B" w:rsidP="007B146B">
      <w:pPr>
        <w:ind w:right="1200"/>
        <w:rPr>
          <w:b/>
          <w:color w:val="000000"/>
          <w:sz w:val="18"/>
          <w:szCs w:val="20"/>
        </w:rPr>
        <w:sectPr w:rsidR="00E91A1B" w:rsidRPr="005516CD" w:rsidSect="004E3C8E">
          <w:headerReference w:type="even" r:id="rId140"/>
          <w:headerReference w:type="default" r:id="rId141"/>
          <w:headerReference w:type="first" r:id="rId142"/>
          <w:pgSz w:w="15840" w:h="12240" w:orient="landscape"/>
          <w:pgMar w:top="1440" w:right="1440" w:bottom="1440" w:left="1440" w:header="708" w:footer="432" w:gutter="0"/>
          <w:cols w:space="720"/>
          <w:docGrid w:linePitch="326"/>
        </w:sectPr>
      </w:pPr>
    </w:p>
    <w:p w14:paraId="7E486013" w14:textId="77777777" w:rsidR="00E91A1B" w:rsidRPr="005516CD" w:rsidRDefault="00E91A1B" w:rsidP="001D16D5">
      <w:pPr>
        <w:pStyle w:val="Heading2"/>
        <w:numPr>
          <w:ilvl w:val="3"/>
          <w:numId w:val="63"/>
        </w:numPr>
        <w:spacing w:after="0"/>
        <w:ind w:left="0" w:hanging="45"/>
        <w:rPr>
          <w:rStyle w:val="None"/>
          <w:rFonts w:asciiTheme="majorHAnsi" w:eastAsia="Calibri" w:hAnsiTheme="majorHAnsi" w:cstheme="majorHAnsi"/>
          <w:sz w:val="24"/>
        </w:rPr>
      </w:pPr>
      <w:bookmarkStart w:id="470" w:name="_Toc8933121"/>
      <w:r w:rsidRPr="005516CD">
        <w:rPr>
          <w:rStyle w:val="None"/>
          <w:rFonts w:asciiTheme="majorHAnsi" w:eastAsia="Calibri" w:hAnsiTheme="majorHAnsi" w:cstheme="majorHAnsi"/>
          <w:sz w:val="24"/>
        </w:rPr>
        <w:t>Cumulative dry matter yields (kg ha</w:t>
      </w:r>
      <w:r w:rsidRPr="005516CD">
        <w:rPr>
          <w:rStyle w:val="None"/>
          <w:rFonts w:asciiTheme="majorHAnsi" w:eastAsia="Calibri" w:hAnsiTheme="majorHAnsi" w:cstheme="majorHAnsi"/>
          <w:sz w:val="24"/>
          <w:vertAlign w:val="superscript"/>
        </w:rPr>
        <w:t>−1</w:t>
      </w:r>
      <w:r w:rsidRPr="005516CD">
        <w:rPr>
          <w:rStyle w:val="None"/>
          <w:rFonts w:asciiTheme="majorHAnsi" w:eastAsia="Calibri" w:hAnsiTheme="majorHAnsi" w:cstheme="majorHAnsi"/>
          <w:sz w:val="24"/>
        </w:rPr>
        <w:t>) of marketable products harvested in five different cocoa production systems in Bolivia from 2009 to 2013</w:t>
      </w:r>
      <w:r w:rsidRPr="005516CD">
        <w:rPr>
          <w:rStyle w:val="None"/>
          <w:rFonts w:asciiTheme="majorHAnsi" w:eastAsia="Calibri" w:hAnsiTheme="majorHAnsi" w:cstheme="majorHAnsi"/>
          <w:sz w:val="24"/>
          <w:vertAlign w:val="superscript"/>
        </w:rPr>
        <w:footnoteReference w:id="232"/>
      </w:r>
      <w:r w:rsidRPr="005516CD">
        <w:rPr>
          <w:rStyle w:val="None"/>
          <w:rFonts w:asciiTheme="majorHAnsi" w:eastAsia="Calibri" w:hAnsiTheme="majorHAnsi" w:cstheme="majorHAnsi"/>
          <w:sz w:val="24"/>
          <w:vertAlign w:val="superscript"/>
        </w:rPr>
        <w:t>.</w:t>
      </w:r>
      <w:bookmarkEnd w:id="470"/>
    </w:p>
    <w:p w14:paraId="399AA2B4" w14:textId="77777777" w:rsidR="00014423" w:rsidRPr="005516CD" w:rsidRDefault="00E91A1B" w:rsidP="009F16FC">
      <w:pPr>
        <w:tabs>
          <w:tab w:val="left" w:pos="426"/>
        </w:tabs>
        <w:spacing w:after="120"/>
        <w:ind w:right="96"/>
        <w:jc w:val="center"/>
        <w:rPr>
          <w:lang w:val="fr-FR"/>
        </w:rPr>
      </w:pPr>
      <w:r w:rsidRPr="005516CD">
        <w:rPr>
          <w:noProof/>
          <w:lang w:val="en-US" w:eastAsia="en-US"/>
        </w:rPr>
        <w:drawing>
          <wp:inline distT="0" distB="0" distL="0" distR="0" wp14:anchorId="16EF6CDE" wp14:editId="7A30323F">
            <wp:extent cx="7609920" cy="5008880"/>
            <wp:effectExtent l="0" t="0" r="0" b="1270"/>
            <wp:docPr id="29" name="Picture 29" descr="https://static.cambridge.org/resource/id/urn:cambridge.org:id:binary-alt:20170526130858-32701-optimisedImage-S0014479716000417_tab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tatic.cambridge.org/resource/id/urn:cambridge.org:id:binary-alt:20170526130858-32701-optimisedImage-S0014479716000417_tab3.jpg"/>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7652737" cy="5037063"/>
                    </a:xfrm>
                    <a:prstGeom prst="rect">
                      <a:avLst/>
                    </a:prstGeom>
                    <a:noFill/>
                    <a:ln>
                      <a:noFill/>
                    </a:ln>
                  </pic:spPr>
                </pic:pic>
              </a:graphicData>
            </a:graphic>
          </wp:inline>
        </w:drawing>
      </w:r>
    </w:p>
    <w:p w14:paraId="7C609925" w14:textId="77777777" w:rsidR="00014423" w:rsidRPr="005516CD" w:rsidRDefault="00014423" w:rsidP="009F16FC">
      <w:pPr>
        <w:jc w:val="both"/>
        <w:rPr>
          <w:lang w:val="fr-FR"/>
        </w:rPr>
        <w:sectPr w:rsidR="00014423" w:rsidRPr="005516CD" w:rsidSect="004E3C8E">
          <w:headerReference w:type="even" r:id="rId144"/>
          <w:headerReference w:type="default" r:id="rId145"/>
          <w:headerReference w:type="first" r:id="rId146"/>
          <w:pgSz w:w="15840" w:h="12240" w:orient="landscape"/>
          <w:pgMar w:top="1440" w:right="1440" w:bottom="1440" w:left="1440" w:header="708" w:footer="708" w:gutter="0"/>
          <w:cols w:space="708"/>
          <w:docGrid w:linePitch="360"/>
        </w:sectPr>
      </w:pPr>
    </w:p>
    <w:p w14:paraId="20E024C4" w14:textId="77777777" w:rsidR="008E3299" w:rsidRPr="005516CD" w:rsidRDefault="008E3299" w:rsidP="00FB5829">
      <w:pPr>
        <w:spacing w:after="120"/>
        <w:jc w:val="both"/>
        <w:rPr>
          <w:rFonts w:asciiTheme="majorHAnsi" w:hAnsiTheme="majorHAnsi" w:cstheme="majorHAnsi"/>
          <w:sz w:val="22"/>
          <w:szCs w:val="22"/>
          <w:lang w:val="en-US"/>
        </w:rPr>
      </w:pPr>
    </w:p>
    <w:p w14:paraId="51EF44A6" w14:textId="49BC82FB" w:rsidR="008E3299" w:rsidRPr="005516CD" w:rsidRDefault="008E3299" w:rsidP="00E23294">
      <w:pPr>
        <w:pStyle w:val="Heading2"/>
        <w:numPr>
          <w:ilvl w:val="3"/>
          <w:numId w:val="63"/>
        </w:numPr>
        <w:tabs>
          <w:tab w:val="left" w:pos="1985"/>
        </w:tabs>
        <w:spacing w:after="0"/>
        <w:ind w:left="0" w:hanging="45"/>
        <w:rPr>
          <w:rStyle w:val="None"/>
          <w:rFonts w:asciiTheme="majorHAnsi" w:eastAsia="Calibri" w:hAnsiTheme="majorHAnsi" w:cstheme="majorHAnsi"/>
          <w:sz w:val="24"/>
        </w:rPr>
      </w:pPr>
      <w:bookmarkStart w:id="471" w:name="_Toc8933122"/>
      <w:r w:rsidRPr="005516CD">
        <w:rPr>
          <w:rStyle w:val="None"/>
          <w:rFonts w:asciiTheme="majorHAnsi" w:eastAsia="Calibri" w:hAnsiTheme="majorHAnsi" w:cstheme="majorHAnsi"/>
          <w:sz w:val="24"/>
        </w:rPr>
        <w:t xml:space="preserve">Partnership Arrangement between the </w:t>
      </w:r>
      <w:proofErr w:type="spellStart"/>
      <w:r w:rsidR="009241AB">
        <w:rPr>
          <w:rStyle w:val="None"/>
          <w:rFonts w:asciiTheme="majorHAnsi" w:eastAsia="Calibri" w:hAnsiTheme="majorHAnsi" w:cstheme="majorHAnsi"/>
          <w:sz w:val="24"/>
        </w:rPr>
        <w:t>MoE</w:t>
      </w:r>
      <w:proofErr w:type="spellEnd"/>
      <w:r w:rsidRPr="005516CD">
        <w:rPr>
          <w:rStyle w:val="None"/>
          <w:rFonts w:asciiTheme="majorHAnsi" w:eastAsia="Calibri" w:hAnsiTheme="majorHAnsi" w:cstheme="majorHAnsi"/>
          <w:sz w:val="24"/>
        </w:rPr>
        <w:t xml:space="preserve">/UNDP/FAO/GEF Project </w:t>
      </w:r>
      <w:r w:rsidR="00760CA8" w:rsidRPr="005516CD">
        <w:rPr>
          <w:rStyle w:val="None"/>
          <w:rFonts w:asciiTheme="majorHAnsi" w:eastAsia="Calibri" w:hAnsiTheme="majorHAnsi" w:cstheme="majorHAnsi"/>
          <w:sz w:val="24"/>
        </w:rPr>
        <w:t>"</w:t>
      </w:r>
      <w:r w:rsidRPr="005516CD">
        <w:rPr>
          <w:rStyle w:val="None"/>
          <w:rFonts w:asciiTheme="majorHAnsi" w:eastAsia="Calibri" w:hAnsiTheme="majorHAnsi" w:cstheme="majorHAnsi"/>
          <w:sz w:val="24"/>
        </w:rPr>
        <w:t xml:space="preserve">Sustainable management of wooded production landscapes for biodiversity conservation” and the IADB </w:t>
      </w:r>
      <w:r w:rsidR="00760CA8" w:rsidRPr="005516CD">
        <w:rPr>
          <w:rStyle w:val="None"/>
          <w:rFonts w:asciiTheme="majorHAnsi" w:eastAsia="Calibri" w:hAnsiTheme="majorHAnsi" w:cstheme="majorHAnsi"/>
          <w:sz w:val="24"/>
        </w:rPr>
        <w:t>PITAG program</w:t>
      </w:r>
      <w:bookmarkEnd w:id="471"/>
    </w:p>
    <w:p w14:paraId="63297F27" w14:textId="77777777" w:rsidR="008E3299" w:rsidRPr="005516CD" w:rsidRDefault="008E3299" w:rsidP="008E329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before="120" w:after="120"/>
        <w:ind w:left="0"/>
        <w:jc w:val="both"/>
        <w:rPr>
          <w:rFonts w:asciiTheme="majorHAnsi" w:hAnsiTheme="majorHAnsi" w:cstheme="majorHAnsi"/>
          <w:sz w:val="20"/>
          <w:szCs w:val="20"/>
        </w:rPr>
      </w:pPr>
      <w:r w:rsidRPr="005516CD">
        <w:rPr>
          <w:rFonts w:asciiTheme="majorHAnsi" w:hAnsiTheme="majorHAnsi" w:cstheme="majorHAnsi"/>
          <w:b/>
          <w:sz w:val="20"/>
          <w:szCs w:val="20"/>
          <w:u w:val="single"/>
        </w:rPr>
        <w:t xml:space="preserve">Context: </w:t>
      </w:r>
      <w:r w:rsidRPr="005516CD">
        <w:rPr>
          <w:rFonts w:asciiTheme="majorHAnsi" w:hAnsiTheme="majorHAnsi" w:cstheme="majorHAnsi"/>
          <w:sz w:val="20"/>
          <w:szCs w:val="20"/>
        </w:rPr>
        <w:t xml:space="preserve">The general objective of </w:t>
      </w:r>
      <w:r w:rsidR="00760CA8" w:rsidRPr="005516CD">
        <w:rPr>
          <w:rFonts w:asciiTheme="majorHAnsi" w:hAnsiTheme="majorHAnsi" w:cstheme="majorHAnsi"/>
          <w:sz w:val="20"/>
          <w:szCs w:val="20"/>
        </w:rPr>
        <w:t xml:space="preserve">the Agricultural and Agroforestry Technological Innovation Program - PITAG (HA-G1038) </w:t>
      </w:r>
      <w:r w:rsidRPr="005516CD">
        <w:rPr>
          <w:rFonts w:asciiTheme="majorHAnsi" w:hAnsiTheme="majorHAnsi" w:cstheme="majorHAnsi"/>
          <w:sz w:val="20"/>
          <w:szCs w:val="20"/>
        </w:rPr>
        <w:t>is to increase agricultural productivity for small farmers in selected areas of the North, Northeast, Artibonite and South departments. The targeted beneficiaries are smallholder farmers living in selected areas of the North, Northeast, South and Artibonite Departments, in order to maximize synergies with other IDB programs in Haiti. The program will have two components:</w:t>
      </w:r>
    </w:p>
    <w:p w14:paraId="49FFD5C2" w14:textId="77777777" w:rsidR="008E3299" w:rsidRPr="005516CD" w:rsidRDefault="008E3299" w:rsidP="006B27F4">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426" w:firstLine="0"/>
        <w:jc w:val="both"/>
        <w:rPr>
          <w:rFonts w:asciiTheme="majorHAnsi" w:hAnsiTheme="majorHAnsi" w:cstheme="majorHAnsi"/>
          <w:sz w:val="20"/>
          <w:szCs w:val="20"/>
        </w:rPr>
      </w:pPr>
      <w:r w:rsidRPr="005516CD">
        <w:rPr>
          <w:rFonts w:asciiTheme="majorHAnsi" w:hAnsiTheme="majorHAnsi" w:cstheme="majorHAnsi"/>
          <w:b/>
          <w:sz w:val="20"/>
          <w:szCs w:val="20"/>
        </w:rPr>
        <w:t>Applied research and training for the development and adaptation of sustainable agricultural technologies.</w:t>
      </w:r>
      <w:r w:rsidRPr="005516CD">
        <w:rPr>
          <w:rFonts w:asciiTheme="majorHAnsi" w:hAnsiTheme="majorHAnsi" w:cstheme="majorHAnsi"/>
          <w:sz w:val="20"/>
          <w:szCs w:val="20"/>
        </w:rPr>
        <w:t xml:space="preserve"> This component will finance the following activities: (</w:t>
      </w:r>
      <w:proofErr w:type="spellStart"/>
      <w:r w:rsidRPr="005516CD">
        <w:rPr>
          <w:rFonts w:asciiTheme="majorHAnsi" w:hAnsiTheme="majorHAnsi" w:cstheme="majorHAnsi"/>
          <w:sz w:val="20"/>
          <w:szCs w:val="20"/>
        </w:rPr>
        <w:t>i</w:t>
      </w:r>
      <w:proofErr w:type="spellEnd"/>
      <w:r w:rsidRPr="005516CD">
        <w:rPr>
          <w:rFonts w:asciiTheme="majorHAnsi" w:hAnsiTheme="majorHAnsi" w:cstheme="majorHAnsi"/>
          <w:sz w:val="20"/>
          <w:szCs w:val="20"/>
        </w:rPr>
        <w:t>) applied and adaptive agricultural research projects developed and implemented by national and/or international institutions, in order to create, improve and/or adapt innovative, profitable, and sustainable agricultural technologies that will enhance the supply of technological options available to farmers; and (ii) strengthening of the higher education curriculum to improve applied and adaptive research and technology transfer capabilities. In this context, specific attention will be given to the FAMV. The results of Component 1 will progressively provide input for the technology menu promoted by Component 2.</w:t>
      </w:r>
    </w:p>
    <w:p w14:paraId="76B83E1A" w14:textId="77777777" w:rsidR="008E3299" w:rsidRPr="005516CD" w:rsidRDefault="008E3299" w:rsidP="006B27F4">
      <w:pPr>
        <w:pStyle w:val="ListParagraph"/>
        <w:numPr>
          <w:ilvl w:val="0"/>
          <w:numId w:val="122"/>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426" w:firstLine="0"/>
        <w:jc w:val="both"/>
        <w:rPr>
          <w:rFonts w:asciiTheme="majorHAnsi" w:hAnsiTheme="majorHAnsi" w:cstheme="majorHAnsi"/>
          <w:sz w:val="20"/>
          <w:szCs w:val="20"/>
        </w:rPr>
      </w:pPr>
      <w:r w:rsidRPr="005516CD">
        <w:rPr>
          <w:rFonts w:asciiTheme="majorHAnsi" w:hAnsiTheme="majorHAnsi" w:cstheme="majorHAnsi"/>
          <w:b/>
          <w:sz w:val="20"/>
          <w:szCs w:val="20"/>
        </w:rPr>
        <w:t>Promotion of sustainable agricultural technologies.</w:t>
      </w:r>
      <w:r w:rsidRPr="005516CD">
        <w:rPr>
          <w:rFonts w:asciiTheme="majorHAnsi" w:hAnsiTheme="majorHAnsi" w:cstheme="majorHAnsi"/>
          <w:sz w:val="20"/>
          <w:szCs w:val="20"/>
        </w:rPr>
        <w:t xml:space="preserve"> This component will finance the adoption of innovative, profitable and sustainable agricultural technologies that will improve long term farm profitability and generate positive environmental externalities. The component will be implemented through the agricultural incentives program conducted by the MARNDR and the technologies will be adapted to the different </w:t>
      </w:r>
      <w:proofErr w:type="spellStart"/>
      <w:r w:rsidRPr="005516CD">
        <w:rPr>
          <w:rFonts w:asciiTheme="majorHAnsi" w:hAnsiTheme="majorHAnsi" w:cstheme="majorHAnsi"/>
          <w:sz w:val="20"/>
          <w:szCs w:val="20"/>
        </w:rPr>
        <w:t>agro</w:t>
      </w:r>
      <w:proofErr w:type="spellEnd"/>
      <w:r w:rsidRPr="005516CD">
        <w:rPr>
          <w:rFonts w:asciiTheme="majorHAnsi" w:hAnsiTheme="majorHAnsi" w:cstheme="majorHAnsi"/>
          <w:sz w:val="20"/>
          <w:szCs w:val="20"/>
        </w:rPr>
        <w:t>-ecological environments, local context and climate change perspectives. The technology menu may include: small irrigation equipment, harvest and post-harvest equipment as well as the application of sustainable agricultural practices (agroforestry systems, sustainable soil and water management techniques).</w:t>
      </w:r>
    </w:p>
    <w:p w14:paraId="1533685B" w14:textId="77777777" w:rsidR="008E3299" w:rsidRPr="005516CD" w:rsidRDefault="008E3299" w:rsidP="008E329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0"/>
        <w:jc w:val="both"/>
        <w:rPr>
          <w:rFonts w:asciiTheme="majorHAnsi" w:hAnsiTheme="majorHAnsi" w:cstheme="majorHAnsi"/>
          <w:sz w:val="20"/>
          <w:szCs w:val="20"/>
          <w:lang w:val="en-GB"/>
        </w:rPr>
      </w:pPr>
      <w:r w:rsidRPr="005516CD">
        <w:rPr>
          <w:rFonts w:asciiTheme="majorHAnsi" w:hAnsiTheme="majorHAnsi" w:cstheme="majorHAnsi"/>
          <w:sz w:val="20"/>
          <w:szCs w:val="20"/>
        </w:rPr>
        <w:t xml:space="preserve">The operational modality of PITAG will involve the provision of technical and material support to farmers, for the implementation of innovative, profitable and sustainable agricultural technologies, by selected national service providers (NGOs), in response to expressions of demand formulated by the farmers.  </w:t>
      </w:r>
    </w:p>
    <w:p w14:paraId="703716BD" w14:textId="77777777" w:rsidR="008E3299" w:rsidRPr="005516CD" w:rsidRDefault="008E3299" w:rsidP="008E329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0"/>
        <w:jc w:val="both"/>
        <w:rPr>
          <w:rFonts w:asciiTheme="majorHAnsi" w:hAnsiTheme="majorHAnsi" w:cstheme="majorHAnsi"/>
          <w:sz w:val="20"/>
          <w:szCs w:val="20"/>
        </w:rPr>
      </w:pPr>
      <w:r w:rsidRPr="005516CD">
        <w:rPr>
          <w:rFonts w:asciiTheme="majorHAnsi" w:hAnsiTheme="majorHAnsi" w:cstheme="majorHAnsi"/>
          <w:b/>
          <w:sz w:val="20"/>
          <w:szCs w:val="20"/>
          <w:u w:val="single"/>
        </w:rPr>
        <w:t xml:space="preserve">The objectives </w:t>
      </w:r>
      <w:r w:rsidRPr="005516CD">
        <w:rPr>
          <w:rFonts w:asciiTheme="majorHAnsi" w:hAnsiTheme="majorHAnsi" w:cstheme="majorHAnsi"/>
          <w:sz w:val="20"/>
          <w:szCs w:val="20"/>
        </w:rPr>
        <w:t xml:space="preserve">of the proposed partnership between PITAG and the GEF project will be as follows: </w:t>
      </w:r>
    </w:p>
    <w:p w14:paraId="0C704CE5" w14:textId="77777777" w:rsidR="008E3299" w:rsidRPr="005516CD" w:rsidRDefault="008E3299" w:rsidP="006B27F4">
      <w:pPr>
        <w:pStyle w:val="ListParagraph"/>
        <w:numPr>
          <w:ilvl w:val="0"/>
          <w:numId w:val="121"/>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709" w:hanging="352"/>
        <w:jc w:val="both"/>
        <w:rPr>
          <w:rFonts w:asciiTheme="majorHAnsi" w:hAnsiTheme="majorHAnsi" w:cstheme="majorHAnsi"/>
          <w:sz w:val="20"/>
          <w:szCs w:val="20"/>
        </w:rPr>
      </w:pPr>
      <w:r w:rsidRPr="005516CD">
        <w:rPr>
          <w:rFonts w:asciiTheme="majorHAnsi" w:hAnsiTheme="majorHAnsi" w:cstheme="majorHAnsi"/>
          <w:sz w:val="20"/>
          <w:szCs w:val="20"/>
        </w:rPr>
        <w:t xml:space="preserve">To help </w:t>
      </w:r>
      <w:proofErr w:type="spellStart"/>
      <w:r w:rsidRPr="005516CD">
        <w:rPr>
          <w:rFonts w:asciiTheme="majorHAnsi" w:hAnsiTheme="majorHAnsi" w:cstheme="majorHAnsi"/>
          <w:sz w:val="20"/>
          <w:szCs w:val="20"/>
        </w:rPr>
        <w:t>optimise</w:t>
      </w:r>
      <w:proofErr w:type="spellEnd"/>
      <w:r w:rsidRPr="005516CD">
        <w:rPr>
          <w:rFonts w:asciiTheme="majorHAnsi" w:hAnsiTheme="majorHAnsi" w:cstheme="majorHAnsi"/>
          <w:sz w:val="20"/>
          <w:szCs w:val="20"/>
        </w:rPr>
        <w:t xml:space="preserve"> the environmental sustainability of the agricultural technologies supported by PITAG, and the achievement of its aim of generating positive environmental externalities at the same time as </w:t>
      </w:r>
      <w:proofErr w:type="gramStart"/>
      <w:r w:rsidRPr="005516CD">
        <w:rPr>
          <w:rFonts w:asciiTheme="majorHAnsi" w:hAnsiTheme="majorHAnsi" w:cstheme="majorHAnsi"/>
          <w:sz w:val="20"/>
          <w:szCs w:val="20"/>
        </w:rPr>
        <w:t>long term</w:t>
      </w:r>
      <w:proofErr w:type="gramEnd"/>
      <w:r w:rsidRPr="005516CD">
        <w:rPr>
          <w:rFonts w:asciiTheme="majorHAnsi" w:hAnsiTheme="majorHAnsi" w:cstheme="majorHAnsi"/>
          <w:sz w:val="20"/>
          <w:szCs w:val="20"/>
        </w:rPr>
        <w:t xml:space="preserve"> farm profitability. </w:t>
      </w:r>
    </w:p>
    <w:p w14:paraId="4B42A6F6" w14:textId="77777777" w:rsidR="008E3299" w:rsidRPr="005516CD" w:rsidRDefault="008E3299" w:rsidP="006B27F4">
      <w:pPr>
        <w:pStyle w:val="ListParagraph"/>
        <w:numPr>
          <w:ilvl w:val="0"/>
          <w:numId w:val="121"/>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709" w:hanging="352"/>
        <w:jc w:val="both"/>
        <w:rPr>
          <w:rFonts w:asciiTheme="majorHAnsi" w:hAnsiTheme="majorHAnsi" w:cstheme="majorHAnsi"/>
          <w:sz w:val="20"/>
          <w:szCs w:val="20"/>
        </w:rPr>
      </w:pPr>
      <w:r w:rsidRPr="005516CD">
        <w:rPr>
          <w:rFonts w:asciiTheme="majorHAnsi" w:hAnsiTheme="majorHAnsi" w:cstheme="majorHAnsi"/>
          <w:sz w:val="20"/>
          <w:szCs w:val="20"/>
        </w:rPr>
        <w:t xml:space="preserve">To maximize the overall impact of the GEF project, by </w:t>
      </w:r>
      <w:proofErr w:type="spellStart"/>
      <w:r w:rsidRPr="005516CD">
        <w:rPr>
          <w:rFonts w:asciiTheme="majorHAnsi" w:hAnsiTheme="majorHAnsi" w:cstheme="majorHAnsi"/>
          <w:sz w:val="20"/>
          <w:szCs w:val="20"/>
        </w:rPr>
        <w:t>catalysing</w:t>
      </w:r>
      <w:proofErr w:type="spellEnd"/>
      <w:r w:rsidRPr="005516CD">
        <w:rPr>
          <w:rFonts w:asciiTheme="majorHAnsi" w:hAnsiTheme="majorHAnsi" w:cstheme="majorHAnsi"/>
          <w:sz w:val="20"/>
          <w:szCs w:val="20"/>
        </w:rPr>
        <w:t xml:space="preserve"> the generation of environmental benefits at scale through strategic association with a larger development program.</w:t>
      </w:r>
    </w:p>
    <w:p w14:paraId="570C06EE" w14:textId="77777777" w:rsidR="008E3299" w:rsidRPr="005516CD" w:rsidRDefault="008E3299" w:rsidP="008E329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0"/>
        <w:jc w:val="both"/>
        <w:rPr>
          <w:rFonts w:asciiTheme="majorHAnsi" w:hAnsiTheme="majorHAnsi" w:cstheme="majorHAnsi"/>
          <w:sz w:val="20"/>
          <w:szCs w:val="20"/>
        </w:rPr>
      </w:pPr>
      <w:r w:rsidRPr="005516CD">
        <w:rPr>
          <w:rFonts w:asciiTheme="majorHAnsi" w:hAnsiTheme="majorHAnsi" w:cstheme="majorHAnsi"/>
          <w:sz w:val="20"/>
          <w:szCs w:val="20"/>
        </w:rPr>
        <w:t xml:space="preserve">The </w:t>
      </w:r>
      <w:r w:rsidRPr="005516CD">
        <w:rPr>
          <w:rFonts w:asciiTheme="majorHAnsi" w:hAnsiTheme="majorHAnsi" w:cstheme="majorHAnsi"/>
          <w:b/>
          <w:sz w:val="20"/>
          <w:szCs w:val="20"/>
          <w:u w:val="single"/>
        </w:rPr>
        <w:t>operational contribution of the GEF project</w:t>
      </w:r>
      <w:r w:rsidRPr="005516CD">
        <w:rPr>
          <w:rFonts w:asciiTheme="majorHAnsi" w:hAnsiTheme="majorHAnsi" w:cstheme="majorHAnsi"/>
          <w:sz w:val="20"/>
          <w:szCs w:val="20"/>
        </w:rPr>
        <w:t xml:space="preserve"> to the partnership will be as follows:</w:t>
      </w:r>
    </w:p>
    <w:p w14:paraId="0372B0F5" w14:textId="77777777" w:rsidR="008E3299" w:rsidRPr="005516CD" w:rsidRDefault="008E3299" w:rsidP="006B27F4">
      <w:pPr>
        <w:pStyle w:val="ListParagraph"/>
        <w:numPr>
          <w:ilvl w:val="0"/>
          <w:numId w:val="123"/>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709" w:hanging="349"/>
        <w:jc w:val="both"/>
        <w:rPr>
          <w:rFonts w:asciiTheme="majorHAnsi" w:hAnsiTheme="majorHAnsi" w:cstheme="majorHAnsi"/>
          <w:sz w:val="20"/>
          <w:szCs w:val="20"/>
        </w:rPr>
      </w:pPr>
      <w:r w:rsidRPr="005516CD">
        <w:rPr>
          <w:rFonts w:asciiTheme="majorHAnsi" w:hAnsiTheme="majorHAnsi" w:cstheme="majorHAnsi"/>
          <w:sz w:val="20"/>
          <w:szCs w:val="20"/>
        </w:rPr>
        <w:t xml:space="preserve">The provision of logistical, technical and facilitation support to members of selected target communities in developing spatial and strategic plans. These will identify options for production and natural resource management that offer optimum prospects for environmental sustainability and benefits, taking into account social and biophysical conditions as well as the spatial dynamics of ecosystem flows, and will define how they should most appropriately be located in the landscape in order to optimize socioeconomic and environmental benefits. These processes will contribute to the construction of a “menu” of environmentally sustainable productive alternatives potentially to be supported through PITAG, together with a  shortlist of farmers with potential to apply them and thereby to benefit from PITAG support; they will thereby contribute to optimizing the </w:t>
      </w:r>
      <w:proofErr w:type="spellStart"/>
      <w:r w:rsidRPr="005516CD">
        <w:rPr>
          <w:rFonts w:asciiTheme="majorHAnsi" w:hAnsiTheme="majorHAnsi" w:cstheme="majorHAnsi"/>
          <w:sz w:val="20"/>
          <w:szCs w:val="20"/>
        </w:rPr>
        <w:t>focalisation</w:t>
      </w:r>
      <w:proofErr w:type="spellEnd"/>
      <w:r w:rsidRPr="005516CD">
        <w:rPr>
          <w:rFonts w:asciiTheme="majorHAnsi" w:hAnsiTheme="majorHAnsi" w:cstheme="majorHAnsi"/>
          <w:sz w:val="20"/>
          <w:szCs w:val="20"/>
        </w:rPr>
        <w:t xml:space="preserve"> of the support provided through PITAG. </w:t>
      </w:r>
    </w:p>
    <w:p w14:paraId="61FB47F8" w14:textId="77777777" w:rsidR="008E3299" w:rsidRPr="005516CD" w:rsidRDefault="008E3299" w:rsidP="006B27F4">
      <w:pPr>
        <w:pStyle w:val="ListParagraph"/>
        <w:numPr>
          <w:ilvl w:val="0"/>
          <w:numId w:val="123"/>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709" w:hanging="349"/>
        <w:jc w:val="both"/>
        <w:rPr>
          <w:rFonts w:asciiTheme="majorHAnsi" w:hAnsiTheme="majorHAnsi" w:cstheme="majorHAnsi"/>
          <w:sz w:val="20"/>
          <w:szCs w:val="20"/>
        </w:rPr>
      </w:pPr>
      <w:r w:rsidRPr="005516CD">
        <w:rPr>
          <w:rFonts w:asciiTheme="majorHAnsi" w:hAnsiTheme="majorHAnsi" w:cstheme="majorHAnsi"/>
          <w:sz w:val="20"/>
          <w:szCs w:val="20"/>
        </w:rPr>
        <w:t xml:space="preserve">The provision of technical and facilitation support to candidate farmers in developing proposals of productive options, for inclusion in their requests for support through PITAG. This will serve to optimize the technical and environmental soundness of the portfolio of initiatives to be supported by PITAG, thereby </w:t>
      </w:r>
      <w:proofErr w:type="spellStart"/>
      <w:r w:rsidRPr="005516CD">
        <w:rPr>
          <w:rFonts w:asciiTheme="majorHAnsi" w:hAnsiTheme="majorHAnsi" w:cstheme="majorHAnsi"/>
          <w:sz w:val="20"/>
          <w:szCs w:val="20"/>
        </w:rPr>
        <w:t>maximising</w:t>
      </w:r>
      <w:proofErr w:type="spellEnd"/>
      <w:r w:rsidRPr="005516CD">
        <w:rPr>
          <w:rFonts w:asciiTheme="majorHAnsi" w:hAnsiTheme="majorHAnsi" w:cstheme="majorHAnsi"/>
          <w:sz w:val="20"/>
          <w:szCs w:val="20"/>
        </w:rPr>
        <w:t xml:space="preserve"> their social, financial and environmental impacts and their sustainability.</w:t>
      </w:r>
    </w:p>
    <w:p w14:paraId="0004F24E" w14:textId="77777777" w:rsidR="008E3299" w:rsidRPr="005516CD" w:rsidRDefault="008E3299" w:rsidP="006B27F4">
      <w:pPr>
        <w:pStyle w:val="ListParagraph"/>
        <w:numPr>
          <w:ilvl w:val="0"/>
          <w:numId w:val="123"/>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709" w:hanging="349"/>
        <w:jc w:val="both"/>
        <w:rPr>
          <w:rFonts w:asciiTheme="majorHAnsi" w:hAnsiTheme="majorHAnsi" w:cstheme="majorHAnsi"/>
          <w:sz w:val="20"/>
          <w:szCs w:val="20"/>
        </w:rPr>
      </w:pPr>
      <w:r w:rsidRPr="005516CD">
        <w:rPr>
          <w:rFonts w:asciiTheme="majorHAnsi" w:hAnsiTheme="majorHAnsi" w:cstheme="majorHAnsi"/>
          <w:sz w:val="20"/>
          <w:szCs w:val="20"/>
        </w:rPr>
        <w:t xml:space="preserve">The provision of technical, material and advisory support to farmers, for the development and management of value-adding and commercial activities based on the </w:t>
      </w:r>
      <w:proofErr w:type="spellStart"/>
      <w:r w:rsidRPr="005516CD">
        <w:rPr>
          <w:rFonts w:asciiTheme="majorHAnsi" w:hAnsiTheme="majorHAnsi" w:cstheme="majorHAnsi"/>
          <w:sz w:val="20"/>
          <w:szCs w:val="20"/>
        </w:rPr>
        <w:t>emvironmentally</w:t>
      </w:r>
      <w:proofErr w:type="spellEnd"/>
      <w:r w:rsidRPr="005516CD">
        <w:rPr>
          <w:rFonts w:asciiTheme="majorHAnsi" w:hAnsiTheme="majorHAnsi" w:cstheme="majorHAnsi"/>
          <w:sz w:val="20"/>
          <w:szCs w:val="20"/>
        </w:rPr>
        <w:t xml:space="preserve">-sustainable production practices supported by PITAG. This will </w:t>
      </w:r>
      <w:proofErr w:type="spellStart"/>
      <w:r w:rsidRPr="005516CD">
        <w:rPr>
          <w:rFonts w:asciiTheme="majorHAnsi" w:hAnsiTheme="majorHAnsi" w:cstheme="majorHAnsi"/>
          <w:sz w:val="20"/>
          <w:szCs w:val="20"/>
        </w:rPr>
        <w:t>optimise</w:t>
      </w:r>
      <w:proofErr w:type="spellEnd"/>
      <w:r w:rsidRPr="005516CD">
        <w:rPr>
          <w:rFonts w:asciiTheme="majorHAnsi" w:hAnsiTheme="majorHAnsi" w:cstheme="majorHAnsi"/>
          <w:sz w:val="20"/>
          <w:szCs w:val="20"/>
        </w:rPr>
        <w:t xml:space="preserve"> the financial benefits accruing to farmers, while at the same time providing financial incentives to farmers to </w:t>
      </w:r>
      <w:proofErr w:type="spellStart"/>
      <w:r w:rsidRPr="005516CD">
        <w:rPr>
          <w:rFonts w:asciiTheme="majorHAnsi" w:hAnsiTheme="majorHAnsi" w:cstheme="majorHAnsi"/>
          <w:sz w:val="20"/>
          <w:szCs w:val="20"/>
        </w:rPr>
        <w:t>favour</w:t>
      </w:r>
      <w:proofErr w:type="spellEnd"/>
      <w:r w:rsidRPr="005516CD">
        <w:rPr>
          <w:rFonts w:asciiTheme="majorHAnsi" w:hAnsiTheme="majorHAnsi" w:cstheme="majorHAnsi"/>
          <w:sz w:val="20"/>
          <w:szCs w:val="20"/>
        </w:rPr>
        <w:t xml:space="preserve"> sustainable forms of production.</w:t>
      </w:r>
    </w:p>
    <w:p w14:paraId="58D03B74" w14:textId="77777777" w:rsidR="008E3299" w:rsidRPr="005516CD" w:rsidRDefault="008E3299" w:rsidP="006B27F4">
      <w:pPr>
        <w:pStyle w:val="ListParagraph"/>
        <w:numPr>
          <w:ilvl w:val="0"/>
          <w:numId w:val="123"/>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709" w:hanging="349"/>
        <w:jc w:val="both"/>
        <w:rPr>
          <w:rFonts w:asciiTheme="majorHAnsi" w:hAnsiTheme="majorHAnsi" w:cstheme="majorHAnsi"/>
          <w:sz w:val="20"/>
          <w:szCs w:val="20"/>
        </w:rPr>
      </w:pPr>
      <w:r w:rsidRPr="005516CD">
        <w:rPr>
          <w:rFonts w:asciiTheme="majorHAnsi" w:hAnsiTheme="majorHAnsi" w:cstheme="majorHAnsi"/>
          <w:sz w:val="20"/>
          <w:szCs w:val="20"/>
        </w:rPr>
        <w:t>The provision of technical training to service providers collaborating with PITAG, in order to increase their effectiveness in supporting the application of environmentally-sustainable production practices by beneficiary farmers.</w:t>
      </w:r>
    </w:p>
    <w:p w14:paraId="4785B5EC" w14:textId="77777777" w:rsidR="008E3299" w:rsidRPr="005516CD" w:rsidRDefault="008E3299" w:rsidP="006B27F4">
      <w:pPr>
        <w:pStyle w:val="ListParagraph"/>
        <w:numPr>
          <w:ilvl w:val="0"/>
          <w:numId w:val="123"/>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709" w:hanging="349"/>
        <w:jc w:val="both"/>
        <w:rPr>
          <w:rFonts w:asciiTheme="majorHAnsi" w:hAnsiTheme="majorHAnsi" w:cstheme="majorHAnsi"/>
          <w:sz w:val="20"/>
          <w:szCs w:val="20"/>
        </w:rPr>
      </w:pPr>
      <w:r w:rsidRPr="005516CD">
        <w:rPr>
          <w:rFonts w:asciiTheme="majorHAnsi" w:hAnsiTheme="majorHAnsi" w:cstheme="majorHAnsi"/>
          <w:sz w:val="20"/>
          <w:szCs w:val="20"/>
        </w:rPr>
        <w:t>The provision of technical advisory support to PITAG in developing and applying criteria, safeguards and indicators, applicable to the specific conditions of the target communities, to the production practices supported by PITAG.</w:t>
      </w:r>
    </w:p>
    <w:p w14:paraId="6FA0EBD5" w14:textId="77777777" w:rsidR="008E3299" w:rsidRPr="005516CD" w:rsidRDefault="008E3299" w:rsidP="008E3299">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0"/>
        <w:jc w:val="both"/>
        <w:rPr>
          <w:rFonts w:asciiTheme="majorHAnsi" w:hAnsiTheme="majorHAnsi" w:cstheme="majorHAnsi"/>
          <w:sz w:val="20"/>
          <w:szCs w:val="20"/>
        </w:rPr>
      </w:pPr>
      <w:r w:rsidRPr="005516CD">
        <w:rPr>
          <w:rFonts w:asciiTheme="majorHAnsi" w:hAnsiTheme="majorHAnsi" w:cstheme="majorHAnsi"/>
          <w:b/>
          <w:sz w:val="20"/>
          <w:szCs w:val="20"/>
          <w:u w:val="single"/>
        </w:rPr>
        <w:t>Risks:</w:t>
      </w:r>
      <w:r w:rsidRPr="005516CD">
        <w:rPr>
          <w:rFonts w:asciiTheme="majorHAnsi" w:hAnsiTheme="majorHAnsi" w:cstheme="majorHAnsi"/>
          <w:sz w:val="20"/>
          <w:szCs w:val="20"/>
        </w:rPr>
        <w:t xml:space="preserve"> the proposed partnership will </w:t>
      </w:r>
      <w:proofErr w:type="spellStart"/>
      <w:r w:rsidRPr="005516CD">
        <w:rPr>
          <w:rFonts w:asciiTheme="majorHAnsi" w:hAnsiTheme="majorHAnsi" w:cstheme="majorHAnsi"/>
          <w:sz w:val="20"/>
          <w:szCs w:val="20"/>
        </w:rPr>
        <w:t>imply</w:t>
      </w:r>
      <w:proofErr w:type="spellEnd"/>
      <w:r w:rsidRPr="005516CD">
        <w:rPr>
          <w:rFonts w:asciiTheme="majorHAnsi" w:hAnsiTheme="majorHAnsi" w:cstheme="majorHAnsi"/>
          <w:sz w:val="20"/>
          <w:szCs w:val="20"/>
        </w:rPr>
        <w:t xml:space="preserve"> no risks to the rate of execution or magnitude of impacts of either partner, for the following reasons: </w:t>
      </w:r>
    </w:p>
    <w:p w14:paraId="0B844710" w14:textId="77777777" w:rsidR="008E3299" w:rsidRPr="005516CD" w:rsidRDefault="008E3299" w:rsidP="006B27F4">
      <w:pPr>
        <w:pStyle w:val="ListParagraph"/>
        <w:numPr>
          <w:ilvl w:val="0"/>
          <w:numId w:val="124"/>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709" w:hanging="349"/>
        <w:jc w:val="both"/>
        <w:rPr>
          <w:rFonts w:asciiTheme="majorHAnsi" w:hAnsiTheme="majorHAnsi" w:cstheme="majorHAnsi"/>
          <w:sz w:val="20"/>
          <w:szCs w:val="20"/>
        </w:rPr>
      </w:pPr>
      <w:r w:rsidRPr="005516CD">
        <w:rPr>
          <w:rFonts w:asciiTheme="majorHAnsi" w:hAnsiTheme="majorHAnsi" w:cstheme="majorHAnsi"/>
          <w:sz w:val="20"/>
          <w:szCs w:val="20"/>
        </w:rPr>
        <w:t xml:space="preserve">Although in the target communities the partnership will </w:t>
      </w:r>
      <w:proofErr w:type="spellStart"/>
      <w:r w:rsidRPr="005516CD">
        <w:rPr>
          <w:rFonts w:asciiTheme="majorHAnsi" w:hAnsiTheme="majorHAnsi" w:cstheme="majorHAnsi"/>
          <w:sz w:val="20"/>
          <w:szCs w:val="20"/>
        </w:rPr>
        <w:t>imply</w:t>
      </w:r>
      <w:proofErr w:type="spellEnd"/>
      <w:r w:rsidRPr="005516CD">
        <w:rPr>
          <w:rFonts w:asciiTheme="majorHAnsi" w:hAnsiTheme="majorHAnsi" w:cstheme="majorHAnsi"/>
          <w:sz w:val="20"/>
          <w:szCs w:val="20"/>
        </w:rPr>
        <w:t xml:space="preserve"> an initial process of participatory formulation of strategic and spatial plans, which will guide PITAG support to production practices, these communities will only constitute a small proportion of the total covered by PITAG. PITAG will therefore be able to progress without delay in other communities in the period between the commencement of its operations at the end of 2018 and the commencement of the field operations of the GEF project in the second half of 2019. </w:t>
      </w:r>
    </w:p>
    <w:p w14:paraId="6CA6EDE0" w14:textId="77777777" w:rsidR="008E3299" w:rsidRPr="005516CD" w:rsidRDefault="008E3299" w:rsidP="006B27F4">
      <w:pPr>
        <w:pStyle w:val="ListParagraph"/>
        <w:numPr>
          <w:ilvl w:val="0"/>
          <w:numId w:val="124"/>
        </w:numPr>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709" w:hanging="349"/>
        <w:jc w:val="both"/>
        <w:rPr>
          <w:rFonts w:asciiTheme="majorHAnsi" w:hAnsiTheme="majorHAnsi" w:cstheme="majorHAnsi"/>
          <w:sz w:val="20"/>
          <w:szCs w:val="20"/>
        </w:rPr>
      </w:pPr>
      <w:r w:rsidRPr="005516CD">
        <w:rPr>
          <w:rFonts w:asciiTheme="majorHAnsi" w:hAnsiTheme="majorHAnsi" w:cstheme="majorHAnsi"/>
          <w:sz w:val="20"/>
          <w:szCs w:val="20"/>
        </w:rPr>
        <w:t>In any of its target communities that may not be covered by PITAG, or in the event of any delay or change to the partnership arrangement, the GEF project will be able to provide the proposed support to farmers either directly or through alternative partnerships.</w:t>
      </w:r>
    </w:p>
    <w:p w14:paraId="5B00AC00" w14:textId="77777777" w:rsidR="00D61D5C" w:rsidRPr="005516CD" w:rsidRDefault="008E3299" w:rsidP="00D61D5C">
      <w:pPr>
        <w:pStyle w:val="ListParagraph"/>
        <w:pBdr>
          <w:top w:val="none" w:sz="0" w:space="0" w:color="auto"/>
          <w:left w:val="none" w:sz="0" w:space="0" w:color="auto"/>
          <w:bottom w:val="none" w:sz="0" w:space="0" w:color="auto"/>
          <w:right w:val="none" w:sz="0" w:space="0" w:color="auto"/>
          <w:between w:val="none" w:sz="0" w:space="0" w:color="auto"/>
          <w:bar w:val="none" w:sz="0" w:color="auto"/>
        </w:pBdr>
        <w:tabs>
          <w:tab w:val="left" w:pos="426"/>
        </w:tabs>
        <w:spacing w:after="120"/>
        <w:ind w:left="0"/>
        <w:jc w:val="both"/>
        <w:rPr>
          <w:rFonts w:asciiTheme="majorHAnsi" w:hAnsiTheme="majorHAnsi" w:cstheme="majorHAnsi"/>
          <w:sz w:val="20"/>
          <w:szCs w:val="20"/>
        </w:rPr>
        <w:sectPr w:rsidR="00D61D5C" w:rsidRPr="005516CD" w:rsidSect="00F91241">
          <w:headerReference w:type="even" r:id="rId147"/>
          <w:headerReference w:type="default" r:id="rId148"/>
          <w:footerReference w:type="default" r:id="rId149"/>
          <w:headerReference w:type="first" r:id="rId150"/>
          <w:pgSz w:w="12240" w:h="15840"/>
          <w:pgMar w:top="1440" w:right="1440" w:bottom="1440" w:left="1440" w:header="708" w:footer="432" w:gutter="0"/>
          <w:cols w:space="720"/>
          <w:docGrid w:linePitch="326"/>
        </w:sectPr>
      </w:pPr>
      <w:r w:rsidRPr="005516CD">
        <w:rPr>
          <w:rFonts w:asciiTheme="majorHAnsi" w:hAnsiTheme="majorHAnsi" w:cstheme="majorHAnsi"/>
          <w:sz w:val="20"/>
          <w:szCs w:val="20"/>
        </w:rPr>
        <w:t xml:space="preserve">The specific </w:t>
      </w:r>
      <w:r w:rsidRPr="005516CD">
        <w:rPr>
          <w:rFonts w:asciiTheme="majorHAnsi" w:hAnsiTheme="majorHAnsi" w:cstheme="majorHAnsi"/>
          <w:b/>
          <w:sz w:val="20"/>
          <w:szCs w:val="20"/>
          <w:u w:val="single"/>
        </w:rPr>
        <w:t>operational arrangements</w:t>
      </w:r>
      <w:r w:rsidRPr="005516CD">
        <w:rPr>
          <w:rFonts w:asciiTheme="majorHAnsi" w:hAnsiTheme="majorHAnsi" w:cstheme="majorHAnsi"/>
          <w:sz w:val="20"/>
          <w:szCs w:val="20"/>
        </w:rPr>
        <w:t xml:space="preserve"> for the partnership will be agreed in detail following project startup. PITAG and the GEF project will each have their separate administrative and implementation structures which will enable them to operate independently of each other. A coordination structure will be established at project start to permit the </w:t>
      </w:r>
      <w:proofErr w:type="spellStart"/>
      <w:r w:rsidRPr="005516CD">
        <w:rPr>
          <w:rFonts w:asciiTheme="majorHAnsi" w:hAnsiTheme="majorHAnsi" w:cstheme="majorHAnsi"/>
          <w:sz w:val="20"/>
          <w:szCs w:val="20"/>
        </w:rPr>
        <w:t>harmonisation</w:t>
      </w:r>
      <w:proofErr w:type="spellEnd"/>
      <w:r w:rsidRPr="005516CD">
        <w:rPr>
          <w:rFonts w:asciiTheme="majorHAnsi" w:hAnsiTheme="majorHAnsi" w:cstheme="majorHAnsi"/>
          <w:sz w:val="20"/>
          <w:szCs w:val="20"/>
        </w:rPr>
        <w:t xml:space="preserve"> and joint planning of operations and the consistency of the outreach messages delivered by both partners. </w:t>
      </w:r>
      <w:bookmarkEnd w:id="461"/>
      <w:bookmarkEnd w:id="462"/>
      <w:bookmarkEnd w:id="463"/>
      <w:bookmarkEnd w:id="464"/>
      <w:bookmarkEnd w:id="465"/>
      <w:bookmarkEnd w:id="466"/>
      <w:bookmarkEnd w:id="467"/>
    </w:p>
    <w:p w14:paraId="43D35F21" w14:textId="77777777" w:rsidR="00D61D5C" w:rsidRPr="00F50B18" w:rsidRDefault="00D61D5C" w:rsidP="00D61D5C">
      <w:pPr>
        <w:pStyle w:val="Heading2"/>
        <w:numPr>
          <w:ilvl w:val="3"/>
          <w:numId w:val="63"/>
        </w:numPr>
        <w:tabs>
          <w:tab w:val="left" w:pos="1985"/>
        </w:tabs>
        <w:spacing w:after="0"/>
        <w:ind w:left="0" w:hanging="45"/>
        <w:rPr>
          <w:rStyle w:val="None"/>
          <w:rFonts w:asciiTheme="majorHAnsi" w:eastAsia="Calibri" w:hAnsiTheme="majorHAnsi" w:cstheme="majorHAnsi"/>
          <w:sz w:val="24"/>
          <w:highlight w:val="green"/>
        </w:rPr>
      </w:pPr>
      <w:bookmarkStart w:id="472" w:name="_Toc8933123"/>
      <w:r w:rsidRPr="00F50B18">
        <w:rPr>
          <w:rStyle w:val="None"/>
          <w:rFonts w:asciiTheme="majorHAnsi" w:eastAsia="Calibri" w:hAnsiTheme="majorHAnsi" w:cstheme="majorHAnsi"/>
          <w:sz w:val="24"/>
          <w:highlight w:val="green"/>
        </w:rPr>
        <w:t>Procurement Plan</w:t>
      </w:r>
      <w:bookmarkEnd w:id="472"/>
    </w:p>
    <w:p w14:paraId="1EF55ABE" w14:textId="77777777" w:rsidR="00615077" w:rsidRPr="005516CD" w:rsidRDefault="00615077" w:rsidP="0028452F">
      <w:pPr>
        <w:pStyle w:val="Body"/>
        <w:rPr>
          <w:b/>
        </w:rPr>
      </w:pPr>
      <w:bookmarkStart w:id="473" w:name="_Hlk19437781"/>
    </w:p>
    <w:tbl>
      <w:tblPr>
        <w:tblW w:w="10320" w:type="dxa"/>
        <w:tblCellMar>
          <w:left w:w="70" w:type="dxa"/>
          <w:right w:w="70" w:type="dxa"/>
        </w:tblCellMar>
        <w:tblLook w:val="04A0" w:firstRow="1" w:lastRow="0" w:firstColumn="1" w:lastColumn="0" w:noHBand="0" w:noVBand="1"/>
      </w:tblPr>
      <w:tblGrid>
        <w:gridCol w:w="1303"/>
        <w:gridCol w:w="1496"/>
        <w:gridCol w:w="1346"/>
        <w:gridCol w:w="1738"/>
        <w:gridCol w:w="1647"/>
        <w:gridCol w:w="1867"/>
        <w:gridCol w:w="923"/>
      </w:tblGrid>
      <w:tr w:rsidR="00CE291E" w:rsidRPr="00CE291E" w14:paraId="17ACAA35" w14:textId="77777777" w:rsidTr="007860FC">
        <w:trPr>
          <w:gridAfter w:val="1"/>
          <w:wAfter w:w="923" w:type="dxa"/>
          <w:trHeight w:val="315"/>
        </w:trPr>
        <w:tc>
          <w:tcPr>
            <w:tcW w:w="1303" w:type="dxa"/>
            <w:vMerge w:val="restart"/>
            <w:tcBorders>
              <w:top w:val="nil"/>
              <w:left w:val="single" w:sz="8" w:space="0" w:color="auto"/>
              <w:bottom w:val="single" w:sz="8" w:space="0" w:color="000000"/>
              <w:right w:val="single" w:sz="8" w:space="0" w:color="auto"/>
            </w:tcBorders>
            <w:shd w:val="clear" w:color="000000" w:fill="D9D9D9"/>
            <w:vAlign w:val="center"/>
            <w:hideMark/>
          </w:tcPr>
          <w:p w14:paraId="48B903A3" w14:textId="77777777" w:rsidR="00CE291E" w:rsidRPr="00CE291E" w:rsidRDefault="00CE291E" w:rsidP="00CE291E">
            <w:pPr>
              <w:jc w:val="center"/>
              <w:rPr>
                <w:rFonts w:ascii="Calibri" w:eastAsia="Times New Roman" w:hAnsi="Calibri" w:cs="Calibri"/>
                <w:b/>
                <w:bCs/>
                <w:color w:val="000000"/>
                <w:sz w:val="18"/>
                <w:szCs w:val="18"/>
                <w:lang w:val="fr-FR" w:eastAsia="fr-FR"/>
              </w:rPr>
            </w:pPr>
            <w:r w:rsidRPr="00CE291E">
              <w:rPr>
                <w:rFonts w:ascii="Calibri" w:eastAsia="Times New Roman" w:hAnsi="Calibri" w:cs="Calibri"/>
                <w:b/>
                <w:bCs/>
                <w:color w:val="000000"/>
                <w:sz w:val="18"/>
                <w:szCs w:val="18"/>
                <w:lang w:eastAsia="fr-FR"/>
              </w:rPr>
              <w:t xml:space="preserve">ITEM </w:t>
            </w:r>
          </w:p>
        </w:tc>
        <w:tc>
          <w:tcPr>
            <w:tcW w:w="1496" w:type="dxa"/>
            <w:vMerge w:val="restart"/>
            <w:tcBorders>
              <w:top w:val="nil"/>
              <w:left w:val="single" w:sz="8" w:space="0" w:color="auto"/>
              <w:bottom w:val="single" w:sz="8" w:space="0" w:color="000000"/>
              <w:right w:val="single" w:sz="8" w:space="0" w:color="auto"/>
            </w:tcBorders>
            <w:shd w:val="clear" w:color="000000" w:fill="D9D9D9"/>
            <w:vAlign w:val="center"/>
            <w:hideMark/>
          </w:tcPr>
          <w:p w14:paraId="7CCD59EE" w14:textId="77777777" w:rsidR="00CE291E" w:rsidRPr="00CE291E" w:rsidRDefault="00CE291E" w:rsidP="00CE291E">
            <w:pPr>
              <w:jc w:val="center"/>
              <w:rPr>
                <w:rFonts w:ascii="Calibri" w:eastAsia="Times New Roman" w:hAnsi="Calibri" w:cs="Calibri"/>
                <w:b/>
                <w:bCs/>
                <w:color w:val="000000"/>
                <w:sz w:val="18"/>
                <w:szCs w:val="18"/>
                <w:lang w:val="fr-FR" w:eastAsia="fr-FR"/>
              </w:rPr>
            </w:pPr>
            <w:r w:rsidRPr="00CE291E">
              <w:rPr>
                <w:rFonts w:ascii="Calibri" w:eastAsia="Times New Roman" w:hAnsi="Calibri" w:cs="Calibri"/>
                <w:b/>
                <w:bCs/>
                <w:color w:val="000000"/>
                <w:sz w:val="18"/>
                <w:szCs w:val="18"/>
                <w:lang w:eastAsia="fr-FR"/>
              </w:rPr>
              <w:t>ITEM DESCRIPTION</w:t>
            </w:r>
          </w:p>
        </w:tc>
        <w:tc>
          <w:tcPr>
            <w:tcW w:w="1346" w:type="dxa"/>
            <w:vMerge w:val="restart"/>
            <w:tcBorders>
              <w:top w:val="nil"/>
              <w:left w:val="single" w:sz="8" w:space="0" w:color="auto"/>
              <w:bottom w:val="single" w:sz="8" w:space="0" w:color="000000"/>
              <w:right w:val="single" w:sz="8" w:space="0" w:color="auto"/>
            </w:tcBorders>
            <w:shd w:val="clear" w:color="000000" w:fill="D9D9D9"/>
            <w:vAlign w:val="center"/>
            <w:hideMark/>
          </w:tcPr>
          <w:p w14:paraId="6CFFF7DE" w14:textId="77777777" w:rsidR="00CE291E" w:rsidRPr="00CE291E" w:rsidRDefault="00CE291E" w:rsidP="00CE291E">
            <w:pPr>
              <w:jc w:val="center"/>
              <w:rPr>
                <w:rFonts w:ascii="Calibri" w:eastAsia="Times New Roman" w:hAnsi="Calibri" w:cs="Calibri"/>
                <w:b/>
                <w:bCs/>
                <w:color w:val="000000"/>
                <w:sz w:val="18"/>
                <w:szCs w:val="18"/>
                <w:lang w:val="fr-FR" w:eastAsia="fr-FR"/>
              </w:rPr>
            </w:pPr>
            <w:r w:rsidRPr="00CE291E">
              <w:rPr>
                <w:rFonts w:ascii="Calibri" w:eastAsia="Times New Roman" w:hAnsi="Calibri" w:cs="Calibri"/>
                <w:b/>
                <w:bCs/>
                <w:color w:val="000000"/>
                <w:sz w:val="18"/>
                <w:szCs w:val="18"/>
                <w:lang w:eastAsia="fr-FR"/>
              </w:rPr>
              <w:t xml:space="preserve">ESTIMATED COST </w:t>
            </w:r>
            <w:r w:rsidRPr="00CE291E">
              <w:rPr>
                <w:rFonts w:ascii="Calibri" w:eastAsia="Times New Roman" w:hAnsi="Calibri" w:cs="Calibri"/>
                <w:color w:val="000000"/>
                <w:sz w:val="18"/>
                <w:szCs w:val="18"/>
                <w:lang w:eastAsia="fr-FR"/>
              </w:rPr>
              <w:t>(US $)</w:t>
            </w:r>
          </w:p>
        </w:tc>
        <w:tc>
          <w:tcPr>
            <w:tcW w:w="1738" w:type="dxa"/>
            <w:vMerge w:val="restart"/>
            <w:tcBorders>
              <w:top w:val="nil"/>
              <w:left w:val="single" w:sz="8" w:space="0" w:color="auto"/>
              <w:bottom w:val="single" w:sz="8" w:space="0" w:color="000000"/>
              <w:right w:val="single" w:sz="8" w:space="0" w:color="auto"/>
            </w:tcBorders>
            <w:shd w:val="clear" w:color="000000" w:fill="D9D9D9"/>
            <w:vAlign w:val="center"/>
            <w:hideMark/>
          </w:tcPr>
          <w:p w14:paraId="32D4FBF5" w14:textId="77777777" w:rsidR="00CE291E" w:rsidRPr="00CE291E" w:rsidRDefault="00CE291E" w:rsidP="00CE291E">
            <w:pPr>
              <w:jc w:val="center"/>
              <w:rPr>
                <w:rFonts w:ascii="Calibri" w:eastAsia="Times New Roman" w:hAnsi="Calibri" w:cs="Calibri"/>
                <w:b/>
                <w:bCs/>
                <w:color w:val="000000"/>
                <w:sz w:val="18"/>
                <w:szCs w:val="18"/>
                <w:lang w:val="fr-FR" w:eastAsia="fr-FR"/>
              </w:rPr>
            </w:pPr>
            <w:r w:rsidRPr="00CE291E">
              <w:rPr>
                <w:rFonts w:ascii="Calibri" w:eastAsia="Times New Roman" w:hAnsi="Calibri" w:cs="Calibri"/>
                <w:b/>
                <w:bCs/>
                <w:color w:val="000000"/>
                <w:sz w:val="18"/>
                <w:szCs w:val="18"/>
                <w:lang w:eastAsia="fr-FR"/>
              </w:rPr>
              <w:t>PROCUREMENT METHOD</w:t>
            </w:r>
          </w:p>
        </w:tc>
        <w:tc>
          <w:tcPr>
            <w:tcW w:w="1647" w:type="dxa"/>
            <w:vMerge w:val="restart"/>
            <w:tcBorders>
              <w:top w:val="nil"/>
              <w:left w:val="single" w:sz="8" w:space="0" w:color="auto"/>
              <w:bottom w:val="single" w:sz="8" w:space="0" w:color="000000"/>
              <w:right w:val="single" w:sz="8" w:space="0" w:color="auto"/>
            </w:tcBorders>
            <w:shd w:val="clear" w:color="000000" w:fill="D9D9D9"/>
            <w:vAlign w:val="center"/>
            <w:hideMark/>
          </w:tcPr>
          <w:p w14:paraId="2FD2A6AB" w14:textId="77777777" w:rsidR="00CE291E" w:rsidRPr="00CE291E" w:rsidRDefault="00CE291E" w:rsidP="00CE291E">
            <w:pPr>
              <w:jc w:val="center"/>
              <w:rPr>
                <w:rFonts w:ascii="Calibri" w:eastAsia="Times New Roman" w:hAnsi="Calibri" w:cs="Calibri"/>
                <w:b/>
                <w:bCs/>
                <w:color w:val="000000"/>
                <w:sz w:val="18"/>
                <w:szCs w:val="18"/>
                <w:lang w:val="fr-FR" w:eastAsia="fr-FR"/>
              </w:rPr>
            </w:pPr>
            <w:r w:rsidRPr="00CE291E">
              <w:rPr>
                <w:rFonts w:ascii="Calibri" w:eastAsia="Times New Roman" w:hAnsi="Calibri" w:cs="Calibri"/>
                <w:b/>
                <w:bCs/>
                <w:color w:val="000000"/>
                <w:sz w:val="18"/>
                <w:szCs w:val="18"/>
                <w:lang w:eastAsia="fr-FR"/>
              </w:rPr>
              <w:t>ESTIMATED START DATE</w:t>
            </w:r>
          </w:p>
        </w:tc>
        <w:tc>
          <w:tcPr>
            <w:tcW w:w="1867" w:type="dxa"/>
            <w:vMerge w:val="restart"/>
            <w:tcBorders>
              <w:top w:val="nil"/>
              <w:left w:val="single" w:sz="8" w:space="0" w:color="auto"/>
              <w:bottom w:val="single" w:sz="8" w:space="0" w:color="000000"/>
              <w:right w:val="single" w:sz="8" w:space="0" w:color="auto"/>
            </w:tcBorders>
            <w:shd w:val="clear" w:color="000000" w:fill="D9D9D9"/>
            <w:vAlign w:val="center"/>
            <w:hideMark/>
          </w:tcPr>
          <w:p w14:paraId="3F50BE98" w14:textId="77777777" w:rsidR="00CE291E" w:rsidRPr="00CE291E" w:rsidRDefault="00CE291E" w:rsidP="00CE291E">
            <w:pPr>
              <w:jc w:val="center"/>
              <w:rPr>
                <w:rFonts w:ascii="Calibri" w:eastAsia="Times New Roman" w:hAnsi="Calibri" w:cs="Calibri"/>
                <w:b/>
                <w:bCs/>
                <w:color w:val="000000"/>
                <w:sz w:val="18"/>
                <w:szCs w:val="18"/>
                <w:lang w:val="fr-FR" w:eastAsia="fr-FR"/>
              </w:rPr>
            </w:pPr>
            <w:r w:rsidRPr="00CE291E">
              <w:rPr>
                <w:rFonts w:ascii="Calibri" w:eastAsia="Times New Roman" w:hAnsi="Calibri" w:cs="Calibri"/>
                <w:b/>
                <w:bCs/>
                <w:color w:val="000000"/>
                <w:sz w:val="18"/>
                <w:szCs w:val="18"/>
                <w:lang w:eastAsia="fr-FR"/>
              </w:rPr>
              <w:t>PROJECTED CONTRACTING DATE</w:t>
            </w:r>
          </w:p>
        </w:tc>
      </w:tr>
      <w:tr w:rsidR="00CE291E" w:rsidRPr="00CE291E" w14:paraId="6309305D" w14:textId="77777777" w:rsidTr="007860FC">
        <w:trPr>
          <w:trHeight w:val="330"/>
        </w:trPr>
        <w:tc>
          <w:tcPr>
            <w:tcW w:w="1303" w:type="dxa"/>
            <w:vMerge/>
            <w:tcBorders>
              <w:top w:val="nil"/>
              <w:left w:val="single" w:sz="8" w:space="0" w:color="auto"/>
              <w:bottom w:val="single" w:sz="8" w:space="0" w:color="000000"/>
              <w:right w:val="single" w:sz="8" w:space="0" w:color="auto"/>
            </w:tcBorders>
            <w:vAlign w:val="center"/>
            <w:hideMark/>
          </w:tcPr>
          <w:p w14:paraId="560A76B0" w14:textId="77777777" w:rsidR="00CE291E" w:rsidRPr="00CE291E" w:rsidRDefault="00CE291E" w:rsidP="00CE291E">
            <w:pPr>
              <w:rPr>
                <w:rFonts w:ascii="Calibri" w:eastAsia="Times New Roman" w:hAnsi="Calibri" w:cs="Calibri"/>
                <w:b/>
                <w:bCs/>
                <w:color w:val="000000"/>
                <w:sz w:val="18"/>
                <w:szCs w:val="18"/>
                <w:lang w:val="fr-FR" w:eastAsia="fr-FR"/>
              </w:rPr>
            </w:pPr>
          </w:p>
        </w:tc>
        <w:tc>
          <w:tcPr>
            <w:tcW w:w="1496" w:type="dxa"/>
            <w:vMerge/>
            <w:tcBorders>
              <w:top w:val="nil"/>
              <w:left w:val="single" w:sz="8" w:space="0" w:color="auto"/>
              <w:bottom w:val="single" w:sz="8" w:space="0" w:color="000000"/>
              <w:right w:val="single" w:sz="8" w:space="0" w:color="auto"/>
            </w:tcBorders>
            <w:vAlign w:val="center"/>
            <w:hideMark/>
          </w:tcPr>
          <w:p w14:paraId="6A782A0F" w14:textId="77777777" w:rsidR="00CE291E" w:rsidRPr="00CE291E" w:rsidRDefault="00CE291E" w:rsidP="00CE291E">
            <w:pPr>
              <w:rPr>
                <w:rFonts w:ascii="Calibri" w:eastAsia="Times New Roman" w:hAnsi="Calibri" w:cs="Calibri"/>
                <w:b/>
                <w:bCs/>
                <w:color w:val="000000"/>
                <w:sz w:val="18"/>
                <w:szCs w:val="18"/>
                <w:lang w:val="fr-FR" w:eastAsia="fr-FR"/>
              </w:rPr>
            </w:pPr>
          </w:p>
        </w:tc>
        <w:tc>
          <w:tcPr>
            <w:tcW w:w="1346" w:type="dxa"/>
            <w:vMerge/>
            <w:tcBorders>
              <w:top w:val="nil"/>
              <w:left w:val="single" w:sz="8" w:space="0" w:color="auto"/>
              <w:bottom w:val="single" w:sz="8" w:space="0" w:color="000000"/>
              <w:right w:val="single" w:sz="8" w:space="0" w:color="auto"/>
            </w:tcBorders>
            <w:vAlign w:val="center"/>
            <w:hideMark/>
          </w:tcPr>
          <w:p w14:paraId="1EF25F69" w14:textId="77777777" w:rsidR="00CE291E" w:rsidRPr="00CE291E" w:rsidRDefault="00CE291E" w:rsidP="00CE291E">
            <w:pPr>
              <w:rPr>
                <w:rFonts w:ascii="Calibri" w:eastAsia="Times New Roman" w:hAnsi="Calibri" w:cs="Calibri"/>
                <w:b/>
                <w:bCs/>
                <w:color w:val="000000"/>
                <w:sz w:val="18"/>
                <w:szCs w:val="18"/>
                <w:lang w:val="fr-FR" w:eastAsia="fr-FR"/>
              </w:rPr>
            </w:pPr>
          </w:p>
        </w:tc>
        <w:tc>
          <w:tcPr>
            <w:tcW w:w="1738" w:type="dxa"/>
            <w:vMerge/>
            <w:tcBorders>
              <w:top w:val="nil"/>
              <w:left w:val="single" w:sz="8" w:space="0" w:color="auto"/>
              <w:bottom w:val="single" w:sz="8" w:space="0" w:color="000000"/>
              <w:right w:val="single" w:sz="8" w:space="0" w:color="auto"/>
            </w:tcBorders>
            <w:vAlign w:val="center"/>
            <w:hideMark/>
          </w:tcPr>
          <w:p w14:paraId="53431071" w14:textId="77777777" w:rsidR="00CE291E" w:rsidRPr="00CE291E" w:rsidRDefault="00CE291E" w:rsidP="00CE291E">
            <w:pPr>
              <w:rPr>
                <w:rFonts w:ascii="Calibri" w:eastAsia="Times New Roman" w:hAnsi="Calibri" w:cs="Calibri"/>
                <w:b/>
                <w:bCs/>
                <w:color w:val="000000"/>
                <w:sz w:val="18"/>
                <w:szCs w:val="18"/>
                <w:lang w:val="fr-FR" w:eastAsia="fr-FR"/>
              </w:rPr>
            </w:pPr>
          </w:p>
        </w:tc>
        <w:tc>
          <w:tcPr>
            <w:tcW w:w="1647" w:type="dxa"/>
            <w:vMerge/>
            <w:tcBorders>
              <w:top w:val="nil"/>
              <w:left w:val="single" w:sz="8" w:space="0" w:color="auto"/>
              <w:bottom w:val="single" w:sz="8" w:space="0" w:color="000000"/>
              <w:right w:val="single" w:sz="8" w:space="0" w:color="auto"/>
            </w:tcBorders>
            <w:vAlign w:val="center"/>
            <w:hideMark/>
          </w:tcPr>
          <w:p w14:paraId="4EDA9BF6" w14:textId="77777777" w:rsidR="00CE291E" w:rsidRPr="00CE291E" w:rsidRDefault="00CE291E" w:rsidP="00CE291E">
            <w:pPr>
              <w:rPr>
                <w:rFonts w:ascii="Calibri" w:eastAsia="Times New Roman" w:hAnsi="Calibri" w:cs="Calibri"/>
                <w:b/>
                <w:bCs/>
                <w:color w:val="000000"/>
                <w:sz w:val="18"/>
                <w:szCs w:val="18"/>
                <w:lang w:val="fr-FR" w:eastAsia="fr-FR"/>
              </w:rPr>
            </w:pPr>
          </w:p>
        </w:tc>
        <w:tc>
          <w:tcPr>
            <w:tcW w:w="1867" w:type="dxa"/>
            <w:vMerge/>
            <w:tcBorders>
              <w:top w:val="nil"/>
              <w:left w:val="single" w:sz="8" w:space="0" w:color="auto"/>
              <w:bottom w:val="single" w:sz="8" w:space="0" w:color="000000"/>
              <w:right w:val="single" w:sz="8" w:space="0" w:color="auto"/>
            </w:tcBorders>
            <w:vAlign w:val="center"/>
            <w:hideMark/>
          </w:tcPr>
          <w:p w14:paraId="339E0F33" w14:textId="77777777" w:rsidR="00CE291E" w:rsidRPr="00CE291E" w:rsidRDefault="00CE291E" w:rsidP="00CE291E">
            <w:pPr>
              <w:rPr>
                <w:rFonts w:ascii="Calibri" w:eastAsia="Times New Roman" w:hAnsi="Calibri" w:cs="Calibri"/>
                <w:b/>
                <w:bCs/>
                <w:color w:val="000000"/>
                <w:sz w:val="18"/>
                <w:szCs w:val="18"/>
                <w:lang w:val="fr-FR" w:eastAsia="fr-FR"/>
              </w:rPr>
            </w:pPr>
          </w:p>
        </w:tc>
        <w:tc>
          <w:tcPr>
            <w:tcW w:w="923" w:type="dxa"/>
            <w:tcBorders>
              <w:top w:val="nil"/>
              <w:left w:val="nil"/>
              <w:bottom w:val="single" w:sz="8" w:space="0" w:color="auto"/>
              <w:right w:val="nil"/>
            </w:tcBorders>
            <w:shd w:val="clear" w:color="auto" w:fill="auto"/>
            <w:vAlign w:val="center"/>
            <w:hideMark/>
          </w:tcPr>
          <w:p w14:paraId="51B9E168" w14:textId="77777777" w:rsidR="00CE291E" w:rsidRPr="00CE291E" w:rsidRDefault="00CE291E" w:rsidP="00CE291E">
            <w:pPr>
              <w:rPr>
                <w:rFonts w:eastAsia="Times New Roman"/>
                <w:color w:val="000000"/>
                <w:lang w:val="en-US" w:eastAsia="fr-FR"/>
              </w:rPr>
            </w:pPr>
            <w:r w:rsidRPr="00CE291E">
              <w:rPr>
                <w:rFonts w:eastAsia="Times New Roman"/>
                <w:color w:val="000000"/>
                <w:lang w:val="en-US" w:eastAsia="fr-FR"/>
              </w:rPr>
              <w:t> </w:t>
            </w:r>
          </w:p>
        </w:tc>
      </w:tr>
      <w:tr w:rsidR="00CE291E" w:rsidRPr="00CE291E" w14:paraId="4D5BA73F" w14:textId="77777777" w:rsidTr="00CE291E">
        <w:trPr>
          <w:trHeight w:val="315"/>
        </w:trPr>
        <w:tc>
          <w:tcPr>
            <w:tcW w:w="10320" w:type="dxa"/>
            <w:gridSpan w:val="7"/>
            <w:tcBorders>
              <w:top w:val="nil"/>
              <w:left w:val="single" w:sz="8" w:space="0" w:color="auto"/>
              <w:bottom w:val="single" w:sz="8" w:space="0" w:color="auto"/>
              <w:right w:val="nil"/>
            </w:tcBorders>
            <w:shd w:val="clear" w:color="auto" w:fill="auto"/>
            <w:vAlign w:val="center"/>
            <w:hideMark/>
          </w:tcPr>
          <w:p w14:paraId="72915AF7" w14:textId="77777777" w:rsidR="00CE291E" w:rsidRPr="008244FA" w:rsidRDefault="00CE291E" w:rsidP="00CE291E">
            <w:pPr>
              <w:rPr>
                <w:rFonts w:ascii="Calibri" w:eastAsia="Times New Roman" w:hAnsi="Calibri" w:cs="Calibri"/>
                <w:b/>
                <w:bCs/>
                <w:color w:val="000000"/>
                <w:sz w:val="18"/>
                <w:szCs w:val="18"/>
                <w:lang w:eastAsia="fr-FR"/>
              </w:rPr>
            </w:pPr>
            <w:r w:rsidRPr="00CE291E">
              <w:rPr>
                <w:rFonts w:ascii="Calibri" w:eastAsia="Times New Roman" w:hAnsi="Calibri" w:cs="Calibri"/>
                <w:b/>
                <w:bCs/>
                <w:color w:val="000000"/>
                <w:sz w:val="18"/>
                <w:szCs w:val="18"/>
                <w:lang w:eastAsia="fr-FR"/>
              </w:rPr>
              <w:t>Goods and Non-Consulting Services</w:t>
            </w:r>
          </w:p>
        </w:tc>
      </w:tr>
      <w:tr w:rsidR="00CE291E" w:rsidRPr="00CE291E" w14:paraId="412F363D" w14:textId="77777777" w:rsidTr="007860FC">
        <w:trPr>
          <w:gridAfter w:val="1"/>
          <w:wAfter w:w="923" w:type="dxa"/>
          <w:trHeight w:val="330"/>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502BFCEB" w14:textId="77777777" w:rsidR="00CE291E" w:rsidRPr="008244FA" w:rsidRDefault="00CE291E" w:rsidP="00CE291E">
            <w:pPr>
              <w:jc w:val="cente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 </w:t>
            </w:r>
          </w:p>
        </w:tc>
        <w:tc>
          <w:tcPr>
            <w:tcW w:w="1496" w:type="dxa"/>
            <w:tcBorders>
              <w:top w:val="nil"/>
              <w:left w:val="nil"/>
              <w:bottom w:val="single" w:sz="8" w:space="0" w:color="auto"/>
              <w:right w:val="single" w:sz="8" w:space="0" w:color="auto"/>
            </w:tcBorders>
            <w:shd w:val="clear" w:color="auto" w:fill="auto"/>
            <w:vAlign w:val="center"/>
            <w:hideMark/>
          </w:tcPr>
          <w:p w14:paraId="4292A5D4" w14:textId="77777777" w:rsidR="00CE291E" w:rsidRPr="008244FA" w:rsidRDefault="00CE291E" w:rsidP="00CE291E">
            <w:pP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 </w:t>
            </w:r>
          </w:p>
        </w:tc>
        <w:tc>
          <w:tcPr>
            <w:tcW w:w="1346" w:type="dxa"/>
            <w:tcBorders>
              <w:top w:val="nil"/>
              <w:left w:val="nil"/>
              <w:bottom w:val="single" w:sz="8" w:space="0" w:color="auto"/>
              <w:right w:val="single" w:sz="8" w:space="0" w:color="auto"/>
            </w:tcBorders>
            <w:shd w:val="clear" w:color="auto" w:fill="auto"/>
            <w:vAlign w:val="center"/>
            <w:hideMark/>
          </w:tcPr>
          <w:p w14:paraId="0EF0836B" w14:textId="77777777" w:rsidR="00CE291E" w:rsidRPr="008244FA" w:rsidRDefault="00CE291E" w:rsidP="00CE291E">
            <w:pPr>
              <w:jc w:val="cente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 </w:t>
            </w:r>
          </w:p>
        </w:tc>
        <w:tc>
          <w:tcPr>
            <w:tcW w:w="1738" w:type="dxa"/>
            <w:tcBorders>
              <w:top w:val="nil"/>
              <w:left w:val="nil"/>
              <w:bottom w:val="single" w:sz="8" w:space="0" w:color="auto"/>
              <w:right w:val="single" w:sz="8" w:space="0" w:color="auto"/>
            </w:tcBorders>
            <w:shd w:val="clear" w:color="auto" w:fill="auto"/>
            <w:vAlign w:val="center"/>
            <w:hideMark/>
          </w:tcPr>
          <w:p w14:paraId="3BEE6BB3" w14:textId="77777777" w:rsidR="00CE291E" w:rsidRPr="008244FA" w:rsidRDefault="00CE291E" w:rsidP="00CE291E">
            <w:pP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 </w:t>
            </w:r>
          </w:p>
        </w:tc>
        <w:tc>
          <w:tcPr>
            <w:tcW w:w="1647" w:type="dxa"/>
            <w:tcBorders>
              <w:top w:val="nil"/>
              <w:left w:val="nil"/>
              <w:bottom w:val="single" w:sz="8" w:space="0" w:color="auto"/>
              <w:right w:val="single" w:sz="8" w:space="0" w:color="auto"/>
            </w:tcBorders>
            <w:shd w:val="clear" w:color="auto" w:fill="auto"/>
            <w:vAlign w:val="center"/>
            <w:hideMark/>
          </w:tcPr>
          <w:p w14:paraId="44A684F9" w14:textId="77777777" w:rsidR="00CE291E" w:rsidRPr="008244FA" w:rsidRDefault="00CE291E" w:rsidP="00CE291E">
            <w:pPr>
              <w:jc w:val="cente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 </w:t>
            </w:r>
          </w:p>
        </w:tc>
        <w:tc>
          <w:tcPr>
            <w:tcW w:w="1867" w:type="dxa"/>
            <w:tcBorders>
              <w:top w:val="nil"/>
              <w:left w:val="nil"/>
              <w:bottom w:val="single" w:sz="8" w:space="0" w:color="auto"/>
              <w:right w:val="single" w:sz="8" w:space="0" w:color="auto"/>
            </w:tcBorders>
            <w:shd w:val="clear" w:color="auto" w:fill="auto"/>
            <w:vAlign w:val="center"/>
            <w:hideMark/>
          </w:tcPr>
          <w:p w14:paraId="43482138" w14:textId="77777777" w:rsidR="00CE291E" w:rsidRPr="008244FA" w:rsidRDefault="00CE291E" w:rsidP="00CE291E">
            <w:pPr>
              <w:jc w:val="cente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 </w:t>
            </w:r>
          </w:p>
        </w:tc>
      </w:tr>
      <w:tr w:rsidR="007860FC" w:rsidRPr="00CE291E" w14:paraId="0A88F457" w14:textId="77777777" w:rsidTr="007860FC">
        <w:trPr>
          <w:gridAfter w:val="1"/>
          <w:wAfter w:w="923" w:type="dxa"/>
          <w:trHeight w:val="1215"/>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4B409448"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CS Individual</w:t>
            </w:r>
          </w:p>
        </w:tc>
        <w:tc>
          <w:tcPr>
            <w:tcW w:w="1496" w:type="dxa"/>
            <w:tcBorders>
              <w:top w:val="nil"/>
              <w:left w:val="nil"/>
              <w:bottom w:val="single" w:sz="8" w:space="0" w:color="auto"/>
              <w:right w:val="single" w:sz="8" w:space="0" w:color="auto"/>
            </w:tcBorders>
            <w:shd w:val="clear" w:color="auto" w:fill="auto"/>
            <w:vAlign w:val="center"/>
            <w:hideMark/>
          </w:tcPr>
          <w:p w14:paraId="07856AFF" w14:textId="0B5A694F" w:rsidR="007860FC" w:rsidRPr="008244FA" w:rsidRDefault="007860FC" w:rsidP="007860FC">
            <w:pPr>
              <w:rPr>
                <w:rFonts w:ascii="Calibri" w:eastAsia="Times New Roman" w:hAnsi="Calibri" w:cs="Calibri"/>
                <w:color w:val="000000"/>
                <w:sz w:val="18"/>
                <w:szCs w:val="18"/>
                <w:lang w:eastAsia="fr-FR"/>
              </w:rPr>
            </w:pPr>
            <w:r>
              <w:rPr>
                <w:rFonts w:ascii="Calibri" w:eastAsia="Times New Roman" w:hAnsi="Calibri" w:cs="Calibri"/>
                <w:color w:val="000000"/>
                <w:sz w:val="18"/>
                <w:szCs w:val="18"/>
                <w:lang w:eastAsia="fr-FR"/>
              </w:rPr>
              <w:t>Project officer</w:t>
            </w:r>
            <w:r w:rsidRPr="00CE291E">
              <w:rPr>
                <w:rFonts w:ascii="Calibri" w:eastAsia="Times New Roman" w:hAnsi="Calibri" w:cs="Calibri"/>
                <w:color w:val="000000"/>
                <w:sz w:val="18"/>
                <w:szCs w:val="18"/>
                <w:lang w:eastAsia="fr-FR"/>
              </w:rPr>
              <w:t xml:space="preserve"> (SB4); Drivers; Admin; Technical</w:t>
            </w:r>
          </w:p>
        </w:tc>
        <w:tc>
          <w:tcPr>
            <w:tcW w:w="1346" w:type="dxa"/>
            <w:tcBorders>
              <w:top w:val="nil"/>
              <w:left w:val="nil"/>
              <w:bottom w:val="single" w:sz="8" w:space="0" w:color="auto"/>
              <w:right w:val="single" w:sz="8" w:space="0" w:color="auto"/>
            </w:tcBorders>
            <w:shd w:val="clear" w:color="auto" w:fill="auto"/>
            <w:hideMark/>
          </w:tcPr>
          <w:p w14:paraId="24666E23" w14:textId="05D16818" w:rsidR="007860FC" w:rsidRPr="007860FC" w:rsidRDefault="007860FC" w:rsidP="007860FC">
            <w:pPr>
              <w:jc w:val="right"/>
              <w:rPr>
                <w:rFonts w:asciiTheme="majorHAnsi" w:eastAsia="Times New Roman" w:hAnsiTheme="majorHAnsi" w:cstheme="majorHAnsi"/>
                <w:color w:val="000000"/>
                <w:sz w:val="20"/>
                <w:szCs w:val="18"/>
                <w:lang w:val="fr-FR" w:eastAsia="fr-FR"/>
              </w:rPr>
            </w:pPr>
            <w:r w:rsidRPr="007860FC">
              <w:rPr>
                <w:rFonts w:asciiTheme="majorHAnsi" w:hAnsiTheme="majorHAnsi" w:cstheme="majorHAnsi"/>
                <w:sz w:val="20"/>
              </w:rPr>
              <w:t>514,200.00</w:t>
            </w:r>
          </w:p>
        </w:tc>
        <w:tc>
          <w:tcPr>
            <w:tcW w:w="1738" w:type="dxa"/>
            <w:tcBorders>
              <w:top w:val="nil"/>
              <w:left w:val="nil"/>
              <w:bottom w:val="single" w:sz="8" w:space="0" w:color="auto"/>
              <w:right w:val="single" w:sz="8" w:space="0" w:color="auto"/>
            </w:tcBorders>
            <w:shd w:val="clear" w:color="auto" w:fill="auto"/>
            <w:vAlign w:val="center"/>
            <w:hideMark/>
          </w:tcPr>
          <w:p w14:paraId="089C02B8"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Local Advertisement</w:t>
            </w:r>
          </w:p>
        </w:tc>
        <w:tc>
          <w:tcPr>
            <w:tcW w:w="1647" w:type="dxa"/>
            <w:tcBorders>
              <w:top w:val="nil"/>
              <w:left w:val="nil"/>
              <w:bottom w:val="single" w:sz="8" w:space="0" w:color="auto"/>
              <w:right w:val="single" w:sz="8" w:space="0" w:color="auto"/>
            </w:tcBorders>
            <w:shd w:val="clear" w:color="auto" w:fill="auto"/>
            <w:vAlign w:val="center"/>
            <w:hideMark/>
          </w:tcPr>
          <w:p w14:paraId="642103B0"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QTR1-YR1</w:t>
            </w:r>
          </w:p>
        </w:tc>
        <w:tc>
          <w:tcPr>
            <w:tcW w:w="1867" w:type="dxa"/>
            <w:tcBorders>
              <w:top w:val="nil"/>
              <w:left w:val="nil"/>
              <w:bottom w:val="single" w:sz="8" w:space="0" w:color="auto"/>
              <w:right w:val="single" w:sz="8" w:space="0" w:color="auto"/>
            </w:tcBorders>
            <w:shd w:val="clear" w:color="auto" w:fill="auto"/>
            <w:vAlign w:val="center"/>
            <w:hideMark/>
          </w:tcPr>
          <w:p w14:paraId="619775A4"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QTR2-YR1</w:t>
            </w:r>
          </w:p>
        </w:tc>
      </w:tr>
      <w:tr w:rsidR="007860FC" w:rsidRPr="00CE291E" w14:paraId="7B151E1B" w14:textId="77777777" w:rsidTr="007860FC">
        <w:trPr>
          <w:gridAfter w:val="1"/>
          <w:wAfter w:w="923" w:type="dxa"/>
          <w:trHeight w:val="975"/>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43126654"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CS Company</w:t>
            </w:r>
          </w:p>
        </w:tc>
        <w:tc>
          <w:tcPr>
            <w:tcW w:w="1496" w:type="dxa"/>
            <w:tcBorders>
              <w:top w:val="nil"/>
              <w:left w:val="nil"/>
              <w:bottom w:val="single" w:sz="8" w:space="0" w:color="auto"/>
              <w:right w:val="single" w:sz="8" w:space="0" w:color="auto"/>
            </w:tcBorders>
            <w:shd w:val="clear" w:color="auto" w:fill="auto"/>
            <w:vAlign w:val="center"/>
            <w:hideMark/>
          </w:tcPr>
          <w:p w14:paraId="33EC6B40" w14:textId="77777777" w:rsidR="007860FC" w:rsidRPr="008244FA" w:rsidRDefault="007860FC" w:rsidP="007860FC">
            <w:pP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National contractual company for office security</w:t>
            </w:r>
          </w:p>
        </w:tc>
        <w:tc>
          <w:tcPr>
            <w:tcW w:w="1346" w:type="dxa"/>
            <w:tcBorders>
              <w:top w:val="nil"/>
              <w:left w:val="nil"/>
              <w:bottom w:val="single" w:sz="8" w:space="0" w:color="auto"/>
              <w:right w:val="single" w:sz="8" w:space="0" w:color="auto"/>
            </w:tcBorders>
            <w:shd w:val="clear" w:color="auto" w:fill="auto"/>
            <w:hideMark/>
          </w:tcPr>
          <w:p w14:paraId="0FDB3BB6" w14:textId="1F12ECFC" w:rsidR="007860FC" w:rsidRPr="007860FC" w:rsidRDefault="007860FC" w:rsidP="007860FC">
            <w:pPr>
              <w:jc w:val="center"/>
              <w:rPr>
                <w:rFonts w:asciiTheme="majorHAnsi" w:eastAsia="Times New Roman" w:hAnsiTheme="majorHAnsi" w:cstheme="majorHAnsi"/>
                <w:color w:val="000000"/>
                <w:sz w:val="20"/>
                <w:szCs w:val="18"/>
                <w:lang w:val="fr-FR" w:eastAsia="fr-FR"/>
              </w:rPr>
            </w:pPr>
            <w:r w:rsidRPr="007860FC">
              <w:rPr>
                <w:rFonts w:asciiTheme="majorHAnsi" w:hAnsiTheme="majorHAnsi" w:cstheme="majorHAnsi"/>
                <w:sz w:val="20"/>
              </w:rPr>
              <w:t>42,500.00</w:t>
            </w:r>
          </w:p>
        </w:tc>
        <w:tc>
          <w:tcPr>
            <w:tcW w:w="1738" w:type="dxa"/>
            <w:tcBorders>
              <w:top w:val="nil"/>
              <w:left w:val="nil"/>
              <w:bottom w:val="single" w:sz="8" w:space="0" w:color="auto"/>
              <w:right w:val="single" w:sz="8" w:space="0" w:color="auto"/>
            </w:tcBorders>
            <w:shd w:val="clear" w:color="auto" w:fill="auto"/>
            <w:vAlign w:val="center"/>
            <w:hideMark/>
          </w:tcPr>
          <w:p w14:paraId="688E7734"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Local Advertisement</w:t>
            </w:r>
          </w:p>
        </w:tc>
        <w:tc>
          <w:tcPr>
            <w:tcW w:w="1647" w:type="dxa"/>
            <w:tcBorders>
              <w:top w:val="nil"/>
              <w:left w:val="nil"/>
              <w:bottom w:val="single" w:sz="8" w:space="0" w:color="auto"/>
              <w:right w:val="single" w:sz="8" w:space="0" w:color="auto"/>
            </w:tcBorders>
            <w:shd w:val="clear" w:color="auto" w:fill="auto"/>
            <w:vAlign w:val="center"/>
            <w:hideMark/>
          </w:tcPr>
          <w:p w14:paraId="3C7FE7AC"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QTR1-YR5</w:t>
            </w:r>
          </w:p>
        </w:tc>
        <w:tc>
          <w:tcPr>
            <w:tcW w:w="1867" w:type="dxa"/>
            <w:tcBorders>
              <w:top w:val="nil"/>
              <w:left w:val="nil"/>
              <w:bottom w:val="single" w:sz="8" w:space="0" w:color="auto"/>
              <w:right w:val="single" w:sz="8" w:space="0" w:color="auto"/>
            </w:tcBorders>
            <w:shd w:val="clear" w:color="auto" w:fill="auto"/>
            <w:vAlign w:val="center"/>
            <w:hideMark/>
          </w:tcPr>
          <w:p w14:paraId="11E78CE6"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QTR2-YR1</w:t>
            </w:r>
          </w:p>
        </w:tc>
      </w:tr>
      <w:tr w:rsidR="007860FC" w:rsidRPr="00CE291E" w14:paraId="221EA290" w14:textId="77777777" w:rsidTr="007860FC">
        <w:trPr>
          <w:gridAfter w:val="1"/>
          <w:wAfter w:w="923" w:type="dxa"/>
          <w:trHeight w:val="975"/>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7430E7BE"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Vehicles and Motorcycles</w:t>
            </w:r>
          </w:p>
        </w:tc>
        <w:tc>
          <w:tcPr>
            <w:tcW w:w="1496" w:type="dxa"/>
            <w:tcBorders>
              <w:top w:val="nil"/>
              <w:left w:val="nil"/>
              <w:bottom w:val="single" w:sz="8" w:space="0" w:color="auto"/>
              <w:right w:val="single" w:sz="8" w:space="0" w:color="auto"/>
            </w:tcBorders>
            <w:shd w:val="clear" w:color="auto" w:fill="auto"/>
            <w:vAlign w:val="center"/>
            <w:hideMark/>
          </w:tcPr>
          <w:p w14:paraId="133760A2" w14:textId="77777777" w:rsidR="007860FC" w:rsidRPr="008244FA" w:rsidRDefault="007860FC" w:rsidP="007860FC">
            <w:pP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Procurement for acquisition of  2 vehicles and 3 motorcycles</w:t>
            </w:r>
          </w:p>
        </w:tc>
        <w:tc>
          <w:tcPr>
            <w:tcW w:w="1346" w:type="dxa"/>
            <w:tcBorders>
              <w:top w:val="nil"/>
              <w:left w:val="nil"/>
              <w:bottom w:val="single" w:sz="8" w:space="0" w:color="auto"/>
              <w:right w:val="single" w:sz="8" w:space="0" w:color="auto"/>
            </w:tcBorders>
            <w:shd w:val="clear" w:color="auto" w:fill="auto"/>
            <w:hideMark/>
          </w:tcPr>
          <w:p w14:paraId="4E82DD06" w14:textId="6DD64B52" w:rsidR="007860FC" w:rsidRPr="007860FC" w:rsidRDefault="007860FC" w:rsidP="007860FC">
            <w:pPr>
              <w:jc w:val="center"/>
              <w:rPr>
                <w:rFonts w:asciiTheme="majorHAnsi" w:eastAsia="Times New Roman" w:hAnsiTheme="majorHAnsi" w:cstheme="majorHAnsi"/>
                <w:color w:val="000000"/>
                <w:sz w:val="20"/>
                <w:szCs w:val="18"/>
                <w:lang w:val="fr-FR" w:eastAsia="fr-FR"/>
              </w:rPr>
            </w:pPr>
            <w:r w:rsidRPr="007860FC">
              <w:rPr>
                <w:rFonts w:asciiTheme="majorHAnsi" w:hAnsiTheme="majorHAnsi" w:cstheme="majorHAnsi"/>
                <w:sz w:val="20"/>
              </w:rPr>
              <w:t>355,000.00</w:t>
            </w:r>
          </w:p>
        </w:tc>
        <w:tc>
          <w:tcPr>
            <w:tcW w:w="1738" w:type="dxa"/>
            <w:tcBorders>
              <w:top w:val="nil"/>
              <w:left w:val="nil"/>
              <w:bottom w:val="single" w:sz="8" w:space="0" w:color="auto"/>
              <w:right w:val="single" w:sz="8" w:space="0" w:color="auto"/>
            </w:tcBorders>
            <w:shd w:val="clear" w:color="auto" w:fill="auto"/>
            <w:vAlign w:val="center"/>
            <w:hideMark/>
          </w:tcPr>
          <w:p w14:paraId="0D661589"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Desk Review – Competitive Sourcing</w:t>
            </w:r>
          </w:p>
        </w:tc>
        <w:tc>
          <w:tcPr>
            <w:tcW w:w="1647" w:type="dxa"/>
            <w:tcBorders>
              <w:top w:val="nil"/>
              <w:left w:val="nil"/>
              <w:bottom w:val="single" w:sz="8" w:space="0" w:color="auto"/>
              <w:right w:val="single" w:sz="8" w:space="0" w:color="auto"/>
            </w:tcBorders>
            <w:shd w:val="clear" w:color="auto" w:fill="auto"/>
            <w:vAlign w:val="center"/>
            <w:hideMark/>
          </w:tcPr>
          <w:p w14:paraId="2054E0E5"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QTR1-YR1</w:t>
            </w:r>
          </w:p>
        </w:tc>
        <w:tc>
          <w:tcPr>
            <w:tcW w:w="1867" w:type="dxa"/>
            <w:tcBorders>
              <w:top w:val="nil"/>
              <w:left w:val="nil"/>
              <w:bottom w:val="single" w:sz="8" w:space="0" w:color="auto"/>
              <w:right w:val="single" w:sz="8" w:space="0" w:color="auto"/>
            </w:tcBorders>
            <w:shd w:val="clear" w:color="auto" w:fill="auto"/>
            <w:vAlign w:val="center"/>
            <w:hideMark/>
          </w:tcPr>
          <w:p w14:paraId="7344668A"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QTR2-YR1</w:t>
            </w:r>
          </w:p>
        </w:tc>
      </w:tr>
      <w:tr w:rsidR="007860FC" w:rsidRPr="00CE291E" w14:paraId="31988D12" w14:textId="77777777" w:rsidTr="007860FC">
        <w:trPr>
          <w:gridAfter w:val="1"/>
          <w:wAfter w:w="923" w:type="dxa"/>
          <w:trHeight w:val="1215"/>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0C4F2D7B"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IT Equipment</w:t>
            </w:r>
          </w:p>
        </w:tc>
        <w:tc>
          <w:tcPr>
            <w:tcW w:w="1496" w:type="dxa"/>
            <w:tcBorders>
              <w:top w:val="nil"/>
              <w:left w:val="nil"/>
              <w:bottom w:val="single" w:sz="8" w:space="0" w:color="auto"/>
              <w:right w:val="single" w:sz="8" w:space="0" w:color="auto"/>
            </w:tcBorders>
            <w:shd w:val="clear" w:color="auto" w:fill="auto"/>
            <w:vAlign w:val="center"/>
            <w:hideMark/>
          </w:tcPr>
          <w:p w14:paraId="54907FE1" w14:textId="77777777" w:rsidR="007860FC" w:rsidRPr="008244FA" w:rsidRDefault="007860FC" w:rsidP="007860FC">
            <w:pP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Various IT equipment (laptops, printer, GIS software, GPS etc.)</w:t>
            </w:r>
          </w:p>
        </w:tc>
        <w:tc>
          <w:tcPr>
            <w:tcW w:w="1346" w:type="dxa"/>
            <w:tcBorders>
              <w:top w:val="nil"/>
              <w:left w:val="nil"/>
              <w:bottom w:val="single" w:sz="8" w:space="0" w:color="auto"/>
              <w:right w:val="single" w:sz="8" w:space="0" w:color="auto"/>
            </w:tcBorders>
            <w:shd w:val="clear" w:color="auto" w:fill="auto"/>
            <w:hideMark/>
          </w:tcPr>
          <w:p w14:paraId="4686BD6B" w14:textId="1A823956" w:rsidR="007860FC" w:rsidRPr="007860FC" w:rsidRDefault="007860FC" w:rsidP="007860FC">
            <w:pPr>
              <w:jc w:val="center"/>
              <w:rPr>
                <w:rFonts w:asciiTheme="majorHAnsi" w:eastAsia="Times New Roman" w:hAnsiTheme="majorHAnsi" w:cstheme="majorHAnsi"/>
                <w:color w:val="000000"/>
                <w:sz w:val="20"/>
                <w:szCs w:val="18"/>
                <w:lang w:val="fr-FR" w:eastAsia="fr-FR"/>
              </w:rPr>
            </w:pPr>
            <w:r w:rsidRPr="007860FC">
              <w:rPr>
                <w:rFonts w:asciiTheme="majorHAnsi" w:hAnsiTheme="majorHAnsi" w:cstheme="majorHAnsi"/>
                <w:sz w:val="20"/>
              </w:rPr>
              <w:t>35,000.00</w:t>
            </w:r>
          </w:p>
        </w:tc>
        <w:tc>
          <w:tcPr>
            <w:tcW w:w="1738" w:type="dxa"/>
            <w:tcBorders>
              <w:top w:val="nil"/>
              <w:left w:val="nil"/>
              <w:bottom w:val="single" w:sz="8" w:space="0" w:color="auto"/>
              <w:right w:val="single" w:sz="8" w:space="0" w:color="auto"/>
            </w:tcBorders>
            <w:shd w:val="clear" w:color="auto" w:fill="auto"/>
            <w:vAlign w:val="center"/>
            <w:hideMark/>
          </w:tcPr>
          <w:p w14:paraId="3A1D942D"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Desk Review – Competitive Sourcing</w:t>
            </w:r>
          </w:p>
        </w:tc>
        <w:tc>
          <w:tcPr>
            <w:tcW w:w="1647" w:type="dxa"/>
            <w:tcBorders>
              <w:top w:val="nil"/>
              <w:left w:val="nil"/>
              <w:bottom w:val="single" w:sz="8" w:space="0" w:color="auto"/>
              <w:right w:val="single" w:sz="8" w:space="0" w:color="auto"/>
            </w:tcBorders>
            <w:shd w:val="clear" w:color="auto" w:fill="auto"/>
            <w:vAlign w:val="center"/>
            <w:hideMark/>
          </w:tcPr>
          <w:p w14:paraId="1BCA682E"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QTR1-YR1 – QTR2-YR5</w:t>
            </w:r>
          </w:p>
        </w:tc>
        <w:tc>
          <w:tcPr>
            <w:tcW w:w="1867" w:type="dxa"/>
            <w:tcBorders>
              <w:top w:val="nil"/>
              <w:left w:val="nil"/>
              <w:bottom w:val="single" w:sz="8" w:space="0" w:color="auto"/>
              <w:right w:val="single" w:sz="8" w:space="0" w:color="auto"/>
            </w:tcBorders>
            <w:shd w:val="clear" w:color="auto" w:fill="auto"/>
            <w:vAlign w:val="center"/>
            <w:hideMark/>
          </w:tcPr>
          <w:p w14:paraId="3F0B5A6B"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QTR1-YR1 – QTR2-YR5</w:t>
            </w:r>
          </w:p>
        </w:tc>
      </w:tr>
      <w:tr w:rsidR="007860FC" w:rsidRPr="00CE291E" w14:paraId="20B24496" w14:textId="77777777" w:rsidTr="007860FC">
        <w:trPr>
          <w:gridAfter w:val="1"/>
          <w:wAfter w:w="923" w:type="dxa"/>
          <w:trHeight w:val="1695"/>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4468A8FB" w14:textId="77777777" w:rsidR="007860FC" w:rsidRPr="008244FA" w:rsidRDefault="007860FC" w:rsidP="007860FC">
            <w:pPr>
              <w:jc w:val="cente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 xml:space="preserve">Audio </w:t>
            </w:r>
            <w:proofErr w:type="spellStart"/>
            <w:r w:rsidRPr="00CE291E">
              <w:rPr>
                <w:rFonts w:ascii="Calibri" w:eastAsia="Times New Roman" w:hAnsi="Calibri" w:cs="Calibri"/>
                <w:color w:val="000000"/>
                <w:sz w:val="18"/>
                <w:szCs w:val="18"/>
                <w:lang w:eastAsia="fr-FR"/>
              </w:rPr>
              <w:t>Visual&amp;Print</w:t>
            </w:r>
            <w:proofErr w:type="spellEnd"/>
            <w:r w:rsidRPr="00CE291E">
              <w:rPr>
                <w:rFonts w:ascii="Calibri" w:eastAsia="Times New Roman" w:hAnsi="Calibri" w:cs="Calibri"/>
                <w:color w:val="000000"/>
                <w:sz w:val="18"/>
                <w:szCs w:val="18"/>
                <w:lang w:eastAsia="fr-FR"/>
              </w:rPr>
              <w:t xml:space="preserve"> Prod Costs</w:t>
            </w:r>
          </w:p>
        </w:tc>
        <w:tc>
          <w:tcPr>
            <w:tcW w:w="1496" w:type="dxa"/>
            <w:tcBorders>
              <w:top w:val="nil"/>
              <w:left w:val="nil"/>
              <w:bottom w:val="single" w:sz="8" w:space="0" w:color="auto"/>
              <w:right w:val="single" w:sz="8" w:space="0" w:color="auto"/>
            </w:tcBorders>
            <w:shd w:val="clear" w:color="auto" w:fill="auto"/>
            <w:vAlign w:val="center"/>
            <w:hideMark/>
          </w:tcPr>
          <w:p w14:paraId="7E277CEC"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Various Printing Material (dissemination, publications, results communication…)</w:t>
            </w:r>
          </w:p>
        </w:tc>
        <w:tc>
          <w:tcPr>
            <w:tcW w:w="1346" w:type="dxa"/>
            <w:tcBorders>
              <w:top w:val="nil"/>
              <w:left w:val="nil"/>
              <w:bottom w:val="single" w:sz="8" w:space="0" w:color="auto"/>
              <w:right w:val="single" w:sz="8" w:space="0" w:color="auto"/>
            </w:tcBorders>
            <w:shd w:val="clear" w:color="auto" w:fill="auto"/>
            <w:hideMark/>
          </w:tcPr>
          <w:p w14:paraId="4BF05E79" w14:textId="3F7B106F" w:rsidR="007860FC" w:rsidRPr="007860FC" w:rsidRDefault="007860FC" w:rsidP="007860FC">
            <w:pPr>
              <w:jc w:val="center"/>
              <w:rPr>
                <w:rFonts w:asciiTheme="majorHAnsi" w:eastAsia="Times New Roman" w:hAnsiTheme="majorHAnsi" w:cstheme="majorHAnsi"/>
                <w:color w:val="000000"/>
                <w:sz w:val="20"/>
                <w:szCs w:val="18"/>
                <w:lang w:val="fr-FR" w:eastAsia="fr-FR"/>
              </w:rPr>
            </w:pPr>
            <w:r w:rsidRPr="007860FC">
              <w:rPr>
                <w:rFonts w:asciiTheme="majorHAnsi" w:hAnsiTheme="majorHAnsi" w:cstheme="majorHAnsi"/>
                <w:sz w:val="20"/>
              </w:rPr>
              <w:t>34,000.00</w:t>
            </w:r>
          </w:p>
        </w:tc>
        <w:tc>
          <w:tcPr>
            <w:tcW w:w="1738" w:type="dxa"/>
            <w:tcBorders>
              <w:top w:val="nil"/>
              <w:left w:val="nil"/>
              <w:bottom w:val="single" w:sz="8" w:space="0" w:color="auto"/>
              <w:right w:val="single" w:sz="8" w:space="0" w:color="auto"/>
            </w:tcBorders>
            <w:shd w:val="clear" w:color="auto" w:fill="auto"/>
            <w:vAlign w:val="center"/>
            <w:hideMark/>
          </w:tcPr>
          <w:p w14:paraId="5F6521CB"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Desk Review – Competitive Sourcing</w:t>
            </w:r>
          </w:p>
        </w:tc>
        <w:tc>
          <w:tcPr>
            <w:tcW w:w="1647" w:type="dxa"/>
            <w:tcBorders>
              <w:top w:val="nil"/>
              <w:left w:val="nil"/>
              <w:bottom w:val="single" w:sz="8" w:space="0" w:color="auto"/>
              <w:right w:val="single" w:sz="8" w:space="0" w:color="auto"/>
            </w:tcBorders>
            <w:shd w:val="clear" w:color="auto" w:fill="auto"/>
            <w:vAlign w:val="center"/>
            <w:hideMark/>
          </w:tcPr>
          <w:p w14:paraId="45CE60C8"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QTR1-YR2 – QTR4-YR5</w:t>
            </w:r>
          </w:p>
        </w:tc>
        <w:tc>
          <w:tcPr>
            <w:tcW w:w="1867" w:type="dxa"/>
            <w:tcBorders>
              <w:top w:val="nil"/>
              <w:left w:val="nil"/>
              <w:bottom w:val="single" w:sz="8" w:space="0" w:color="auto"/>
              <w:right w:val="single" w:sz="8" w:space="0" w:color="auto"/>
            </w:tcBorders>
            <w:shd w:val="clear" w:color="auto" w:fill="auto"/>
            <w:vAlign w:val="center"/>
            <w:hideMark/>
          </w:tcPr>
          <w:p w14:paraId="1963B20C"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QTR1-YR2 – QTR4-YR5</w:t>
            </w:r>
          </w:p>
        </w:tc>
      </w:tr>
      <w:tr w:rsidR="007860FC" w:rsidRPr="00CE291E" w14:paraId="6E975A1D" w14:textId="77777777" w:rsidTr="007860FC">
        <w:trPr>
          <w:gridAfter w:val="1"/>
          <w:wAfter w:w="923" w:type="dxa"/>
          <w:trHeight w:val="1455"/>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71FDFA3E"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Communication &amp; Audio Vis. Equip.</w:t>
            </w:r>
          </w:p>
        </w:tc>
        <w:tc>
          <w:tcPr>
            <w:tcW w:w="1496" w:type="dxa"/>
            <w:tcBorders>
              <w:top w:val="nil"/>
              <w:left w:val="nil"/>
              <w:bottom w:val="single" w:sz="8" w:space="0" w:color="auto"/>
              <w:right w:val="single" w:sz="8" w:space="0" w:color="auto"/>
            </w:tcBorders>
            <w:shd w:val="clear" w:color="auto" w:fill="auto"/>
            <w:vAlign w:val="center"/>
            <w:hideMark/>
          </w:tcPr>
          <w:p w14:paraId="37760EDD"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Communication and Aud. Vis. Equipment (Cell phones, recharges cards, internet …)</w:t>
            </w:r>
          </w:p>
        </w:tc>
        <w:tc>
          <w:tcPr>
            <w:tcW w:w="1346" w:type="dxa"/>
            <w:tcBorders>
              <w:top w:val="nil"/>
              <w:left w:val="nil"/>
              <w:bottom w:val="single" w:sz="8" w:space="0" w:color="auto"/>
              <w:right w:val="single" w:sz="8" w:space="0" w:color="auto"/>
            </w:tcBorders>
            <w:shd w:val="clear" w:color="auto" w:fill="auto"/>
            <w:hideMark/>
          </w:tcPr>
          <w:p w14:paraId="47251551" w14:textId="75143649" w:rsidR="007860FC" w:rsidRPr="007860FC" w:rsidRDefault="007860FC" w:rsidP="007860FC">
            <w:pPr>
              <w:jc w:val="center"/>
              <w:rPr>
                <w:rFonts w:asciiTheme="majorHAnsi" w:eastAsia="Times New Roman" w:hAnsiTheme="majorHAnsi" w:cstheme="majorHAnsi"/>
                <w:color w:val="000000"/>
                <w:sz w:val="20"/>
                <w:szCs w:val="18"/>
                <w:lang w:val="fr-FR" w:eastAsia="fr-FR"/>
              </w:rPr>
            </w:pPr>
            <w:r w:rsidRPr="007860FC">
              <w:rPr>
                <w:rFonts w:asciiTheme="majorHAnsi" w:hAnsiTheme="majorHAnsi" w:cstheme="majorHAnsi"/>
                <w:sz w:val="20"/>
              </w:rPr>
              <w:t>33,500.00</w:t>
            </w:r>
          </w:p>
        </w:tc>
        <w:tc>
          <w:tcPr>
            <w:tcW w:w="1738" w:type="dxa"/>
            <w:tcBorders>
              <w:top w:val="nil"/>
              <w:left w:val="nil"/>
              <w:bottom w:val="single" w:sz="8" w:space="0" w:color="auto"/>
              <w:right w:val="single" w:sz="8" w:space="0" w:color="auto"/>
            </w:tcBorders>
            <w:shd w:val="clear" w:color="auto" w:fill="auto"/>
            <w:vAlign w:val="center"/>
            <w:hideMark/>
          </w:tcPr>
          <w:p w14:paraId="74AFA6E1"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Desk Review – Competitive Sourcing</w:t>
            </w:r>
          </w:p>
        </w:tc>
        <w:tc>
          <w:tcPr>
            <w:tcW w:w="1647" w:type="dxa"/>
            <w:tcBorders>
              <w:top w:val="nil"/>
              <w:left w:val="nil"/>
              <w:bottom w:val="single" w:sz="8" w:space="0" w:color="auto"/>
              <w:right w:val="single" w:sz="8" w:space="0" w:color="auto"/>
            </w:tcBorders>
            <w:shd w:val="clear" w:color="auto" w:fill="auto"/>
            <w:vAlign w:val="center"/>
            <w:hideMark/>
          </w:tcPr>
          <w:p w14:paraId="11A1F981"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QTR1-YR1 – QTR4-YR5</w:t>
            </w:r>
          </w:p>
        </w:tc>
        <w:tc>
          <w:tcPr>
            <w:tcW w:w="1867" w:type="dxa"/>
            <w:tcBorders>
              <w:top w:val="nil"/>
              <w:left w:val="nil"/>
              <w:bottom w:val="single" w:sz="8" w:space="0" w:color="auto"/>
              <w:right w:val="single" w:sz="8" w:space="0" w:color="auto"/>
            </w:tcBorders>
            <w:shd w:val="clear" w:color="auto" w:fill="auto"/>
            <w:vAlign w:val="center"/>
            <w:hideMark/>
          </w:tcPr>
          <w:p w14:paraId="0DED95C5"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QTR1-YR1 – QTR4-YR5</w:t>
            </w:r>
          </w:p>
        </w:tc>
      </w:tr>
      <w:tr w:rsidR="007860FC" w:rsidRPr="00CE291E" w14:paraId="6B604F07" w14:textId="77777777" w:rsidTr="007860FC">
        <w:trPr>
          <w:gridAfter w:val="1"/>
          <w:wAfter w:w="923" w:type="dxa"/>
          <w:trHeight w:val="1455"/>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3F69098A"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 xml:space="preserve">Rental and Maintenance </w:t>
            </w:r>
          </w:p>
        </w:tc>
        <w:tc>
          <w:tcPr>
            <w:tcW w:w="1496" w:type="dxa"/>
            <w:tcBorders>
              <w:top w:val="nil"/>
              <w:left w:val="nil"/>
              <w:bottom w:val="single" w:sz="8" w:space="0" w:color="auto"/>
              <w:right w:val="single" w:sz="8" w:space="0" w:color="auto"/>
            </w:tcBorders>
            <w:shd w:val="clear" w:color="auto" w:fill="auto"/>
            <w:vAlign w:val="center"/>
            <w:hideMark/>
          </w:tcPr>
          <w:p w14:paraId="3B9FC87A" w14:textId="77777777" w:rsidR="007860FC" w:rsidRPr="008244FA" w:rsidRDefault="007860FC" w:rsidP="007860FC">
            <w:pP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Equipment (vehicles, motorcycles, inverter, office location, security)UNDP</w:t>
            </w:r>
          </w:p>
        </w:tc>
        <w:tc>
          <w:tcPr>
            <w:tcW w:w="1346" w:type="dxa"/>
            <w:tcBorders>
              <w:top w:val="nil"/>
              <w:left w:val="nil"/>
              <w:bottom w:val="single" w:sz="8" w:space="0" w:color="auto"/>
              <w:right w:val="single" w:sz="8" w:space="0" w:color="auto"/>
            </w:tcBorders>
            <w:shd w:val="clear" w:color="auto" w:fill="auto"/>
            <w:hideMark/>
          </w:tcPr>
          <w:p w14:paraId="7BDAC5E3" w14:textId="1F9F4A57" w:rsidR="007860FC" w:rsidRPr="007860FC" w:rsidRDefault="007860FC" w:rsidP="007860FC">
            <w:pPr>
              <w:jc w:val="center"/>
              <w:rPr>
                <w:rFonts w:asciiTheme="majorHAnsi" w:eastAsia="Times New Roman" w:hAnsiTheme="majorHAnsi" w:cstheme="majorHAnsi"/>
                <w:color w:val="000000"/>
                <w:sz w:val="20"/>
                <w:szCs w:val="18"/>
                <w:lang w:val="fr-FR" w:eastAsia="fr-FR"/>
              </w:rPr>
            </w:pPr>
            <w:r w:rsidRPr="007860FC">
              <w:rPr>
                <w:rFonts w:asciiTheme="majorHAnsi" w:hAnsiTheme="majorHAnsi" w:cstheme="majorHAnsi"/>
                <w:sz w:val="20"/>
              </w:rPr>
              <w:t>150,000.00</w:t>
            </w:r>
          </w:p>
        </w:tc>
        <w:tc>
          <w:tcPr>
            <w:tcW w:w="1738" w:type="dxa"/>
            <w:tcBorders>
              <w:top w:val="nil"/>
              <w:left w:val="nil"/>
              <w:bottom w:val="single" w:sz="8" w:space="0" w:color="auto"/>
              <w:right w:val="single" w:sz="8" w:space="0" w:color="auto"/>
            </w:tcBorders>
            <w:shd w:val="clear" w:color="auto" w:fill="auto"/>
            <w:vAlign w:val="center"/>
            <w:hideMark/>
          </w:tcPr>
          <w:p w14:paraId="12E67FF1"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Desk Review – Competitive Sourcing</w:t>
            </w:r>
          </w:p>
        </w:tc>
        <w:tc>
          <w:tcPr>
            <w:tcW w:w="1647" w:type="dxa"/>
            <w:tcBorders>
              <w:top w:val="nil"/>
              <w:left w:val="nil"/>
              <w:bottom w:val="single" w:sz="8" w:space="0" w:color="auto"/>
              <w:right w:val="single" w:sz="8" w:space="0" w:color="auto"/>
            </w:tcBorders>
            <w:shd w:val="clear" w:color="auto" w:fill="auto"/>
            <w:vAlign w:val="center"/>
            <w:hideMark/>
          </w:tcPr>
          <w:p w14:paraId="2FC6F860"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QTR1-YR1 – QTR4-YR5</w:t>
            </w:r>
          </w:p>
        </w:tc>
        <w:tc>
          <w:tcPr>
            <w:tcW w:w="1867" w:type="dxa"/>
            <w:tcBorders>
              <w:top w:val="nil"/>
              <w:left w:val="nil"/>
              <w:bottom w:val="single" w:sz="8" w:space="0" w:color="auto"/>
              <w:right w:val="single" w:sz="8" w:space="0" w:color="auto"/>
            </w:tcBorders>
            <w:shd w:val="clear" w:color="auto" w:fill="auto"/>
            <w:vAlign w:val="center"/>
            <w:hideMark/>
          </w:tcPr>
          <w:p w14:paraId="7F333AB6"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QTR1-YR1 – QTR4-YR5</w:t>
            </w:r>
          </w:p>
        </w:tc>
      </w:tr>
      <w:tr w:rsidR="007860FC" w:rsidRPr="00CE291E" w14:paraId="16FBFABB" w14:textId="77777777" w:rsidTr="007860FC">
        <w:trPr>
          <w:gridAfter w:val="1"/>
          <w:wAfter w:w="923" w:type="dxa"/>
          <w:trHeight w:val="735"/>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68C4A392"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Trainings, Workshops, Conferences</w:t>
            </w:r>
          </w:p>
        </w:tc>
        <w:tc>
          <w:tcPr>
            <w:tcW w:w="1496" w:type="dxa"/>
            <w:tcBorders>
              <w:top w:val="nil"/>
              <w:left w:val="nil"/>
              <w:bottom w:val="single" w:sz="8" w:space="0" w:color="auto"/>
              <w:right w:val="single" w:sz="8" w:space="0" w:color="auto"/>
            </w:tcBorders>
            <w:shd w:val="clear" w:color="auto" w:fill="auto"/>
            <w:vAlign w:val="center"/>
            <w:hideMark/>
          </w:tcPr>
          <w:p w14:paraId="5AC404C2"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 xml:space="preserve">Trainings, Workshops, </w:t>
            </w:r>
          </w:p>
        </w:tc>
        <w:tc>
          <w:tcPr>
            <w:tcW w:w="1346" w:type="dxa"/>
            <w:tcBorders>
              <w:top w:val="nil"/>
              <w:left w:val="nil"/>
              <w:bottom w:val="single" w:sz="8" w:space="0" w:color="auto"/>
              <w:right w:val="single" w:sz="8" w:space="0" w:color="auto"/>
            </w:tcBorders>
            <w:shd w:val="clear" w:color="auto" w:fill="auto"/>
            <w:hideMark/>
          </w:tcPr>
          <w:p w14:paraId="2CF775D2" w14:textId="6C4CB637" w:rsidR="007860FC" w:rsidRPr="007860FC" w:rsidRDefault="007860FC" w:rsidP="007860FC">
            <w:pPr>
              <w:jc w:val="center"/>
              <w:rPr>
                <w:rFonts w:asciiTheme="majorHAnsi" w:eastAsia="Times New Roman" w:hAnsiTheme="majorHAnsi" w:cstheme="majorHAnsi"/>
                <w:color w:val="000000"/>
                <w:sz w:val="20"/>
                <w:szCs w:val="18"/>
                <w:lang w:val="fr-FR" w:eastAsia="fr-FR"/>
              </w:rPr>
            </w:pPr>
            <w:r w:rsidRPr="007860FC">
              <w:rPr>
                <w:rFonts w:asciiTheme="majorHAnsi" w:hAnsiTheme="majorHAnsi" w:cstheme="majorHAnsi"/>
                <w:sz w:val="20"/>
              </w:rPr>
              <w:t>81,000.00</w:t>
            </w:r>
          </w:p>
        </w:tc>
        <w:tc>
          <w:tcPr>
            <w:tcW w:w="1738" w:type="dxa"/>
            <w:tcBorders>
              <w:top w:val="nil"/>
              <w:left w:val="nil"/>
              <w:bottom w:val="single" w:sz="8" w:space="0" w:color="auto"/>
              <w:right w:val="single" w:sz="8" w:space="0" w:color="auto"/>
            </w:tcBorders>
            <w:shd w:val="clear" w:color="auto" w:fill="auto"/>
            <w:vAlign w:val="center"/>
            <w:hideMark/>
          </w:tcPr>
          <w:p w14:paraId="2C6FCFFC"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Desk Review – Competitive Sourcing</w:t>
            </w:r>
          </w:p>
        </w:tc>
        <w:tc>
          <w:tcPr>
            <w:tcW w:w="1647" w:type="dxa"/>
            <w:tcBorders>
              <w:top w:val="nil"/>
              <w:left w:val="nil"/>
              <w:bottom w:val="single" w:sz="8" w:space="0" w:color="auto"/>
              <w:right w:val="single" w:sz="8" w:space="0" w:color="auto"/>
            </w:tcBorders>
            <w:shd w:val="clear" w:color="auto" w:fill="auto"/>
            <w:vAlign w:val="center"/>
            <w:hideMark/>
          </w:tcPr>
          <w:p w14:paraId="588AB017"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QTR1-YR1 – QTR2-YR5</w:t>
            </w:r>
          </w:p>
        </w:tc>
        <w:tc>
          <w:tcPr>
            <w:tcW w:w="1867" w:type="dxa"/>
            <w:tcBorders>
              <w:top w:val="nil"/>
              <w:left w:val="nil"/>
              <w:bottom w:val="single" w:sz="8" w:space="0" w:color="auto"/>
              <w:right w:val="single" w:sz="8" w:space="0" w:color="auto"/>
            </w:tcBorders>
            <w:shd w:val="clear" w:color="auto" w:fill="auto"/>
            <w:vAlign w:val="center"/>
            <w:hideMark/>
          </w:tcPr>
          <w:p w14:paraId="5B924F60" w14:textId="77777777" w:rsidR="007860FC" w:rsidRPr="00CE291E" w:rsidRDefault="007860FC" w:rsidP="007860FC">
            <w:pP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QTR1-YR1 – QTR2-YR5</w:t>
            </w:r>
          </w:p>
        </w:tc>
      </w:tr>
      <w:tr w:rsidR="007860FC" w:rsidRPr="00CE291E" w14:paraId="0A314F59" w14:textId="77777777" w:rsidTr="007860FC">
        <w:trPr>
          <w:gridAfter w:val="1"/>
          <w:wAfter w:w="923" w:type="dxa"/>
          <w:trHeight w:val="330"/>
        </w:trPr>
        <w:tc>
          <w:tcPr>
            <w:tcW w:w="2799" w:type="dxa"/>
            <w:gridSpan w:val="2"/>
            <w:tcBorders>
              <w:top w:val="single" w:sz="8" w:space="0" w:color="auto"/>
              <w:left w:val="single" w:sz="8" w:space="0" w:color="auto"/>
              <w:bottom w:val="single" w:sz="8" w:space="0" w:color="auto"/>
              <w:right w:val="single" w:sz="8" w:space="0" w:color="000000"/>
            </w:tcBorders>
            <w:shd w:val="clear" w:color="000000" w:fill="F2F2F2"/>
            <w:vAlign w:val="center"/>
            <w:hideMark/>
          </w:tcPr>
          <w:p w14:paraId="5BCE9E24" w14:textId="77777777" w:rsidR="007860FC" w:rsidRPr="00CE291E" w:rsidRDefault="007860FC" w:rsidP="007860FC">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SUB-TOTAL (US $)</w:t>
            </w:r>
          </w:p>
        </w:tc>
        <w:tc>
          <w:tcPr>
            <w:tcW w:w="1346" w:type="dxa"/>
            <w:tcBorders>
              <w:top w:val="nil"/>
              <w:left w:val="nil"/>
              <w:bottom w:val="single" w:sz="8" w:space="0" w:color="auto"/>
              <w:right w:val="single" w:sz="8" w:space="0" w:color="auto"/>
            </w:tcBorders>
            <w:shd w:val="clear" w:color="000000" w:fill="F2F2F2"/>
            <w:vAlign w:val="center"/>
            <w:hideMark/>
          </w:tcPr>
          <w:p w14:paraId="2095AC7D" w14:textId="545D039F" w:rsidR="007860FC" w:rsidRPr="007860FC" w:rsidRDefault="007860FC" w:rsidP="007860FC">
            <w:pPr>
              <w:jc w:val="center"/>
              <w:rPr>
                <w:rFonts w:asciiTheme="majorHAnsi" w:eastAsia="Times New Roman" w:hAnsiTheme="majorHAnsi" w:cstheme="majorHAnsi"/>
                <w:color w:val="000000"/>
                <w:sz w:val="20"/>
                <w:szCs w:val="18"/>
                <w:lang w:val="fr-FR" w:eastAsia="fr-FR"/>
              </w:rPr>
            </w:pPr>
            <w:r w:rsidRPr="007860FC">
              <w:rPr>
                <w:rFonts w:asciiTheme="majorHAnsi" w:eastAsia="Times New Roman" w:hAnsiTheme="majorHAnsi" w:cstheme="majorHAnsi"/>
                <w:color w:val="000000"/>
                <w:sz w:val="20"/>
                <w:szCs w:val="18"/>
                <w:lang w:val="fr-FR" w:eastAsia="fr-FR"/>
              </w:rPr>
              <w:t>1,</w:t>
            </w:r>
            <w:r>
              <w:rPr>
                <w:rFonts w:asciiTheme="majorHAnsi" w:eastAsia="Times New Roman" w:hAnsiTheme="majorHAnsi" w:cstheme="majorHAnsi"/>
                <w:color w:val="000000"/>
                <w:sz w:val="20"/>
                <w:szCs w:val="18"/>
                <w:lang w:val="fr-FR" w:eastAsia="fr-FR"/>
              </w:rPr>
              <w:t>245,200.00</w:t>
            </w:r>
          </w:p>
        </w:tc>
        <w:tc>
          <w:tcPr>
            <w:tcW w:w="5252" w:type="dxa"/>
            <w:gridSpan w:val="3"/>
            <w:tcBorders>
              <w:top w:val="single" w:sz="8" w:space="0" w:color="auto"/>
              <w:left w:val="nil"/>
              <w:bottom w:val="single" w:sz="8" w:space="0" w:color="auto"/>
              <w:right w:val="nil"/>
            </w:tcBorders>
            <w:shd w:val="clear" w:color="000000" w:fill="F2F2F2"/>
          </w:tcPr>
          <w:p w14:paraId="2906EFFC" w14:textId="0F60D5B0" w:rsidR="007860FC" w:rsidRPr="00CE291E" w:rsidRDefault="007860FC" w:rsidP="007860FC">
            <w:pPr>
              <w:jc w:val="right"/>
              <w:rPr>
                <w:rFonts w:ascii="Calibri" w:eastAsia="Times New Roman" w:hAnsi="Calibri" w:cs="Calibri"/>
                <w:color w:val="000000"/>
                <w:sz w:val="18"/>
                <w:szCs w:val="18"/>
                <w:lang w:val="fr-FR" w:eastAsia="fr-FR"/>
              </w:rPr>
            </w:pPr>
          </w:p>
        </w:tc>
      </w:tr>
      <w:tr w:rsidR="00CE291E" w:rsidRPr="00CE291E" w14:paraId="282F77D3" w14:textId="77777777" w:rsidTr="00CE291E">
        <w:trPr>
          <w:trHeight w:val="315"/>
        </w:trPr>
        <w:tc>
          <w:tcPr>
            <w:tcW w:w="10320" w:type="dxa"/>
            <w:gridSpan w:val="7"/>
            <w:tcBorders>
              <w:top w:val="single" w:sz="8" w:space="0" w:color="auto"/>
              <w:left w:val="single" w:sz="8" w:space="0" w:color="auto"/>
              <w:bottom w:val="single" w:sz="8" w:space="0" w:color="auto"/>
              <w:right w:val="nil"/>
            </w:tcBorders>
            <w:shd w:val="clear" w:color="auto" w:fill="auto"/>
            <w:vAlign w:val="center"/>
            <w:hideMark/>
          </w:tcPr>
          <w:p w14:paraId="20BDB0AC" w14:textId="77777777" w:rsidR="00CE291E" w:rsidRPr="00CE291E" w:rsidRDefault="00CE291E" w:rsidP="00CE291E">
            <w:pPr>
              <w:rPr>
                <w:rFonts w:ascii="Calibri" w:eastAsia="Times New Roman" w:hAnsi="Calibri" w:cs="Calibri"/>
                <w:b/>
                <w:bCs/>
                <w:color w:val="000000"/>
                <w:sz w:val="18"/>
                <w:szCs w:val="18"/>
                <w:lang w:val="fr-FR" w:eastAsia="fr-FR"/>
              </w:rPr>
            </w:pPr>
            <w:r w:rsidRPr="00CE291E">
              <w:rPr>
                <w:rFonts w:ascii="Calibri" w:eastAsia="Times New Roman" w:hAnsi="Calibri" w:cs="Calibri"/>
                <w:b/>
                <w:bCs/>
                <w:color w:val="000000"/>
                <w:sz w:val="18"/>
                <w:szCs w:val="18"/>
                <w:lang w:eastAsia="fr-FR"/>
              </w:rPr>
              <w:t>Consultancy Services</w:t>
            </w:r>
          </w:p>
        </w:tc>
      </w:tr>
      <w:tr w:rsidR="00CE291E" w:rsidRPr="00CE291E" w14:paraId="6A270F8F" w14:textId="77777777" w:rsidTr="007860FC">
        <w:trPr>
          <w:gridAfter w:val="1"/>
          <w:wAfter w:w="923" w:type="dxa"/>
          <w:trHeight w:val="1215"/>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40149C1D" w14:textId="77777777" w:rsidR="00CE291E" w:rsidRPr="00CE291E" w:rsidRDefault="00CE291E" w:rsidP="00CE291E">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Local consultant</w:t>
            </w:r>
          </w:p>
        </w:tc>
        <w:tc>
          <w:tcPr>
            <w:tcW w:w="1496" w:type="dxa"/>
            <w:tcBorders>
              <w:top w:val="nil"/>
              <w:left w:val="nil"/>
              <w:bottom w:val="single" w:sz="8" w:space="0" w:color="auto"/>
              <w:right w:val="single" w:sz="8" w:space="0" w:color="auto"/>
            </w:tcBorders>
            <w:shd w:val="clear" w:color="auto" w:fill="auto"/>
            <w:vAlign w:val="center"/>
            <w:hideMark/>
          </w:tcPr>
          <w:p w14:paraId="71B5E2CB" w14:textId="3D183D42" w:rsidR="00CE291E" w:rsidRPr="008244FA" w:rsidRDefault="00CE291E" w:rsidP="00CE291E">
            <w:pPr>
              <w:rPr>
                <w:rFonts w:ascii="Calibri" w:eastAsia="Times New Roman" w:hAnsi="Calibri" w:cs="Calibri"/>
                <w:color w:val="000000"/>
                <w:sz w:val="18"/>
                <w:szCs w:val="18"/>
                <w:lang w:eastAsia="fr-FR"/>
              </w:rPr>
            </w:pPr>
            <w:r w:rsidRPr="008244FA">
              <w:rPr>
                <w:rFonts w:ascii="Calibri" w:eastAsia="Times New Roman" w:hAnsi="Calibri" w:cs="Calibri"/>
                <w:color w:val="000000"/>
                <w:sz w:val="18"/>
                <w:szCs w:val="18"/>
                <w:lang w:eastAsia="fr-FR"/>
              </w:rPr>
              <w:t>ESMF; mid-term and final evaluations; Value chain</w:t>
            </w:r>
            <w:r w:rsidR="00975566">
              <w:rPr>
                <w:rFonts w:ascii="Calibri" w:eastAsia="Times New Roman" w:hAnsi="Calibri" w:cs="Calibri"/>
                <w:color w:val="000000"/>
                <w:sz w:val="18"/>
                <w:szCs w:val="18"/>
                <w:lang w:eastAsia="fr-FR"/>
              </w:rPr>
              <w:t xml:space="preserve">; </w:t>
            </w:r>
            <w:r w:rsidR="00975566" w:rsidRPr="00975566">
              <w:rPr>
                <w:rFonts w:ascii="Calibri" w:eastAsia="Times New Roman" w:hAnsi="Calibri" w:cs="Calibri"/>
                <w:color w:val="000000"/>
                <w:sz w:val="18"/>
                <w:szCs w:val="18"/>
                <w:lang w:eastAsia="fr-FR"/>
              </w:rPr>
              <w:t>translation</w:t>
            </w:r>
          </w:p>
        </w:tc>
        <w:tc>
          <w:tcPr>
            <w:tcW w:w="1346" w:type="dxa"/>
            <w:tcBorders>
              <w:top w:val="nil"/>
              <w:left w:val="nil"/>
              <w:bottom w:val="single" w:sz="8" w:space="0" w:color="auto"/>
              <w:right w:val="single" w:sz="8" w:space="0" w:color="auto"/>
            </w:tcBorders>
            <w:shd w:val="clear" w:color="auto" w:fill="auto"/>
            <w:vAlign w:val="center"/>
            <w:hideMark/>
          </w:tcPr>
          <w:p w14:paraId="69CA72EA" w14:textId="54EE968E" w:rsidR="00CE291E" w:rsidRPr="00CE291E" w:rsidRDefault="00CE291E" w:rsidP="00CE291E">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val="fr-FR" w:eastAsia="fr-FR"/>
              </w:rPr>
              <w:t>1</w:t>
            </w:r>
            <w:r w:rsidR="007860FC">
              <w:rPr>
                <w:rFonts w:ascii="Calibri" w:eastAsia="Times New Roman" w:hAnsi="Calibri" w:cs="Calibri"/>
                <w:color w:val="000000"/>
                <w:sz w:val="18"/>
                <w:szCs w:val="18"/>
                <w:lang w:val="fr-FR" w:eastAsia="fr-FR"/>
              </w:rPr>
              <w:t>37</w:t>
            </w:r>
            <w:r w:rsidRPr="00CE291E">
              <w:rPr>
                <w:rFonts w:ascii="Calibri" w:eastAsia="Times New Roman" w:hAnsi="Calibri" w:cs="Calibri"/>
                <w:color w:val="000000"/>
                <w:sz w:val="18"/>
                <w:szCs w:val="18"/>
                <w:lang w:val="fr-FR" w:eastAsia="fr-FR"/>
              </w:rPr>
              <w:t>,000.00</w:t>
            </w:r>
          </w:p>
        </w:tc>
        <w:tc>
          <w:tcPr>
            <w:tcW w:w="1738" w:type="dxa"/>
            <w:tcBorders>
              <w:top w:val="nil"/>
              <w:left w:val="nil"/>
              <w:bottom w:val="single" w:sz="8" w:space="0" w:color="auto"/>
              <w:right w:val="single" w:sz="8" w:space="0" w:color="auto"/>
            </w:tcBorders>
            <w:shd w:val="clear" w:color="auto" w:fill="auto"/>
            <w:vAlign w:val="center"/>
            <w:hideMark/>
          </w:tcPr>
          <w:p w14:paraId="16A76DE0" w14:textId="77777777" w:rsidR="00CE291E" w:rsidRPr="008244FA" w:rsidRDefault="00CE291E" w:rsidP="00CE291E">
            <w:pP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Local Advertisement - Desk Review – Competitive Sourcing</w:t>
            </w:r>
          </w:p>
        </w:tc>
        <w:tc>
          <w:tcPr>
            <w:tcW w:w="1647" w:type="dxa"/>
            <w:tcBorders>
              <w:top w:val="nil"/>
              <w:left w:val="nil"/>
              <w:bottom w:val="single" w:sz="8" w:space="0" w:color="auto"/>
              <w:right w:val="single" w:sz="8" w:space="0" w:color="auto"/>
            </w:tcBorders>
            <w:shd w:val="clear" w:color="auto" w:fill="auto"/>
            <w:vAlign w:val="center"/>
            <w:hideMark/>
          </w:tcPr>
          <w:p w14:paraId="302EEF4F" w14:textId="77777777" w:rsidR="00CE291E" w:rsidRPr="00CE291E" w:rsidRDefault="00CE291E" w:rsidP="00CE291E">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QTR2-YR1</w:t>
            </w:r>
          </w:p>
        </w:tc>
        <w:tc>
          <w:tcPr>
            <w:tcW w:w="1867" w:type="dxa"/>
            <w:tcBorders>
              <w:top w:val="nil"/>
              <w:left w:val="nil"/>
              <w:bottom w:val="single" w:sz="8" w:space="0" w:color="auto"/>
              <w:right w:val="single" w:sz="8" w:space="0" w:color="auto"/>
            </w:tcBorders>
            <w:shd w:val="clear" w:color="auto" w:fill="auto"/>
            <w:vAlign w:val="center"/>
            <w:hideMark/>
          </w:tcPr>
          <w:p w14:paraId="139F87BD" w14:textId="77777777" w:rsidR="00CE291E" w:rsidRPr="00CE291E" w:rsidRDefault="00CE291E" w:rsidP="00CE291E">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QTR3-YR1</w:t>
            </w:r>
          </w:p>
        </w:tc>
      </w:tr>
      <w:tr w:rsidR="00CE291E" w:rsidRPr="00CE291E" w14:paraId="133ACCEF" w14:textId="77777777" w:rsidTr="007860FC">
        <w:trPr>
          <w:gridAfter w:val="1"/>
          <w:wAfter w:w="923" w:type="dxa"/>
          <w:trHeight w:val="975"/>
        </w:trPr>
        <w:tc>
          <w:tcPr>
            <w:tcW w:w="1303" w:type="dxa"/>
            <w:tcBorders>
              <w:top w:val="nil"/>
              <w:left w:val="single" w:sz="8" w:space="0" w:color="auto"/>
              <w:bottom w:val="single" w:sz="8" w:space="0" w:color="auto"/>
              <w:right w:val="single" w:sz="8" w:space="0" w:color="auto"/>
            </w:tcBorders>
            <w:shd w:val="clear" w:color="auto" w:fill="auto"/>
            <w:vAlign w:val="center"/>
            <w:hideMark/>
          </w:tcPr>
          <w:p w14:paraId="778CE019" w14:textId="77777777" w:rsidR="00CE291E" w:rsidRPr="00CE291E" w:rsidRDefault="00CE291E" w:rsidP="00CE291E">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Intl consultant</w:t>
            </w:r>
          </w:p>
        </w:tc>
        <w:tc>
          <w:tcPr>
            <w:tcW w:w="1496" w:type="dxa"/>
            <w:tcBorders>
              <w:top w:val="nil"/>
              <w:left w:val="nil"/>
              <w:bottom w:val="single" w:sz="8" w:space="0" w:color="auto"/>
              <w:right w:val="single" w:sz="8" w:space="0" w:color="auto"/>
            </w:tcBorders>
            <w:shd w:val="clear" w:color="auto" w:fill="auto"/>
            <w:vAlign w:val="center"/>
            <w:hideMark/>
          </w:tcPr>
          <w:p w14:paraId="727E28A6" w14:textId="77777777" w:rsidR="00CE291E" w:rsidRPr="008244FA" w:rsidRDefault="00CE291E" w:rsidP="00CE291E">
            <w:pPr>
              <w:rPr>
                <w:rFonts w:ascii="Calibri" w:eastAsia="Times New Roman" w:hAnsi="Calibri" w:cs="Calibri"/>
                <w:color w:val="000000"/>
                <w:sz w:val="18"/>
                <w:szCs w:val="18"/>
                <w:lang w:eastAsia="fr-FR"/>
              </w:rPr>
            </w:pPr>
            <w:r w:rsidRPr="008244FA">
              <w:rPr>
                <w:rFonts w:ascii="Calibri" w:eastAsia="Times New Roman" w:hAnsi="Calibri" w:cs="Calibri"/>
                <w:color w:val="000000"/>
                <w:sz w:val="18"/>
                <w:szCs w:val="18"/>
                <w:lang w:eastAsia="fr-FR"/>
              </w:rPr>
              <w:t>ESMF; mid-term and final evaluations; Value chain</w:t>
            </w:r>
          </w:p>
        </w:tc>
        <w:tc>
          <w:tcPr>
            <w:tcW w:w="1346" w:type="dxa"/>
            <w:tcBorders>
              <w:top w:val="nil"/>
              <w:left w:val="nil"/>
              <w:bottom w:val="single" w:sz="8" w:space="0" w:color="auto"/>
              <w:right w:val="single" w:sz="8" w:space="0" w:color="auto"/>
            </w:tcBorders>
            <w:shd w:val="clear" w:color="auto" w:fill="auto"/>
            <w:vAlign w:val="center"/>
            <w:hideMark/>
          </w:tcPr>
          <w:p w14:paraId="6CEA5506" w14:textId="77777777" w:rsidR="00CE291E" w:rsidRPr="00CE291E" w:rsidRDefault="00CE291E" w:rsidP="00CE291E">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val="fr-FR" w:eastAsia="fr-FR"/>
              </w:rPr>
              <w:t>120,000.00</w:t>
            </w:r>
          </w:p>
        </w:tc>
        <w:tc>
          <w:tcPr>
            <w:tcW w:w="1738" w:type="dxa"/>
            <w:tcBorders>
              <w:top w:val="nil"/>
              <w:left w:val="nil"/>
              <w:bottom w:val="single" w:sz="8" w:space="0" w:color="auto"/>
              <w:right w:val="single" w:sz="8" w:space="0" w:color="auto"/>
            </w:tcBorders>
            <w:shd w:val="clear" w:color="auto" w:fill="auto"/>
            <w:vAlign w:val="center"/>
            <w:hideMark/>
          </w:tcPr>
          <w:p w14:paraId="74CCB698" w14:textId="77777777" w:rsidR="00CE291E" w:rsidRPr="008244FA" w:rsidRDefault="00CE291E" w:rsidP="00CE291E">
            <w:pPr>
              <w:rPr>
                <w:rFonts w:ascii="Calibri" w:eastAsia="Times New Roman" w:hAnsi="Calibri" w:cs="Calibri"/>
                <w:color w:val="000000"/>
                <w:sz w:val="18"/>
                <w:szCs w:val="18"/>
                <w:lang w:eastAsia="fr-FR"/>
              </w:rPr>
            </w:pPr>
            <w:r w:rsidRPr="00CE291E">
              <w:rPr>
                <w:rFonts w:ascii="Calibri" w:eastAsia="Times New Roman" w:hAnsi="Calibri" w:cs="Calibri"/>
                <w:color w:val="000000"/>
                <w:sz w:val="18"/>
                <w:szCs w:val="18"/>
                <w:lang w:eastAsia="fr-FR"/>
              </w:rPr>
              <w:t>Intl Advertisement - Desk Review – Competitive Sourcing</w:t>
            </w:r>
          </w:p>
        </w:tc>
        <w:tc>
          <w:tcPr>
            <w:tcW w:w="1647" w:type="dxa"/>
            <w:tcBorders>
              <w:top w:val="nil"/>
              <w:left w:val="nil"/>
              <w:bottom w:val="single" w:sz="8" w:space="0" w:color="auto"/>
              <w:right w:val="single" w:sz="8" w:space="0" w:color="auto"/>
            </w:tcBorders>
            <w:shd w:val="clear" w:color="auto" w:fill="auto"/>
            <w:vAlign w:val="center"/>
            <w:hideMark/>
          </w:tcPr>
          <w:p w14:paraId="6C85E951" w14:textId="77777777" w:rsidR="00CE291E" w:rsidRPr="00CE291E" w:rsidRDefault="00CE291E" w:rsidP="00CE291E">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QTR2-YR1</w:t>
            </w:r>
          </w:p>
        </w:tc>
        <w:tc>
          <w:tcPr>
            <w:tcW w:w="1867" w:type="dxa"/>
            <w:tcBorders>
              <w:top w:val="nil"/>
              <w:left w:val="nil"/>
              <w:bottom w:val="single" w:sz="8" w:space="0" w:color="auto"/>
              <w:right w:val="single" w:sz="8" w:space="0" w:color="auto"/>
            </w:tcBorders>
            <w:shd w:val="clear" w:color="auto" w:fill="auto"/>
            <w:vAlign w:val="center"/>
            <w:hideMark/>
          </w:tcPr>
          <w:p w14:paraId="6854AB41" w14:textId="77777777" w:rsidR="00CE291E" w:rsidRPr="00CE291E" w:rsidRDefault="00CE291E" w:rsidP="00CE291E">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QTR3-YR1</w:t>
            </w:r>
          </w:p>
        </w:tc>
      </w:tr>
      <w:tr w:rsidR="00CE291E" w:rsidRPr="00CE291E" w14:paraId="1FA8521A" w14:textId="77777777" w:rsidTr="007860FC">
        <w:trPr>
          <w:gridAfter w:val="1"/>
          <w:wAfter w:w="923" w:type="dxa"/>
          <w:trHeight w:val="330"/>
        </w:trPr>
        <w:tc>
          <w:tcPr>
            <w:tcW w:w="2799" w:type="dxa"/>
            <w:gridSpan w:val="2"/>
            <w:tcBorders>
              <w:top w:val="single" w:sz="8" w:space="0" w:color="auto"/>
              <w:left w:val="single" w:sz="8" w:space="0" w:color="auto"/>
              <w:bottom w:val="single" w:sz="8" w:space="0" w:color="auto"/>
              <w:right w:val="single" w:sz="8" w:space="0" w:color="000000"/>
            </w:tcBorders>
            <w:shd w:val="clear" w:color="000000" w:fill="F2F2F2"/>
            <w:vAlign w:val="center"/>
            <w:hideMark/>
          </w:tcPr>
          <w:p w14:paraId="51D4AB04" w14:textId="77777777" w:rsidR="00CE291E" w:rsidRPr="00CE291E" w:rsidRDefault="00CE291E" w:rsidP="00CE291E">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SUB-TOTAL (US $)</w:t>
            </w:r>
          </w:p>
        </w:tc>
        <w:tc>
          <w:tcPr>
            <w:tcW w:w="1346" w:type="dxa"/>
            <w:tcBorders>
              <w:top w:val="nil"/>
              <w:left w:val="nil"/>
              <w:bottom w:val="single" w:sz="8" w:space="0" w:color="auto"/>
              <w:right w:val="single" w:sz="8" w:space="0" w:color="auto"/>
            </w:tcBorders>
            <w:shd w:val="clear" w:color="000000" w:fill="F2F2F2"/>
            <w:vAlign w:val="center"/>
            <w:hideMark/>
          </w:tcPr>
          <w:p w14:paraId="66B18926" w14:textId="3FEC3801" w:rsidR="00CE291E" w:rsidRPr="00CE291E" w:rsidRDefault="007860FC" w:rsidP="00CE291E">
            <w:pPr>
              <w:jc w:val="center"/>
              <w:rPr>
                <w:rFonts w:ascii="Calibri" w:eastAsia="Times New Roman" w:hAnsi="Calibri" w:cs="Calibri"/>
                <w:color w:val="000000"/>
                <w:sz w:val="18"/>
                <w:szCs w:val="18"/>
                <w:lang w:val="fr-FR" w:eastAsia="fr-FR"/>
              </w:rPr>
            </w:pPr>
            <w:r>
              <w:rPr>
                <w:rFonts w:ascii="Calibri" w:eastAsia="Times New Roman" w:hAnsi="Calibri" w:cs="Calibri"/>
                <w:color w:val="000000"/>
                <w:sz w:val="18"/>
                <w:szCs w:val="18"/>
                <w:lang w:eastAsia="fr-FR"/>
              </w:rPr>
              <w:t>257,0</w:t>
            </w:r>
            <w:r w:rsidR="00CE291E" w:rsidRPr="00CE291E">
              <w:rPr>
                <w:rFonts w:ascii="Calibri" w:eastAsia="Times New Roman" w:hAnsi="Calibri" w:cs="Calibri"/>
                <w:color w:val="000000"/>
                <w:sz w:val="18"/>
                <w:szCs w:val="18"/>
                <w:lang w:eastAsia="fr-FR"/>
              </w:rPr>
              <w:t>00.00</w:t>
            </w:r>
          </w:p>
        </w:tc>
        <w:tc>
          <w:tcPr>
            <w:tcW w:w="5252" w:type="dxa"/>
            <w:gridSpan w:val="3"/>
            <w:tcBorders>
              <w:top w:val="single" w:sz="8" w:space="0" w:color="auto"/>
              <w:left w:val="nil"/>
              <w:bottom w:val="single" w:sz="8" w:space="0" w:color="auto"/>
              <w:right w:val="nil"/>
            </w:tcBorders>
            <w:shd w:val="clear" w:color="000000" w:fill="F2F2F2"/>
            <w:vAlign w:val="center"/>
            <w:hideMark/>
          </w:tcPr>
          <w:p w14:paraId="43E768B2" w14:textId="77777777" w:rsidR="00CE291E" w:rsidRPr="00CE291E" w:rsidRDefault="00CE291E" w:rsidP="00CE291E">
            <w:pPr>
              <w:jc w:val="right"/>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 </w:t>
            </w:r>
          </w:p>
        </w:tc>
      </w:tr>
      <w:tr w:rsidR="00CE291E" w:rsidRPr="00CE291E" w14:paraId="506D95DA" w14:textId="77777777" w:rsidTr="007860FC">
        <w:trPr>
          <w:gridAfter w:val="1"/>
          <w:wAfter w:w="923" w:type="dxa"/>
          <w:trHeight w:val="330"/>
        </w:trPr>
        <w:tc>
          <w:tcPr>
            <w:tcW w:w="2799"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14:paraId="17627655" w14:textId="77777777" w:rsidR="00CE291E" w:rsidRPr="00CE291E" w:rsidRDefault="00CE291E" w:rsidP="00CE291E">
            <w:pPr>
              <w:jc w:val="center"/>
              <w:rPr>
                <w:rFonts w:ascii="Calibri" w:eastAsia="Times New Roman" w:hAnsi="Calibri" w:cs="Calibri"/>
                <w:color w:val="000000"/>
                <w:sz w:val="18"/>
                <w:szCs w:val="18"/>
                <w:lang w:val="fr-FR" w:eastAsia="fr-FR"/>
              </w:rPr>
            </w:pPr>
            <w:r w:rsidRPr="00CE291E">
              <w:rPr>
                <w:rFonts w:ascii="Calibri" w:eastAsia="Times New Roman" w:hAnsi="Calibri" w:cs="Calibri"/>
                <w:color w:val="000000"/>
                <w:sz w:val="18"/>
                <w:szCs w:val="18"/>
                <w:lang w:eastAsia="fr-FR"/>
              </w:rPr>
              <w:t>TOTAL COST (US $)</w:t>
            </w:r>
          </w:p>
        </w:tc>
        <w:tc>
          <w:tcPr>
            <w:tcW w:w="6598" w:type="dxa"/>
            <w:gridSpan w:val="4"/>
            <w:tcBorders>
              <w:top w:val="single" w:sz="8" w:space="0" w:color="auto"/>
              <w:left w:val="nil"/>
              <w:bottom w:val="single" w:sz="8" w:space="0" w:color="auto"/>
              <w:right w:val="nil"/>
            </w:tcBorders>
            <w:shd w:val="clear" w:color="auto" w:fill="auto"/>
            <w:vAlign w:val="center"/>
            <w:hideMark/>
          </w:tcPr>
          <w:p w14:paraId="376247E9" w14:textId="615D3B53" w:rsidR="00CE291E" w:rsidRPr="00CE291E" w:rsidRDefault="00CE291E" w:rsidP="00CE291E">
            <w:pPr>
              <w:rPr>
                <w:rFonts w:ascii="Calibri" w:eastAsia="Times New Roman" w:hAnsi="Calibri" w:cs="Calibri"/>
                <w:b/>
                <w:bCs/>
                <w:color w:val="000000"/>
                <w:sz w:val="18"/>
                <w:szCs w:val="18"/>
                <w:lang w:val="fr-FR" w:eastAsia="fr-FR"/>
              </w:rPr>
            </w:pPr>
            <w:r w:rsidRPr="00CE291E">
              <w:rPr>
                <w:rFonts w:ascii="Calibri" w:eastAsia="Times New Roman" w:hAnsi="Calibri" w:cs="Calibri"/>
                <w:b/>
                <w:bCs/>
                <w:color w:val="000000"/>
                <w:sz w:val="18"/>
                <w:szCs w:val="18"/>
                <w:lang w:eastAsia="fr-FR"/>
              </w:rPr>
              <w:t>1,</w:t>
            </w:r>
            <w:r w:rsidR="007860FC">
              <w:rPr>
                <w:rFonts w:ascii="Calibri" w:eastAsia="Times New Roman" w:hAnsi="Calibri" w:cs="Calibri"/>
                <w:b/>
                <w:bCs/>
                <w:color w:val="000000"/>
                <w:sz w:val="18"/>
                <w:szCs w:val="18"/>
                <w:lang w:eastAsia="fr-FR"/>
              </w:rPr>
              <w:t>502,200</w:t>
            </w:r>
            <w:r w:rsidRPr="00CE291E">
              <w:rPr>
                <w:rFonts w:ascii="Calibri" w:eastAsia="Times New Roman" w:hAnsi="Calibri" w:cs="Calibri"/>
                <w:b/>
                <w:bCs/>
                <w:color w:val="000000"/>
                <w:sz w:val="18"/>
                <w:szCs w:val="18"/>
                <w:lang w:eastAsia="fr-FR"/>
              </w:rPr>
              <w:t>.00</w:t>
            </w:r>
          </w:p>
        </w:tc>
      </w:tr>
    </w:tbl>
    <w:p w14:paraId="04989C40" w14:textId="77777777" w:rsidR="0028452F" w:rsidRDefault="0028452F" w:rsidP="0028452F">
      <w:pPr>
        <w:pStyle w:val="Body"/>
      </w:pPr>
    </w:p>
    <w:bookmarkEnd w:id="473"/>
    <w:p w14:paraId="6DAEF6CC" w14:textId="679EAA36" w:rsidR="008E3299" w:rsidRPr="008E3299" w:rsidRDefault="008E3299" w:rsidP="00FB5829">
      <w:pPr>
        <w:rPr>
          <w:rFonts w:asciiTheme="majorHAnsi" w:hAnsiTheme="majorHAnsi" w:cstheme="majorHAnsi"/>
          <w:sz w:val="20"/>
          <w:szCs w:val="20"/>
        </w:rPr>
      </w:pPr>
    </w:p>
    <w:sectPr w:rsidR="008E3299" w:rsidRPr="008E3299" w:rsidSect="004E3C8E">
      <w:pgSz w:w="15840" w:h="12240" w:orient="landscape"/>
      <w:pgMar w:top="1440" w:right="1440" w:bottom="1440" w:left="1440" w:header="708" w:footer="432"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85FAA6" w14:textId="77777777" w:rsidR="00155CF8" w:rsidRDefault="00155CF8">
      <w:r>
        <w:separator/>
      </w:r>
    </w:p>
  </w:endnote>
  <w:endnote w:type="continuationSeparator" w:id="0">
    <w:p w14:paraId="6F26649F" w14:textId="77777777" w:rsidR="00155CF8" w:rsidRDefault="00155C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Noto Sans Symbols">
    <w:altName w:val="Calibri"/>
    <w:charset w:val="00"/>
    <w:family w:val="auto"/>
    <w:pitch w:val="default"/>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Segoe UI">
    <w:altName w:val="Sylfaen"/>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Garamond"/>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E00002FF" w:usb1="5000205A"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Helvetica Neue Light">
    <w:charset w:val="00"/>
    <w:family w:val="auto"/>
    <w:pitch w:val="variable"/>
    <w:sig w:usb0="A00002FF" w:usb1="5000205B" w:usb2="00000002" w:usb3="00000000" w:csb0="00000007" w:csb1="00000000"/>
  </w:font>
  <w:font w:name="Helvetica Neue">
    <w:charset w:val="00"/>
    <w:family w:val="auto"/>
    <w:pitch w:val="variable"/>
    <w:sig w:usb0="E50002FF" w:usb1="500079DB" w:usb2="00000010" w:usb3="00000000" w:csb0="00000001" w:csb1="00000000"/>
  </w:font>
  <w:font w:name="Myriad Pro Cond">
    <w:altName w:val="Myriad Pro Cond"/>
    <w:panose1 w:val="00000000000000000000"/>
    <w:charset w:val="00"/>
    <w:family w:val="swiss"/>
    <w:notTrueType/>
    <w:pitch w:val="variable"/>
    <w:sig w:usb0="A00002AF" w:usb1="5000204B" w:usb2="00000000" w:usb3="00000000" w:csb0="0000019F" w:csb1="00000000"/>
  </w:font>
  <w:font w:name="Myriad Pro">
    <w:altName w:val="Corbel"/>
    <w:panose1 w:val="00000000000000000000"/>
    <w:charset w:val="00"/>
    <w:family w:val="swiss"/>
    <w:notTrueType/>
    <w:pitch w:val="variable"/>
    <w:sig w:usb0="00000001" w:usb1="5000204B" w:usb2="00000000" w:usb3="00000000" w:csb0="0000009F" w:csb1="00000000"/>
  </w:font>
  <w:font w:name="Times-Roman">
    <w:altName w:val="Times New Roman"/>
    <w:charset w:val="00"/>
    <w:family w:val="auto"/>
    <w:pitch w:val="variable"/>
    <w:sig w:usb0="E00002FF" w:usb1="5000205A" w:usb2="00000000" w:usb3="00000000" w:csb0="000001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561A8" w14:textId="77777777" w:rsidR="00013DC5" w:rsidRDefault="00013DC5">
    <w:pPr>
      <w:pStyle w:val="Footer"/>
      <w:pBdr>
        <w:top w:val="single" w:sz="4" w:space="0" w:color="D9D9D9"/>
      </w:pBdr>
      <w:jc w:val="right"/>
    </w:pPr>
    <w:r>
      <w:fldChar w:fldCharType="begin"/>
    </w:r>
    <w:r>
      <w:instrText xml:space="preserve"> PAGE </w:instrText>
    </w:r>
    <w:r>
      <w:fldChar w:fldCharType="separate"/>
    </w:r>
    <w:r>
      <w:rPr>
        <w:noProof/>
      </w:rPr>
      <w:t>41</w:t>
    </w:r>
    <w:r>
      <w:fldChar w:fldCharType="end"/>
    </w:r>
    <w:r>
      <w:t xml:space="preserve"> | </w:t>
    </w:r>
    <w:r>
      <w:rPr>
        <w:color w:val="7F7F7F"/>
        <w:u w:color="7F7F7F"/>
      </w:rPr>
      <w:t>Page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C613EE" w14:textId="77777777" w:rsidR="00013DC5" w:rsidRDefault="00013DC5">
    <w:pPr>
      <w:pStyle w:val="Footer"/>
      <w:pBdr>
        <w:top w:val="single" w:sz="4" w:space="0" w:color="D9D9D9"/>
      </w:pBdr>
      <w:jc w:val="right"/>
    </w:pPr>
    <w:r>
      <w:fldChar w:fldCharType="begin"/>
    </w:r>
    <w:r>
      <w:instrText xml:space="preserve"> PAGE </w:instrText>
    </w:r>
    <w:r>
      <w:fldChar w:fldCharType="separate"/>
    </w:r>
    <w:r>
      <w:rPr>
        <w:noProof/>
      </w:rPr>
      <w:t>42</w:t>
    </w:r>
    <w:r>
      <w:fldChar w:fldCharType="end"/>
    </w:r>
    <w:r>
      <w:t xml:space="preserve"> | </w:t>
    </w:r>
    <w:r>
      <w:rPr>
        <w:rStyle w:val="None"/>
        <w:color w:val="7F7F7F"/>
        <w:u w:color="7F7F7F"/>
      </w:rPr>
      <w:t>Page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E5A707" w14:textId="77777777" w:rsidR="00013DC5" w:rsidRDefault="00013DC5">
    <w:pPr>
      <w:pStyle w:val="Footer"/>
      <w:pBdr>
        <w:top w:val="single" w:sz="4" w:space="0" w:color="D9D9D9"/>
      </w:pBdr>
      <w:jc w:val="right"/>
    </w:pPr>
    <w:r>
      <w:fldChar w:fldCharType="begin"/>
    </w:r>
    <w:r>
      <w:instrText xml:space="preserve"> PAGE </w:instrText>
    </w:r>
    <w:r>
      <w:fldChar w:fldCharType="separate"/>
    </w:r>
    <w:r>
      <w:rPr>
        <w:noProof/>
      </w:rPr>
      <w:t>67</w:t>
    </w:r>
    <w:r>
      <w:fldChar w:fldCharType="end"/>
    </w:r>
    <w:r>
      <w:t xml:space="preserve"> | </w:t>
    </w:r>
    <w:r>
      <w:rPr>
        <w:rStyle w:val="None"/>
        <w:color w:val="7F7F7F"/>
        <w:u w:color="7F7F7F"/>
      </w:rPr>
      <w:t>Page</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90CBC" w14:textId="77777777" w:rsidR="00013DC5" w:rsidRDefault="00013DC5">
    <w:pPr>
      <w:pStyle w:val="Footer"/>
      <w:pBdr>
        <w:top w:val="single" w:sz="4" w:space="0" w:color="D9D9D9"/>
      </w:pBdr>
      <w:jc w:val="right"/>
    </w:pPr>
    <w:r>
      <w:fldChar w:fldCharType="begin"/>
    </w:r>
    <w:r>
      <w:instrText xml:space="preserve"> PAGE </w:instrText>
    </w:r>
    <w:r>
      <w:fldChar w:fldCharType="separate"/>
    </w:r>
    <w:r>
      <w:rPr>
        <w:noProof/>
      </w:rPr>
      <w:t>71</w:t>
    </w:r>
    <w:r>
      <w:fldChar w:fldCharType="end"/>
    </w:r>
    <w:r>
      <w:t xml:space="preserve"> | </w:t>
    </w:r>
    <w:r>
      <w:rPr>
        <w:rStyle w:val="None"/>
        <w:color w:val="7F7F7F"/>
        <w:u w:color="7F7F7F"/>
      </w:rPr>
      <w:t>Page</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4536AD" w14:textId="77777777" w:rsidR="00013DC5" w:rsidRDefault="00013DC5">
    <w:pPr>
      <w:pStyle w:val="Header"/>
    </w:pPr>
  </w:p>
  <w:p w14:paraId="244F4A17" w14:textId="77777777" w:rsidR="00013DC5" w:rsidRDefault="00013DC5">
    <w:pPr>
      <w:pStyle w:val="Footer"/>
      <w:pBdr>
        <w:top w:val="single" w:sz="4" w:space="0" w:color="D9D9D9"/>
      </w:pBdr>
      <w:jc w:val="right"/>
    </w:pPr>
    <w:r>
      <w:fldChar w:fldCharType="begin"/>
    </w:r>
    <w:r>
      <w:instrText xml:space="preserve"> PAGE </w:instrText>
    </w:r>
    <w:r>
      <w:fldChar w:fldCharType="separate"/>
    </w:r>
    <w:r>
      <w:rPr>
        <w:noProof/>
      </w:rPr>
      <w:t>80</w:t>
    </w:r>
    <w:r>
      <w:fldChar w:fldCharType="end"/>
    </w:r>
    <w:r>
      <w:t xml:space="preserve"> | </w:t>
    </w:r>
    <w:r>
      <w:rPr>
        <w:rStyle w:val="None"/>
        <w:color w:val="7F7F7F"/>
        <w:u w:color="7F7F7F"/>
      </w:rPr>
      <w:t>Page</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9DAA64" w14:textId="77777777" w:rsidR="00013DC5" w:rsidRDefault="00013DC5">
    <w:pPr>
      <w:pStyle w:val="Footer"/>
      <w:pBdr>
        <w:top w:val="single" w:sz="4" w:space="0" w:color="D9D9D9"/>
      </w:pBdr>
      <w:tabs>
        <w:tab w:val="left" w:pos="345"/>
        <w:tab w:val="right" w:pos="9000"/>
      </w:tabs>
      <w:jc w:val="left"/>
    </w:pPr>
    <w:r>
      <w:tab/>
    </w:r>
    <w:r>
      <w:tab/>
    </w:r>
    <w:r>
      <w:tab/>
    </w:r>
    <w:r>
      <w:tab/>
    </w:r>
    <w:r>
      <w:fldChar w:fldCharType="begin"/>
    </w:r>
    <w:r>
      <w:instrText xml:space="preserve"> PAGE </w:instrText>
    </w:r>
    <w:r>
      <w:fldChar w:fldCharType="separate"/>
    </w:r>
    <w:r>
      <w:rPr>
        <w:noProof/>
      </w:rPr>
      <w:t>71</w:t>
    </w:r>
    <w:r>
      <w:fldChar w:fldCharType="end"/>
    </w:r>
    <w:r>
      <w:t xml:space="preserve"> | </w:t>
    </w:r>
    <w:r>
      <w:rPr>
        <w:rStyle w:val="None"/>
        <w:color w:val="7F7F7F"/>
        <w:u w:color="7F7F7F"/>
      </w:rPr>
      <w:t>Page</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240DA6" w14:textId="77777777" w:rsidR="00013DC5" w:rsidRDefault="00013DC5">
    <w:pPr>
      <w:pStyle w:val="Header"/>
    </w:pPr>
  </w:p>
  <w:p w14:paraId="452C5E50" w14:textId="77777777" w:rsidR="00013DC5" w:rsidRDefault="00013DC5">
    <w:pPr>
      <w:pStyle w:val="Footer"/>
      <w:pBdr>
        <w:top w:val="single" w:sz="4" w:space="0" w:color="D9D9D9"/>
      </w:pBdr>
      <w:jc w:val="right"/>
    </w:pPr>
    <w:r>
      <w:fldChar w:fldCharType="begin"/>
    </w:r>
    <w:r>
      <w:instrText xml:space="preserve"> PAGE </w:instrText>
    </w:r>
    <w:r>
      <w:fldChar w:fldCharType="separate"/>
    </w:r>
    <w:r>
      <w:rPr>
        <w:noProof/>
      </w:rPr>
      <w:t>89</w:t>
    </w:r>
    <w:r>
      <w:fldChar w:fldCharType="end"/>
    </w:r>
    <w:r>
      <w:t xml:space="preserve"> | </w:t>
    </w:r>
    <w:r>
      <w:rPr>
        <w:rStyle w:val="None"/>
        <w:color w:val="7F7F7F"/>
        <w:u w:color="7F7F7F"/>
      </w:rPr>
      <w:t>Page</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685253" w14:textId="77777777" w:rsidR="00013DC5" w:rsidRDefault="00013DC5">
    <w:pPr>
      <w:pStyle w:val="Footer"/>
      <w:pBdr>
        <w:top w:val="single" w:sz="4" w:space="0" w:color="D9D9D9"/>
      </w:pBdr>
      <w:tabs>
        <w:tab w:val="left" w:pos="345"/>
        <w:tab w:val="right" w:pos="9000"/>
      </w:tabs>
      <w:jc w:val="left"/>
    </w:pPr>
    <w:r>
      <w:tab/>
    </w:r>
    <w:r>
      <w:tab/>
    </w:r>
    <w:r>
      <w:tab/>
    </w:r>
    <w:r>
      <w:tab/>
    </w:r>
    <w:r>
      <w:fldChar w:fldCharType="begin"/>
    </w:r>
    <w:r>
      <w:instrText xml:space="preserve"> PAGE </w:instrText>
    </w:r>
    <w:r>
      <w:fldChar w:fldCharType="separate"/>
    </w:r>
    <w:r>
      <w:rPr>
        <w:noProof/>
      </w:rPr>
      <w:t>121</w:t>
    </w:r>
    <w:r>
      <w:fldChar w:fldCharType="end"/>
    </w:r>
    <w:r>
      <w:t xml:space="preserve"> | </w:t>
    </w:r>
    <w:r>
      <w:rPr>
        <w:rStyle w:val="None"/>
        <w:color w:val="7F7F7F"/>
        <w:u w:color="7F7F7F"/>
      </w:rPr>
      <w:t>Page</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738628868"/>
      <w:docPartObj>
        <w:docPartGallery w:val="Page Numbers (Bottom of Page)"/>
        <w:docPartUnique/>
      </w:docPartObj>
    </w:sdtPr>
    <w:sdtEndPr>
      <w:rPr>
        <w:noProof/>
      </w:rPr>
    </w:sdtEndPr>
    <w:sdtContent>
      <w:p w14:paraId="74C63F36" w14:textId="77777777" w:rsidR="00013DC5" w:rsidRDefault="00013DC5">
        <w:pPr>
          <w:pStyle w:val="Footer"/>
          <w:jc w:val="right"/>
        </w:pPr>
        <w:r>
          <w:fldChar w:fldCharType="begin"/>
        </w:r>
        <w:r>
          <w:instrText xml:space="preserve"> PAGE   \* MERGEFORMAT </w:instrText>
        </w:r>
        <w:r>
          <w:fldChar w:fldCharType="separate"/>
        </w:r>
        <w:r>
          <w:rPr>
            <w:noProof/>
          </w:rPr>
          <w:t>138</w:t>
        </w:r>
        <w:r>
          <w:rPr>
            <w:noProof/>
          </w:rPr>
          <w:fldChar w:fldCharType="end"/>
        </w:r>
      </w:p>
    </w:sdtContent>
  </w:sdt>
  <w:p w14:paraId="7473E430" w14:textId="77777777" w:rsidR="00013DC5" w:rsidRDefault="00013DC5">
    <w:pPr>
      <w:pStyle w:val="HeaderFooter"/>
      <w:tabs>
        <w:tab w:val="clear" w:pos="9020"/>
        <w:tab w:val="center" w:pos="4749"/>
        <w:tab w:val="right" w:pos="9498"/>
      </w:tabs>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EC78D8" w14:textId="77777777" w:rsidR="00013DC5" w:rsidRDefault="00013DC5">
    <w:pPr>
      <w:pStyle w:val="HeaderFooter"/>
      <w:tabs>
        <w:tab w:val="clear" w:pos="9020"/>
        <w:tab w:val="center" w:pos="4819"/>
        <w:tab w:val="right" w:pos="9638"/>
      </w:tabs>
    </w:pPr>
    <w:r>
      <w:tab/>
    </w:r>
    <w:r>
      <w:tab/>
    </w:r>
    <w:r>
      <w:fldChar w:fldCharType="begin"/>
    </w:r>
    <w:r>
      <w:instrText xml:space="preserve"> PAGE </w:instrText>
    </w:r>
    <w:r>
      <w:fldChar w:fldCharType="separate"/>
    </w:r>
    <w:r>
      <w:rPr>
        <w:noProof/>
      </w:rPr>
      <w:t>187</w:t>
    </w:r>
    <w:r>
      <w:fldChar w:fldCharType="end"/>
    </w:r>
  </w:p>
  <w:p w14:paraId="4CE4C1FF" w14:textId="77777777" w:rsidR="00013DC5" w:rsidRDefault="00013DC5"/>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8791293"/>
      <w:docPartObj>
        <w:docPartGallery w:val="Page Numbers (Bottom of Page)"/>
        <w:docPartUnique/>
      </w:docPartObj>
    </w:sdtPr>
    <w:sdtEndPr>
      <w:rPr>
        <w:noProof/>
      </w:rPr>
    </w:sdtEndPr>
    <w:sdtContent>
      <w:p w14:paraId="4A276B6A" w14:textId="77777777" w:rsidR="00013DC5" w:rsidRDefault="00013DC5" w:rsidP="001C1E07">
        <w:pPr>
          <w:pStyle w:val="Footer"/>
          <w:jc w:val="center"/>
        </w:pPr>
        <w:r>
          <w:fldChar w:fldCharType="begin"/>
        </w:r>
        <w:r>
          <w:instrText xml:space="preserve"> PAGE   \* MERGEFORMAT </w:instrText>
        </w:r>
        <w:r>
          <w:fldChar w:fldCharType="separate"/>
        </w:r>
        <w:r>
          <w:rPr>
            <w:noProof/>
          </w:rPr>
          <w:t>196</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9A9D91" w14:textId="77777777" w:rsidR="00155CF8" w:rsidRDefault="00155CF8">
      <w:r>
        <w:separator/>
      </w:r>
    </w:p>
  </w:footnote>
  <w:footnote w:type="continuationSeparator" w:id="0">
    <w:p w14:paraId="3DF36BBC" w14:textId="77777777" w:rsidR="00155CF8" w:rsidRDefault="00155CF8">
      <w:r>
        <w:continuationSeparator/>
      </w:r>
    </w:p>
  </w:footnote>
  <w:footnote w:type="continuationNotice" w:id="1">
    <w:p w14:paraId="3ED5E311" w14:textId="77777777" w:rsidR="00155CF8" w:rsidRDefault="00155CF8"/>
  </w:footnote>
  <w:footnote w:id="2">
    <w:p w14:paraId="761F5507" w14:textId="77777777" w:rsidR="00013DC5" w:rsidRPr="00FB5829" w:rsidRDefault="00013DC5" w:rsidP="00FB5829">
      <w:pPr>
        <w:pStyle w:val="FootnoteText"/>
        <w:spacing w:after="0"/>
        <w:rPr>
          <w:rFonts w:asciiTheme="majorHAnsi" w:hAnsiTheme="majorHAnsi" w:cstheme="majorHAnsi"/>
          <w:sz w:val="18"/>
        </w:rPr>
      </w:pPr>
      <w:r w:rsidRPr="00FB5829">
        <w:rPr>
          <w:rStyle w:val="FootnoteReference"/>
          <w:rFonts w:asciiTheme="majorHAnsi" w:hAnsiTheme="majorHAnsi" w:cstheme="majorHAnsi"/>
          <w:sz w:val="18"/>
        </w:rPr>
        <w:footnoteRef/>
      </w:r>
      <w:r w:rsidRPr="00FB5829">
        <w:rPr>
          <w:rFonts w:asciiTheme="majorHAnsi" w:hAnsiTheme="majorHAnsi" w:cstheme="majorHAnsi"/>
          <w:sz w:val="18"/>
        </w:rPr>
        <w:t xml:space="preserve"> Includes oceans and marine and freshwater ecosystems, forests, biodiversity and ecosystems, land rights, and management of chemicals and waste.</w:t>
      </w:r>
    </w:p>
  </w:footnote>
  <w:footnote w:id="3">
    <w:p w14:paraId="2B0DD758" w14:textId="77777777" w:rsidR="00013DC5" w:rsidRPr="00622E80" w:rsidRDefault="00013DC5" w:rsidP="00622E80">
      <w:pPr>
        <w:pStyle w:val="FootnoteText"/>
        <w:spacing w:after="0"/>
        <w:rPr>
          <w:rFonts w:asciiTheme="majorHAnsi" w:hAnsiTheme="majorHAnsi" w:cstheme="majorHAnsi"/>
          <w:sz w:val="18"/>
          <w:szCs w:val="18"/>
          <w:lang w:val="en-GB"/>
        </w:rPr>
      </w:pPr>
      <w:r w:rsidRPr="00622E80">
        <w:rPr>
          <w:rStyle w:val="FootnoteReference"/>
          <w:rFonts w:asciiTheme="majorHAnsi" w:hAnsiTheme="majorHAnsi" w:cstheme="majorHAnsi"/>
          <w:sz w:val="18"/>
          <w:szCs w:val="18"/>
        </w:rPr>
        <w:footnoteRef/>
      </w:r>
      <w:r w:rsidRPr="00622E80">
        <w:rPr>
          <w:rFonts w:asciiTheme="majorHAnsi" w:hAnsiTheme="majorHAnsi" w:cstheme="majorHAnsi"/>
          <w:sz w:val="18"/>
          <w:szCs w:val="18"/>
        </w:rPr>
        <w:t xml:space="preserve"> </w:t>
      </w:r>
      <w:r w:rsidRPr="00622E80">
        <w:rPr>
          <w:rFonts w:asciiTheme="majorHAnsi" w:hAnsiTheme="majorHAnsi" w:cstheme="majorHAnsi"/>
          <w:sz w:val="18"/>
          <w:szCs w:val="18"/>
          <w:lang w:val="en-GB"/>
        </w:rPr>
        <w:t xml:space="preserve">CEPF in its 2010 Ecosystem Profile: </w:t>
      </w:r>
      <w:r w:rsidRPr="00622E80">
        <w:rPr>
          <w:rFonts w:asciiTheme="majorHAnsi" w:hAnsiTheme="majorHAnsi" w:cstheme="majorHAnsi"/>
          <w:i/>
          <w:iCs/>
          <w:sz w:val="18"/>
          <w:szCs w:val="18"/>
          <w:lang w:val="en-GB"/>
        </w:rPr>
        <w:t>The Caribbean Islands Biodiversity Hotspot</w:t>
      </w:r>
    </w:p>
  </w:footnote>
  <w:footnote w:id="4">
    <w:p w14:paraId="4D0B10BA" w14:textId="77777777" w:rsidR="00013DC5" w:rsidRPr="00622E80" w:rsidRDefault="00013DC5" w:rsidP="00622E80">
      <w:pPr>
        <w:pStyle w:val="FootnoteText"/>
        <w:spacing w:after="0"/>
        <w:rPr>
          <w:rFonts w:asciiTheme="majorHAnsi" w:hAnsiTheme="majorHAnsi" w:cstheme="majorHAnsi"/>
          <w:sz w:val="18"/>
          <w:szCs w:val="18"/>
          <w:lang w:val="en-GB"/>
        </w:rPr>
      </w:pPr>
      <w:r w:rsidRPr="00622E80">
        <w:rPr>
          <w:rStyle w:val="FootnoteReference"/>
          <w:rFonts w:asciiTheme="majorHAnsi" w:hAnsiTheme="majorHAnsi" w:cstheme="majorHAnsi"/>
          <w:sz w:val="18"/>
          <w:szCs w:val="18"/>
        </w:rPr>
        <w:footnoteRef/>
      </w:r>
      <w:r w:rsidRPr="00622E80">
        <w:rPr>
          <w:rFonts w:asciiTheme="majorHAnsi" w:hAnsiTheme="majorHAnsi" w:cstheme="majorHAnsi"/>
          <w:sz w:val="18"/>
          <w:szCs w:val="18"/>
        </w:rPr>
        <w:t>USAID 2006 Haiti Analysis of Tropical Forestry and Biodiversity</w:t>
      </w:r>
    </w:p>
  </w:footnote>
  <w:footnote w:id="5">
    <w:p w14:paraId="3C8D8D88" w14:textId="77777777" w:rsidR="00013DC5" w:rsidRPr="00622E80" w:rsidRDefault="00013DC5" w:rsidP="00622E80">
      <w:pPr>
        <w:pStyle w:val="FootnoteText"/>
        <w:spacing w:after="0"/>
        <w:ind w:left="142" w:hanging="181"/>
        <w:rPr>
          <w:rFonts w:asciiTheme="majorHAnsi" w:hAnsiTheme="majorHAnsi" w:cstheme="majorHAnsi"/>
          <w:sz w:val="18"/>
          <w:szCs w:val="18"/>
          <w:lang w:val="fr-FR"/>
        </w:rPr>
      </w:pPr>
      <w:r w:rsidRPr="00622E80">
        <w:rPr>
          <w:rStyle w:val="FootnoteReference"/>
          <w:rFonts w:asciiTheme="majorHAnsi" w:hAnsiTheme="majorHAnsi" w:cstheme="majorHAnsi"/>
          <w:sz w:val="18"/>
          <w:szCs w:val="18"/>
        </w:rPr>
        <w:footnoteRef/>
      </w:r>
      <w:r w:rsidRPr="00622E80">
        <w:rPr>
          <w:rFonts w:asciiTheme="majorHAnsi" w:hAnsiTheme="majorHAnsi" w:cstheme="majorHAnsi"/>
          <w:sz w:val="18"/>
          <w:szCs w:val="18"/>
          <w:lang w:val="fr-FR"/>
        </w:rPr>
        <w:t>Haiti Déforestée, Paysages Remodelés. Alex Bellande 2015, Éditions CIDIHCA</w:t>
      </w:r>
    </w:p>
  </w:footnote>
  <w:footnote w:id="6">
    <w:p w14:paraId="1D7B6BB5" w14:textId="77777777" w:rsidR="00013DC5" w:rsidRPr="0054189D" w:rsidRDefault="00013DC5" w:rsidP="00622E80">
      <w:pPr>
        <w:pStyle w:val="FootnoteText"/>
        <w:spacing w:after="0"/>
        <w:ind w:left="142" w:hanging="181"/>
        <w:rPr>
          <w:rFonts w:asciiTheme="majorHAnsi" w:hAnsiTheme="majorHAnsi" w:cstheme="majorHAnsi"/>
          <w:sz w:val="18"/>
          <w:szCs w:val="18"/>
          <w:lang w:val="fr-FR"/>
        </w:rPr>
      </w:pPr>
      <w:r w:rsidRPr="00622E80">
        <w:rPr>
          <w:rStyle w:val="FootnoteReference"/>
          <w:rFonts w:asciiTheme="majorHAnsi" w:hAnsiTheme="majorHAnsi" w:cstheme="majorHAnsi"/>
          <w:sz w:val="18"/>
          <w:szCs w:val="18"/>
        </w:rPr>
        <w:footnoteRef/>
      </w:r>
      <w:r w:rsidRPr="0054189D">
        <w:rPr>
          <w:rFonts w:asciiTheme="majorHAnsi" w:hAnsiTheme="majorHAnsi" w:cstheme="majorHAnsi"/>
          <w:sz w:val="18"/>
          <w:szCs w:val="18"/>
          <w:lang w:val="fr-FR"/>
        </w:rPr>
        <w:t xml:space="preserve"> http://www.sciencedirect.com/science/article/pii/S0303243414000300</w:t>
      </w:r>
    </w:p>
  </w:footnote>
  <w:footnote w:id="7">
    <w:p w14:paraId="22DFB54E" w14:textId="77777777" w:rsidR="00013DC5" w:rsidRPr="00622E80" w:rsidRDefault="00013DC5" w:rsidP="00622E80">
      <w:pPr>
        <w:pStyle w:val="FootnoteText"/>
        <w:spacing w:after="0"/>
        <w:ind w:left="142" w:hanging="181"/>
        <w:rPr>
          <w:rFonts w:asciiTheme="majorHAnsi" w:hAnsiTheme="majorHAnsi" w:cstheme="majorHAnsi"/>
          <w:sz w:val="18"/>
          <w:szCs w:val="18"/>
          <w:lang w:val="fr-FR"/>
        </w:rPr>
      </w:pPr>
      <w:r w:rsidRPr="00622E80">
        <w:rPr>
          <w:rStyle w:val="FootnoteReference"/>
          <w:rFonts w:asciiTheme="majorHAnsi" w:hAnsiTheme="majorHAnsi" w:cstheme="majorHAnsi"/>
          <w:sz w:val="18"/>
          <w:szCs w:val="18"/>
        </w:rPr>
        <w:footnoteRef/>
      </w:r>
      <w:r w:rsidRPr="00622E80">
        <w:rPr>
          <w:rFonts w:asciiTheme="majorHAnsi" w:hAnsiTheme="majorHAnsi" w:cstheme="majorHAnsi"/>
          <w:sz w:val="18"/>
          <w:szCs w:val="18"/>
          <w:lang w:val="fr-FR"/>
        </w:rPr>
        <w:t xml:space="preserve"> Lilin C and Koohafgan M (2012): Ravines et versants. Atelier de formation de Gros Morne. CIAT.</w:t>
      </w:r>
    </w:p>
  </w:footnote>
  <w:footnote w:id="8">
    <w:p w14:paraId="7B3B2DCD" w14:textId="77777777" w:rsidR="00013DC5" w:rsidRPr="00622E80" w:rsidRDefault="00013DC5" w:rsidP="00622E80">
      <w:pPr>
        <w:pStyle w:val="FootnoteText"/>
        <w:spacing w:after="0"/>
        <w:ind w:left="142" w:hanging="181"/>
        <w:rPr>
          <w:rFonts w:asciiTheme="majorHAnsi" w:hAnsiTheme="majorHAnsi" w:cstheme="majorHAnsi"/>
          <w:sz w:val="18"/>
          <w:szCs w:val="18"/>
          <w:lang w:val="fr-FR"/>
        </w:rPr>
      </w:pPr>
      <w:r w:rsidRPr="00622E80">
        <w:rPr>
          <w:rStyle w:val="FootnoteReference"/>
          <w:rFonts w:asciiTheme="majorHAnsi" w:hAnsiTheme="majorHAnsi" w:cstheme="majorHAnsi"/>
          <w:sz w:val="18"/>
          <w:szCs w:val="18"/>
        </w:rPr>
        <w:footnoteRef/>
      </w:r>
      <w:r w:rsidRPr="00622E80">
        <w:rPr>
          <w:rFonts w:asciiTheme="majorHAnsi" w:hAnsiTheme="majorHAnsi" w:cstheme="majorHAnsi"/>
          <w:sz w:val="18"/>
          <w:szCs w:val="18"/>
          <w:lang w:val="fr-FR"/>
        </w:rPr>
        <w:t xml:space="preserve"> Garrigue N (1990): La place de l’arbre dans le paysage agricole : Étude des jardins boisés  dans le bassin versant de Petite-Riviere de Nippes. Mémoire de fin d’études, CNEARC, Montpellier.</w:t>
      </w:r>
    </w:p>
  </w:footnote>
  <w:footnote w:id="9">
    <w:p w14:paraId="285901B8" w14:textId="77777777" w:rsidR="00013DC5" w:rsidRPr="00E908B7" w:rsidRDefault="00013DC5" w:rsidP="00AF2783">
      <w:pPr>
        <w:pStyle w:val="FootnoteText"/>
        <w:spacing w:after="0"/>
        <w:rPr>
          <w:rFonts w:asciiTheme="majorHAnsi" w:hAnsiTheme="majorHAnsi" w:cstheme="majorHAnsi"/>
          <w:sz w:val="18"/>
          <w:szCs w:val="18"/>
          <w:lang w:val="fr-FR"/>
        </w:rPr>
      </w:pPr>
      <w:r w:rsidRPr="00AE4ED0">
        <w:rPr>
          <w:rStyle w:val="FootnoteReference"/>
          <w:rFonts w:asciiTheme="majorHAnsi" w:hAnsiTheme="majorHAnsi" w:cstheme="majorHAnsi"/>
          <w:sz w:val="18"/>
          <w:szCs w:val="18"/>
        </w:rPr>
        <w:footnoteRef/>
      </w:r>
      <w:r w:rsidRPr="00E908B7">
        <w:rPr>
          <w:rFonts w:asciiTheme="majorHAnsi" w:hAnsiTheme="majorHAnsi" w:cstheme="majorHAnsi"/>
          <w:sz w:val="18"/>
          <w:szCs w:val="18"/>
          <w:lang w:val="fr-FR"/>
        </w:rPr>
        <w:t xml:space="preserve"> Une étude exhaustive et stratégique du secteur agricole/rural haïtien et des investissements publics requis pour son développement, Chapitre 6. Les filières agricoles Haïtiennes : un marché intérieur à reconquérir. Gaël Pressoir, Sandrine Fréguin Gresh, François-Xavier Lamure Tardieu, Fred Lançon. CIRAD/BID. Version finale -29 juin 2016</w:t>
      </w:r>
    </w:p>
  </w:footnote>
  <w:footnote w:id="10">
    <w:p w14:paraId="79A3A736" w14:textId="77777777" w:rsidR="00013DC5" w:rsidRPr="00622E80" w:rsidRDefault="00013DC5" w:rsidP="00057CE8">
      <w:pPr>
        <w:pStyle w:val="FootnoteText"/>
        <w:spacing w:after="0"/>
        <w:ind w:left="142" w:hanging="181"/>
        <w:rPr>
          <w:rFonts w:asciiTheme="majorHAnsi" w:hAnsiTheme="majorHAnsi" w:cstheme="majorHAnsi"/>
          <w:sz w:val="18"/>
          <w:szCs w:val="18"/>
          <w:lang w:val="fr-FR"/>
        </w:rPr>
      </w:pPr>
      <w:r w:rsidRPr="00622E80">
        <w:rPr>
          <w:rStyle w:val="FootnoteReference"/>
          <w:rFonts w:asciiTheme="majorHAnsi" w:hAnsiTheme="majorHAnsi" w:cstheme="majorHAnsi"/>
          <w:sz w:val="18"/>
          <w:szCs w:val="18"/>
        </w:rPr>
        <w:footnoteRef/>
      </w:r>
      <w:r w:rsidRPr="00622E80">
        <w:rPr>
          <w:rFonts w:asciiTheme="majorHAnsi" w:hAnsiTheme="majorHAnsi" w:cstheme="majorHAnsi"/>
          <w:sz w:val="18"/>
          <w:szCs w:val="18"/>
          <w:lang w:val="fr-FR"/>
        </w:rPr>
        <w:t>Haiti Déforestée, Paysages Remodelés. Alex Bellande 2015, Éditions CIDIHCA</w:t>
      </w:r>
    </w:p>
  </w:footnote>
  <w:footnote w:id="11">
    <w:p w14:paraId="1652CBBD" w14:textId="77777777" w:rsidR="00013DC5" w:rsidRPr="00622E80" w:rsidRDefault="00013DC5" w:rsidP="004C6B45">
      <w:pPr>
        <w:pStyle w:val="FootnoteText"/>
        <w:spacing w:after="0"/>
        <w:ind w:left="142" w:hanging="181"/>
        <w:rPr>
          <w:rFonts w:asciiTheme="majorHAnsi" w:hAnsiTheme="majorHAnsi" w:cstheme="majorHAnsi"/>
          <w:sz w:val="18"/>
          <w:szCs w:val="18"/>
          <w:lang w:val="fr-FR"/>
        </w:rPr>
      </w:pPr>
      <w:r w:rsidRPr="00622E80">
        <w:rPr>
          <w:rStyle w:val="FootnoteReference"/>
          <w:rFonts w:asciiTheme="majorHAnsi" w:hAnsiTheme="majorHAnsi" w:cstheme="majorHAnsi"/>
          <w:sz w:val="18"/>
          <w:szCs w:val="18"/>
        </w:rPr>
        <w:footnoteRef/>
      </w:r>
      <w:r w:rsidRPr="00622E80">
        <w:rPr>
          <w:rFonts w:asciiTheme="majorHAnsi" w:hAnsiTheme="majorHAnsi" w:cstheme="majorHAnsi"/>
          <w:sz w:val="18"/>
          <w:szCs w:val="18"/>
          <w:lang w:val="fr-FR"/>
        </w:rPr>
        <w:t>Murgue (2009): Diagnostique agraire: le cacao, entre plaine et mornes dans le département du Nord en Haiti, Mémoire de fin d’études IRC-Supagro, Montpellier.</w:t>
      </w:r>
    </w:p>
  </w:footnote>
  <w:footnote w:id="12">
    <w:p w14:paraId="015ED4BA" w14:textId="77777777" w:rsidR="00013DC5" w:rsidRPr="00622E80" w:rsidRDefault="00013DC5" w:rsidP="004C6B45">
      <w:pPr>
        <w:pStyle w:val="FootnoteText"/>
        <w:spacing w:after="0"/>
        <w:ind w:left="142" w:hanging="181"/>
        <w:rPr>
          <w:rFonts w:asciiTheme="majorHAnsi" w:hAnsiTheme="majorHAnsi" w:cstheme="majorHAnsi"/>
          <w:sz w:val="18"/>
          <w:szCs w:val="18"/>
          <w:lang w:val="en-GB"/>
        </w:rPr>
      </w:pPr>
      <w:r w:rsidRPr="00622E80">
        <w:rPr>
          <w:rStyle w:val="FootnoteReference"/>
          <w:rFonts w:asciiTheme="majorHAnsi" w:hAnsiTheme="majorHAnsi" w:cstheme="majorHAnsi"/>
          <w:sz w:val="18"/>
          <w:szCs w:val="18"/>
        </w:rPr>
        <w:footnoteRef/>
      </w:r>
      <w:r>
        <w:rPr>
          <w:rFonts w:asciiTheme="majorHAnsi" w:hAnsiTheme="majorHAnsi" w:cstheme="majorHAnsi"/>
          <w:sz w:val="18"/>
          <w:szCs w:val="18"/>
        </w:rPr>
        <w:t>CRS A</w:t>
      </w:r>
      <w:r w:rsidRPr="00622E80">
        <w:rPr>
          <w:rFonts w:asciiTheme="majorHAnsi" w:hAnsiTheme="majorHAnsi" w:cstheme="majorHAnsi"/>
          <w:sz w:val="18"/>
          <w:szCs w:val="18"/>
        </w:rPr>
        <w:t xml:space="preserve">ssessment of </w:t>
      </w:r>
      <w:r w:rsidRPr="00622E80">
        <w:rPr>
          <w:rFonts w:asciiTheme="majorHAnsi" w:hAnsiTheme="majorHAnsi" w:cstheme="majorHAnsi"/>
          <w:sz w:val="18"/>
          <w:szCs w:val="18"/>
          <w:lang w:val="en-GB"/>
        </w:rPr>
        <w:t>Haitian</w:t>
      </w:r>
      <w:r>
        <w:rPr>
          <w:rFonts w:asciiTheme="majorHAnsi" w:hAnsiTheme="majorHAnsi" w:cstheme="majorHAnsi"/>
          <w:sz w:val="18"/>
          <w:szCs w:val="18"/>
          <w:lang w:val="en-GB"/>
        </w:rPr>
        <w:t xml:space="preserve"> </w:t>
      </w:r>
      <w:r w:rsidRPr="00622E80">
        <w:rPr>
          <w:rFonts w:asciiTheme="majorHAnsi" w:hAnsiTheme="majorHAnsi" w:cstheme="majorHAnsi"/>
          <w:sz w:val="18"/>
          <w:szCs w:val="18"/>
          <w:lang w:val="en-GB"/>
        </w:rPr>
        <w:t>Coffee Value Chain</w:t>
      </w:r>
      <w:r>
        <w:rPr>
          <w:rFonts w:asciiTheme="majorHAnsi" w:hAnsiTheme="majorHAnsi" w:cstheme="majorHAnsi"/>
          <w:sz w:val="18"/>
          <w:szCs w:val="18"/>
          <w:lang w:val="en-GB"/>
        </w:rPr>
        <w:t xml:space="preserve"> (2010) </w:t>
      </w:r>
    </w:p>
  </w:footnote>
  <w:footnote w:id="13">
    <w:p w14:paraId="2E13867D" w14:textId="77777777" w:rsidR="00013DC5" w:rsidRPr="00622E80" w:rsidRDefault="00013DC5" w:rsidP="00686A55">
      <w:pPr>
        <w:pStyle w:val="FootnoteText"/>
        <w:spacing w:after="0"/>
        <w:ind w:left="142" w:hanging="181"/>
        <w:rPr>
          <w:rFonts w:asciiTheme="majorHAnsi" w:hAnsiTheme="majorHAnsi" w:cstheme="majorHAnsi"/>
          <w:sz w:val="18"/>
          <w:szCs w:val="18"/>
          <w:lang w:val="en-GB"/>
        </w:rPr>
      </w:pPr>
      <w:r w:rsidRPr="00622E80">
        <w:rPr>
          <w:rStyle w:val="FootnoteReference"/>
          <w:rFonts w:asciiTheme="majorHAnsi" w:hAnsiTheme="majorHAnsi" w:cstheme="majorHAnsi"/>
          <w:sz w:val="18"/>
          <w:szCs w:val="18"/>
        </w:rPr>
        <w:footnoteRef/>
      </w:r>
      <w:r w:rsidRPr="00622E80">
        <w:rPr>
          <w:rFonts w:asciiTheme="majorHAnsi" w:hAnsiTheme="majorHAnsi" w:cstheme="majorHAnsi"/>
          <w:sz w:val="18"/>
          <w:szCs w:val="18"/>
        </w:rPr>
        <w:t xml:space="preserve">Assessment of </w:t>
      </w:r>
      <w:r w:rsidRPr="00622E80">
        <w:rPr>
          <w:rFonts w:asciiTheme="majorHAnsi" w:hAnsiTheme="majorHAnsi" w:cstheme="majorHAnsi"/>
          <w:sz w:val="18"/>
          <w:szCs w:val="18"/>
          <w:lang w:val="en-GB"/>
        </w:rPr>
        <w:t>Haitian</w:t>
      </w:r>
      <w:r>
        <w:rPr>
          <w:rFonts w:asciiTheme="majorHAnsi" w:hAnsiTheme="majorHAnsi" w:cstheme="majorHAnsi"/>
          <w:sz w:val="18"/>
          <w:szCs w:val="18"/>
          <w:lang w:val="en-GB"/>
        </w:rPr>
        <w:t xml:space="preserve"> </w:t>
      </w:r>
      <w:r w:rsidRPr="00622E80">
        <w:rPr>
          <w:rFonts w:asciiTheme="majorHAnsi" w:hAnsiTheme="majorHAnsi" w:cstheme="majorHAnsi"/>
          <w:sz w:val="18"/>
          <w:szCs w:val="18"/>
          <w:lang w:val="en-GB"/>
        </w:rPr>
        <w:t>Coffee Value Chain</w:t>
      </w:r>
      <w:r>
        <w:rPr>
          <w:rFonts w:asciiTheme="majorHAnsi" w:hAnsiTheme="majorHAnsi" w:cstheme="majorHAnsi"/>
          <w:sz w:val="18"/>
          <w:szCs w:val="18"/>
          <w:lang w:val="en-GB"/>
        </w:rPr>
        <w:t xml:space="preserve"> (Catholic Relief Services)</w:t>
      </w:r>
      <w:r w:rsidRPr="00622E80">
        <w:rPr>
          <w:rFonts w:asciiTheme="majorHAnsi" w:hAnsiTheme="majorHAnsi" w:cstheme="majorHAnsi"/>
          <w:sz w:val="18"/>
          <w:szCs w:val="18"/>
          <w:lang w:val="en-GB"/>
        </w:rPr>
        <w:t xml:space="preserve">. </w:t>
      </w:r>
      <w:r w:rsidRPr="0054189D">
        <w:rPr>
          <w:rFonts w:asciiTheme="majorHAnsi" w:hAnsiTheme="majorHAnsi" w:cstheme="majorHAnsi"/>
          <w:sz w:val="18"/>
          <w:szCs w:val="18"/>
          <w:lang w:val="en-GB"/>
        </w:rPr>
        <w:t xml:space="preserve">Fernando Rodríguez, Nora Patricia Castañeda, Mark Lundy (2010). </w:t>
      </w:r>
      <w:r w:rsidRPr="00622E80">
        <w:rPr>
          <w:rFonts w:asciiTheme="majorHAnsi" w:hAnsiTheme="majorHAnsi" w:cstheme="majorHAnsi"/>
          <w:sz w:val="18"/>
          <w:szCs w:val="18"/>
          <w:lang w:val="en-GB"/>
        </w:rPr>
        <w:t>A participatory assessment of coffee chain actors in southern Haiti</w:t>
      </w:r>
    </w:p>
  </w:footnote>
  <w:footnote w:id="14">
    <w:p w14:paraId="3E1B359D" w14:textId="77777777" w:rsidR="00013DC5" w:rsidRPr="004804ED" w:rsidRDefault="00013DC5" w:rsidP="004C6B45">
      <w:pPr>
        <w:pStyle w:val="FootnoteText"/>
        <w:spacing w:after="0"/>
        <w:ind w:left="142" w:hanging="180"/>
        <w:rPr>
          <w:sz w:val="18"/>
          <w:lang w:val="fr-FR"/>
        </w:rPr>
      </w:pPr>
      <w:r>
        <w:rPr>
          <w:rStyle w:val="FootnoteReference"/>
        </w:rPr>
        <w:footnoteRef/>
      </w:r>
      <w:r w:rsidRPr="00622E80">
        <w:rPr>
          <w:rFonts w:asciiTheme="majorHAnsi" w:hAnsiTheme="majorHAnsi" w:cstheme="majorHAnsi"/>
          <w:sz w:val="18"/>
          <w:szCs w:val="18"/>
          <w:lang w:val="fr-FR"/>
        </w:rPr>
        <w:t>Haiti Déforestée, Paysages Remodelés. Alex Bellande 2015, Éditions CIDIHCA</w:t>
      </w:r>
    </w:p>
  </w:footnote>
  <w:footnote w:id="15">
    <w:p w14:paraId="34E4A2F6" w14:textId="77777777" w:rsidR="00013DC5" w:rsidRPr="0054189D" w:rsidRDefault="00013DC5" w:rsidP="00D10372">
      <w:pPr>
        <w:pStyle w:val="FootnoteText"/>
        <w:spacing w:after="0"/>
        <w:rPr>
          <w:rFonts w:asciiTheme="majorHAnsi" w:hAnsiTheme="majorHAnsi" w:cstheme="majorHAnsi"/>
          <w:sz w:val="18"/>
          <w:lang w:val="fr-FR"/>
        </w:rPr>
      </w:pPr>
      <w:r w:rsidRPr="00D10372">
        <w:rPr>
          <w:rStyle w:val="FootnoteReference"/>
          <w:rFonts w:asciiTheme="majorHAnsi" w:hAnsiTheme="majorHAnsi" w:cstheme="majorHAnsi"/>
          <w:sz w:val="18"/>
        </w:rPr>
        <w:footnoteRef/>
      </w:r>
      <w:r w:rsidRPr="0054189D">
        <w:rPr>
          <w:rFonts w:asciiTheme="majorHAnsi" w:hAnsiTheme="majorHAnsi" w:cstheme="majorHAnsi"/>
          <w:sz w:val="18"/>
          <w:lang w:val="fr-FR"/>
        </w:rPr>
        <w:t xml:space="preserve"> Jean-Denis S, Jean-Pierre D, Mutel M, Duchaufour H, Langlais C, Fernandes P, Alphonse M-E, Malézieux E (2014). Évolution de la structure d’un système agroforestier en relation avec le cycle de vie familial : cas du jardin de case en Haïti. </w:t>
      </w:r>
      <w:r w:rsidRPr="0054189D">
        <w:rPr>
          <w:rFonts w:asciiTheme="majorHAnsi" w:hAnsiTheme="majorHAnsi" w:cstheme="majorHAnsi"/>
          <w:i/>
          <w:sz w:val="18"/>
          <w:lang w:val="fr-FR"/>
        </w:rPr>
        <w:t xml:space="preserve">Bois et forets des tropiques </w:t>
      </w:r>
      <w:r w:rsidRPr="0054189D">
        <w:rPr>
          <w:rFonts w:asciiTheme="majorHAnsi" w:hAnsiTheme="majorHAnsi" w:cstheme="majorHAnsi"/>
          <w:sz w:val="18"/>
          <w:lang w:val="fr-FR"/>
        </w:rPr>
        <w:t>2014, 321 (3).</w:t>
      </w:r>
    </w:p>
  </w:footnote>
  <w:footnote w:id="16">
    <w:p w14:paraId="424C8E22" w14:textId="77777777" w:rsidR="00013DC5" w:rsidRPr="0054189D" w:rsidRDefault="00013DC5" w:rsidP="00EA6C83">
      <w:pPr>
        <w:pStyle w:val="FootnoteText"/>
        <w:spacing w:after="0"/>
        <w:rPr>
          <w:rFonts w:asciiTheme="majorHAnsi" w:hAnsiTheme="majorHAnsi" w:cstheme="majorHAnsi"/>
          <w:sz w:val="18"/>
          <w:lang w:val="fr-FR"/>
        </w:rPr>
      </w:pPr>
      <w:r w:rsidRPr="00EA6C83">
        <w:rPr>
          <w:rStyle w:val="FootnoteReference"/>
          <w:rFonts w:asciiTheme="majorHAnsi" w:hAnsiTheme="majorHAnsi" w:cstheme="majorHAnsi"/>
          <w:sz w:val="18"/>
        </w:rPr>
        <w:footnoteRef/>
      </w:r>
      <w:r w:rsidRPr="0054189D">
        <w:rPr>
          <w:rFonts w:asciiTheme="majorHAnsi" w:hAnsiTheme="majorHAnsi" w:cstheme="majorHAnsi"/>
          <w:sz w:val="18"/>
          <w:lang w:val="fr-FR"/>
        </w:rPr>
        <w:t xml:space="preserve"> Javan mongoose, an exotic introduced from SE Asia</w:t>
      </w:r>
    </w:p>
  </w:footnote>
  <w:footnote w:id="17">
    <w:p w14:paraId="0DF5953B" w14:textId="77777777" w:rsidR="00013DC5" w:rsidRPr="00305853" w:rsidRDefault="00013DC5" w:rsidP="00F73FC0">
      <w:pPr>
        <w:pStyle w:val="FootnoteText"/>
        <w:spacing w:after="0"/>
        <w:rPr>
          <w:rFonts w:asciiTheme="majorHAnsi" w:hAnsiTheme="majorHAnsi" w:cstheme="majorHAnsi"/>
          <w:sz w:val="18"/>
          <w:szCs w:val="18"/>
          <w:lang w:val="fr-FR"/>
        </w:rPr>
      </w:pPr>
      <w:r w:rsidRPr="00F73FC0">
        <w:rPr>
          <w:rStyle w:val="FootnoteReference"/>
          <w:rFonts w:asciiTheme="majorHAnsi" w:hAnsiTheme="majorHAnsi" w:cstheme="majorHAnsi"/>
          <w:sz w:val="18"/>
          <w:szCs w:val="18"/>
        </w:rPr>
        <w:footnoteRef/>
      </w:r>
      <w:r w:rsidRPr="00305853">
        <w:rPr>
          <w:rFonts w:asciiTheme="majorHAnsi" w:hAnsiTheme="majorHAnsi" w:cstheme="majorHAnsi"/>
          <w:sz w:val="18"/>
          <w:szCs w:val="18"/>
          <w:lang w:val="fr-FR"/>
        </w:rPr>
        <w:t xml:space="preserve"> 1 Cx (carreau) = 1.29 ha</w:t>
      </w:r>
    </w:p>
  </w:footnote>
  <w:footnote w:id="18">
    <w:p w14:paraId="216ABAF9" w14:textId="77777777" w:rsidR="00013DC5" w:rsidRPr="00E908B7" w:rsidRDefault="00013DC5" w:rsidP="00AE4ED0">
      <w:pPr>
        <w:pStyle w:val="FootnoteText"/>
        <w:spacing w:after="0"/>
        <w:rPr>
          <w:rFonts w:asciiTheme="majorHAnsi" w:hAnsiTheme="majorHAnsi" w:cstheme="majorHAnsi"/>
          <w:sz w:val="18"/>
          <w:szCs w:val="18"/>
          <w:lang w:val="fr-FR"/>
        </w:rPr>
      </w:pPr>
      <w:r w:rsidRPr="00AE4ED0">
        <w:rPr>
          <w:rStyle w:val="FootnoteReference"/>
          <w:rFonts w:asciiTheme="majorHAnsi" w:hAnsiTheme="majorHAnsi" w:cstheme="majorHAnsi"/>
          <w:sz w:val="18"/>
          <w:szCs w:val="18"/>
        </w:rPr>
        <w:footnoteRef/>
      </w:r>
      <w:r w:rsidRPr="00E908B7">
        <w:rPr>
          <w:rFonts w:asciiTheme="majorHAnsi" w:hAnsiTheme="majorHAnsi" w:cstheme="majorHAnsi"/>
          <w:sz w:val="18"/>
          <w:szCs w:val="18"/>
          <w:lang w:val="fr-FR"/>
        </w:rPr>
        <w:t xml:space="preserve"> Une étude exhaustive et stratégique du secteur agricole/rural haïtien et des investissements publics requis pour son développement, Chapitre 6. Les filières agricoles Haïtiennes : un marché intérieur à reconquérir. Gaël Pressoir, Sandrine Fréguin Gresh, François-Xavier Lamure Tardieu, Fred Lançon. CIRAD/BID. Version finale -29 juin 2016</w:t>
      </w:r>
    </w:p>
  </w:footnote>
  <w:footnote w:id="19">
    <w:p w14:paraId="1693A153" w14:textId="05258016" w:rsidR="00013DC5" w:rsidRPr="00622E80" w:rsidRDefault="00013DC5" w:rsidP="004C6B45">
      <w:pPr>
        <w:pStyle w:val="FootnoteText"/>
        <w:spacing w:after="0"/>
        <w:ind w:left="142" w:hanging="181"/>
        <w:rPr>
          <w:rFonts w:asciiTheme="majorHAnsi" w:hAnsiTheme="majorHAnsi" w:cstheme="majorHAnsi"/>
          <w:sz w:val="18"/>
          <w:szCs w:val="18"/>
          <w:lang w:val="fr-FR"/>
        </w:rPr>
      </w:pPr>
      <w:r w:rsidRPr="00622E80">
        <w:rPr>
          <w:rStyle w:val="FootnoteReference"/>
          <w:rFonts w:asciiTheme="majorHAnsi" w:hAnsiTheme="majorHAnsi" w:cstheme="majorHAnsi"/>
          <w:sz w:val="18"/>
          <w:szCs w:val="18"/>
        </w:rPr>
        <w:footnoteRef/>
      </w:r>
      <w:r w:rsidRPr="00622E80">
        <w:rPr>
          <w:rFonts w:asciiTheme="majorHAnsi" w:hAnsiTheme="majorHAnsi" w:cstheme="majorHAnsi"/>
          <w:sz w:val="18"/>
          <w:szCs w:val="18"/>
          <w:lang w:val="fr-FR"/>
        </w:rPr>
        <w:t>Économie Verte : étude sur les filières agricoles et le verdissement de l’économie dans le Département du Sud. PNUD/</w:t>
      </w:r>
      <w:r>
        <w:rPr>
          <w:rFonts w:asciiTheme="majorHAnsi" w:hAnsiTheme="majorHAnsi" w:cstheme="majorHAnsi"/>
          <w:sz w:val="18"/>
          <w:szCs w:val="18"/>
          <w:lang w:val="fr-FR"/>
        </w:rPr>
        <w:t>MoE</w:t>
      </w:r>
      <w:r w:rsidRPr="00622E80">
        <w:rPr>
          <w:rFonts w:asciiTheme="majorHAnsi" w:hAnsiTheme="majorHAnsi" w:cstheme="majorHAnsi"/>
          <w:sz w:val="18"/>
          <w:szCs w:val="18"/>
          <w:lang w:val="fr-FR"/>
        </w:rPr>
        <w:t>/MARNDR (2016).</w:t>
      </w:r>
    </w:p>
  </w:footnote>
  <w:footnote w:id="20">
    <w:p w14:paraId="38A0AFD7" w14:textId="77777777" w:rsidR="00013DC5" w:rsidRPr="007F4A56" w:rsidRDefault="00013DC5" w:rsidP="007F4A56">
      <w:pPr>
        <w:pStyle w:val="FootnoteText"/>
        <w:spacing w:after="0"/>
        <w:ind w:left="142" w:hanging="181"/>
        <w:rPr>
          <w:rFonts w:asciiTheme="majorHAnsi" w:hAnsiTheme="majorHAnsi" w:cstheme="majorHAnsi"/>
          <w:sz w:val="18"/>
          <w:szCs w:val="18"/>
          <w:lang w:val="fr-FR"/>
        </w:rPr>
      </w:pPr>
      <w:r w:rsidRPr="00622E80">
        <w:rPr>
          <w:rStyle w:val="FootnoteReference"/>
          <w:rFonts w:asciiTheme="majorHAnsi" w:hAnsiTheme="majorHAnsi" w:cstheme="majorHAnsi"/>
          <w:sz w:val="18"/>
          <w:szCs w:val="18"/>
        </w:rPr>
        <w:footnoteRef/>
      </w:r>
      <w:r w:rsidRPr="00622E80">
        <w:rPr>
          <w:rFonts w:asciiTheme="majorHAnsi" w:hAnsiTheme="majorHAnsi" w:cstheme="majorHAnsi"/>
          <w:sz w:val="18"/>
          <w:szCs w:val="18"/>
          <w:lang w:val="fr-FR"/>
        </w:rPr>
        <w:t xml:space="preserve">La filière Cacao d’Haïti : Un exemple de succès d’échanges Sud-Sud et de partenariat Nord-Sud. The Journal of Field Actions. Field Actions Science Reports. Special Issue 9 | 2014 : Haïti : Innovations locales, clés pour un développement durable et </w:t>
      </w:r>
      <w:r w:rsidRPr="007F4A56">
        <w:rPr>
          <w:rFonts w:asciiTheme="majorHAnsi" w:hAnsiTheme="majorHAnsi" w:cstheme="majorHAnsi"/>
          <w:sz w:val="18"/>
          <w:szCs w:val="18"/>
          <w:lang w:val="fr-FR"/>
        </w:rPr>
        <w:t>inclusif.</w:t>
      </w:r>
    </w:p>
  </w:footnote>
  <w:footnote w:id="21">
    <w:p w14:paraId="078697E9" w14:textId="77777777" w:rsidR="00013DC5" w:rsidRPr="007F4A56" w:rsidRDefault="00013DC5" w:rsidP="007F4A56">
      <w:pPr>
        <w:pStyle w:val="FootnoteText"/>
        <w:spacing w:after="0"/>
        <w:rPr>
          <w:rFonts w:asciiTheme="majorHAnsi" w:hAnsiTheme="majorHAnsi" w:cstheme="majorHAnsi"/>
          <w:sz w:val="18"/>
          <w:szCs w:val="18"/>
          <w:lang w:val="en-GB"/>
        </w:rPr>
      </w:pPr>
      <w:r w:rsidRPr="007F4A56">
        <w:rPr>
          <w:rStyle w:val="FootnoteReference"/>
          <w:rFonts w:asciiTheme="majorHAnsi" w:hAnsiTheme="majorHAnsi" w:cstheme="majorHAnsi"/>
          <w:sz w:val="18"/>
          <w:szCs w:val="18"/>
        </w:rPr>
        <w:footnoteRef/>
      </w:r>
      <w:r w:rsidRPr="007F4A56">
        <w:rPr>
          <w:rFonts w:asciiTheme="majorHAnsi" w:hAnsiTheme="majorHAnsi" w:cstheme="majorHAnsi"/>
          <w:sz w:val="18"/>
          <w:szCs w:val="18"/>
        </w:rPr>
        <w:t xml:space="preserve"> (Atelier INCAH, 2018)</w:t>
      </w:r>
    </w:p>
  </w:footnote>
  <w:footnote w:id="22">
    <w:p w14:paraId="517E8016" w14:textId="77777777" w:rsidR="00013DC5" w:rsidRPr="00622E80" w:rsidRDefault="00013DC5" w:rsidP="004C6B45">
      <w:pPr>
        <w:pStyle w:val="FootnoteText"/>
        <w:spacing w:after="0"/>
        <w:ind w:left="142" w:hanging="181"/>
        <w:rPr>
          <w:rFonts w:asciiTheme="majorHAnsi" w:hAnsiTheme="majorHAnsi" w:cstheme="majorHAnsi"/>
          <w:sz w:val="18"/>
          <w:szCs w:val="18"/>
          <w:lang w:val="en-GB"/>
        </w:rPr>
      </w:pPr>
      <w:r w:rsidRPr="00622E80">
        <w:rPr>
          <w:rStyle w:val="FootnoteReference"/>
          <w:rFonts w:asciiTheme="majorHAnsi" w:hAnsiTheme="majorHAnsi" w:cstheme="majorHAnsi"/>
          <w:sz w:val="18"/>
          <w:szCs w:val="18"/>
        </w:rPr>
        <w:footnoteRef/>
      </w:r>
      <w:r>
        <w:rPr>
          <w:rFonts w:asciiTheme="majorHAnsi" w:hAnsiTheme="majorHAnsi" w:cstheme="majorHAnsi"/>
          <w:sz w:val="18"/>
          <w:szCs w:val="18"/>
        </w:rPr>
        <w:t>CRS A</w:t>
      </w:r>
      <w:r w:rsidRPr="00622E80">
        <w:rPr>
          <w:rFonts w:asciiTheme="majorHAnsi" w:hAnsiTheme="majorHAnsi" w:cstheme="majorHAnsi"/>
          <w:sz w:val="18"/>
          <w:szCs w:val="18"/>
        </w:rPr>
        <w:t xml:space="preserve">ssessment of </w:t>
      </w:r>
      <w:r w:rsidRPr="00622E80">
        <w:rPr>
          <w:rFonts w:asciiTheme="majorHAnsi" w:hAnsiTheme="majorHAnsi" w:cstheme="majorHAnsi"/>
          <w:sz w:val="18"/>
          <w:szCs w:val="18"/>
          <w:lang w:val="en-GB"/>
        </w:rPr>
        <w:t>Haitian</w:t>
      </w:r>
      <w:r>
        <w:rPr>
          <w:rFonts w:asciiTheme="majorHAnsi" w:hAnsiTheme="majorHAnsi" w:cstheme="majorHAnsi"/>
          <w:sz w:val="18"/>
          <w:szCs w:val="18"/>
          <w:lang w:val="en-GB"/>
        </w:rPr>
        <w:t xml:space="preserve"> </w:t>
      </w:r>
      <w:r w:rsidRPr="00622E80">
        <w:rPr>
          <w:rFonts w:asciiTheme="majorHAnsi" w:hAnsiTheme="majorHAnsi" w:cstheme="majorHAnsi"/>
          <w:sz w:val="18"/>
          <w:szCs w:val="18"/>
          <w:lang w:val="en-GB"/>
        </w:rPr>
        <w:t>Coffee Value Chain</w:t>
      </w:r>
      <w:r>
        <w:rPr>
          <w:rFonts w:asciiTheme="majorHAnsi" w:hAnsiTheme="majorHAnsi" w:cstheme="majorHAnsi"/>
          <w:sz w:val="18"/>
          <w:szCs w:val="18"/>
          <w:lang w:val="en-GB"/>
        </w:rPr>
        <w:t xml:space="preserve"> (2010)</w:t>
      </w:r>
    </w:p>
  </w:footnote>
  <w:footnote w:id="23">
    <w:p w14:paraId="7D04BFE7" w14:textId="77777777" w:rsidR="00013DC5" w:rsidRPr="00014BC2" w:rsidRDefault="00013DC5" w:rsidP="00014BC2">
      <w:pPr>
        <w:pStyle w:val="FootnoteText"/>
        <w:spacing w:after="0"/>
        <w:rPr>
          <w:rFonts w:asciiTheme="majorHAnsi" w:hAnsiTheme="majorHAnsi" w:cstheme="majorHAnsi"/>
          <w:sz w:val="18"/>
          <w:szCs w:val="18"/>
          <w:lang w:val="en-GB"/>
        </w:rPr>
      </w:pPr>
      <w:r w:rsidRPr="00014BC2">
        <w:rPr>
          <w:rStyle w:val="FootnoteReference"/>
          <w:rFonts w:asciiTheme="majorHAnsi" w:hAnsiTheme="majorHAnsi" w:cstheme="majorHAnsi"/>
          <w:sz w:val="18"/>
          <w:szCs w:val="18"/>
        </w:rPr>
        <w:footnoteRef/>
      </w:r>
      <w:r w:rsidRPr="00014BC2">
        <w:rPr>
          <w:rFonts w:asciiTheme="majorHAnsi" w:hAnsiTheme="majorHAnsi" w:cstheme="majorHAnsi"/>
          <w:sz w:val="18"/>
          <w:szCs w:val="18"/>
        </w:rPr>
        <w:t xml:space="preserve"> https://espressocoffeeguide.com/gourmet-coffee/coffees-of-the-americas/haiti-coffee/haitian-blue-coffee/</w:t>
      </w:r>
    </w:p>
  </w:footnote>
  <w:footnote w:id="24">
    <w:p w14:paraId="3A43010C" w14:textId="77777777" w:rsidR="00013DC5" w:rsidRPr="00BB71EF" w:rsidRDefault="00013DC5" w:rsidP="00A836B3">
      <w:pPr>
        <w:pStyle w:val="FootnoteText"/>
        <w:spacing w:after="0"/>
        <w:jc w:val="left"/>
        <w:rPr>
          <w:rFonts w:asciiTheme="majorHAnsi" w:hAnsiTheme="majorHAnsi" w:cstheme="majorHAnsi"/>
          <w:sz w:val="18"/>
          <w:szCs w:val="18"/>
          <w:lang w:val="en-GB"/>
        </w:rPr>
      </w:pPr>
      <w:r w:rsidRPr="00BB71EF">
        <w:rPr>
          <w:rStyle w:val="FootnoteReference"/>
          <w:rFonts w:asciiTheme="majorHAnsi" w:hAnsiTheme="majorHAnsi" w:cstheme="majorHAnsi"/>
          <w:sz w:val="18"/>
          <w:szCs w:val="18"/>
        </w:rPr>
        <w:footnoteRef/>
      </w:r>
      <w:r w:rsidRPr="00BB71EF">
        <w:rPr>
          <w:rFonts w:asciiTheme="majorHAnsi" w:hAnsiTheme="majorHAnsi" w:cstheme="majorHAnsi"/>
          <w:sz w:val="18"/>
          <w:szCs w:val="18"/>
        </w:rPr>
        <w:t xml:space="preserve"> https://www.haitilibre.com/article-11177-haiti-humanitaire-reouverture-de-l-usine-de-jus-naturels-de-fruits-de-marmelade.html</w:t>
      </w:r>
    </w:p>
  </w:footnote>
  <w:footnote w:id="25">
    <w:p w14:paraId="378BF437" w14:textId="77777777" w:rsidR="00013DC5" w:rsidRPr="00E908B7" w:rsidRDefault="00013DC5" w:rsidP="00971D38">
      <w:pPr>
        <w:pStyle w:val="FootnoteText"/>
        <w:spacing w:after="0"/>
        <w:rPr>
          <w:rFonts w:asciiTheme="majorHAnsi" w:hAnsiTheme="majorHAnsi" w:cstheme="majorHAnsi"/>
          <w:sz w:val="18"/>
          <w:szCs w:val="18"/>
          <w:lang w:val="fr-FR"/>
        </w:rPr>
      </w:pPr>
      <w:r w:rsidRPr="00BB71EF">
        <w:rPr>
          <w:rStyle w:val="FootnoteReference"/>
          <w:rFonts w:asciiTheme="majorHAnsi" w:hAnsiTheme="majorHAnsi" w:cstheme="majorHAnsi"/>
          <w:sz w:val="18"/>
          <w:szCs w:val="18"/>
        </w:rPr>
        <w:footnoteRef/>
      </w:r>
      <w:r w:rsidRPr="00E908B7">
        <w:rPr>
          <w:rFonts w:asciiTheme="majorHAnsi" w:hAnsiTheme="majorHAnsi" w:cstheme="majorHAnsi"/>
          <w:sz w:val="18"/>
          <w:szCs w:val="18"/>
          <w:lang w:val="fr-FR"/>
        </w:rPr>
        <w:t xml:space="preserve"> http://www.anatraf.org/</w:t>
      </w:r>
    </w:p>
  </w:footnote>
  <w:footnote w:id="26">
    <w:p w14:paraId="0F24A711" w14:textId="77777777" w:rsidR="00013DC5" w:rsidRPr="0054189D" w:rsidRDefault="00013DC5" w:rsidP="00C669FA">
      <w:pPr>
        <w:pStyle w:val="FootnoteText"/>
        <w:spacing w:after="0"/>
        <w:ind w:left="142" w:hanging="181"/>
        <w:rPr>
          <w:rFonts w:asciiTheme="majorHAnsi" w:hAnsiTheme="majorHAnsi" w:cstheme="majorHAnsi"/>
          <w:sz w:val="18"/>
          <w:szCs w:val="18"/>
          <w:lang w:val="fr-FR"/>
        </w:rPr>
      </w:pPr>
      <w:r w:rsidRPr="00C31DB7">
        <w:rPr>
          <w:rStyle w:val="FootnoteReference"/>
          <w:rFonts w:asciiTheme="majorHAnsi" w:hAnsiTheme="majorHAnsi" w:cstheme="majorHAnsi"/>
          <w:sz w:val="18"/>
          <w:szCs w:val="18"/>
        </w:rPr>
        <w:footnoteRef/>
      </w:r>
      <w:r>
        <w:rPr>
          <w:rFonts w:asciiTheme="majorHAnsi" w:hAnsiTheme="majorHAnsi" w:cstheme="majorHAnsi"/>
          <w:sz w:val="18"/>
          <w:szCs w:val="18"/>
          <w:lang w:val="fr-FR"/>
        </w:rPr>
        <w:t xml:space="preserve">Sources : </w:t>
      </w:r>
      <w:r w:rsidRPr="00C31DB7">
        <w:rPr>
          <w:rFonts w:asciiTheme="majorHAnsi" w:hAnsiTheme="majorHAnsi" w:cstheme="majorHAnsi"/>
          <w:sz w:val="18"/>
          <w:szCs w:val="18"/>
          <w:lang w:val="fr-FR"/>
        </w:rPr>
        <w:t xml:space="preserve">Haiti Déforestée, Paysages Remodelés. </w:t>
      </w:r>
      <w:r w:rsidRPr="0054189D">
        <w:rPr>
          <w:rFonts w:asciiTheme="majorHAnsi" w:hAnsiTheme="majorHAnsi" w:cstheme="majorHAnsi"/>
          <w:sz w:val="18"/>
          <w:szCs w:val="18"/>
          <w:lang w:val="fr-FR"/>
        </w:rPr>
        <w:t>Alex Bellande 2015, Éditions CIDIHCA</w:t>
      </w:r>
      <w:r>
        <w:rPr>
          <w:rFonts w:asciiTheme="majorHAnsi" w:hAnsiTheme="majorHAnsi" w:cstheme="majorHAnsi"/>
          <w:sz w:val="18"/>
          <w:szCs w:val="18"/>
          <w:lang w:val="fr-FR"/>
        </w:rPr>
        <w:t> ; PPG studies.</w:t>
      </w:r>
    </w:p>
  </w:footnote>
  <w:footnote w:id="27">
    <w:p w14:paraId="0C29FCCA" w14:textId="77777777" w:rsidR="00013DC5" w:rsidRPr="00E908B7" w:rsidRDefault="00013DC5" w:rsidP="00C470F2">
      <w:pPr>
        <w:pStyle w:val="FootnoteText"/>
        <w:spacing w:after="0"/>
        <w:jc w:val="left"/>
        <w:rPr>
          <w:rFonts w:asciiTheme="majorHAnsi" w:hAnsiTheme="majorHAnsi" w:cstheme="majorHAnsi"/>
          <w:sz w:val="18"/>
          <w:szCs w:val="18"/>
          <w:lang w:val="fr-FR"/>
        </w:rPr>
      </w:pPr>
      <w:r w:rsidRPr="00C470F2">
        <w:rPr>
          <w:rStyle w:val="FootnoteReference"/>
          <w:rFonts w:asciiTheme="majorHAnsi" w:hAnsiTheme="majorHAnsi" w:cstheme="majorHAnsi"/>
          <w:sz w:val="18"/>
          <w:szCs w:val="18"/>
        </w:rPr>
        <w:footnoteRef/>
      </w:r>
      <w:r w:rsidRPr="00E908B7">
        <w:rPr>
          <w:rFonts w:asciiTheme="majorHAnsi" w:hAnsiTheme="majorHAnsi" w:cstheme="majorHAnsi"/>
          <w:sz w:val="18"/>
          <w:szCs w:val="18"/>
          <w:lang w:val="fr-FR"/>
        </w:rPr>
        <w:t xml:space="preserve"> </w:t>
      </w:r>
      <w:r w:rsidRPr="00E908B7">
        <w:rPr>
          <w:rFonts w:asciiTheme="majorHAnsi" w:hAnsiTheme="majorHAnsi" w:cstheme="majorHAnsi"/>
          <w:color w:val="000000" w:themeColor="text1"/>
          <w:sz w:val="18"/>
          <w:szCs w:val="18"/>
          <w:lang w:val="fr-FR"/>
        </w:rPr>
        <w:t>Conseil national de financement populaire (KNFP, 2014))</w:t>
      </w:r>
    </w:p>
  </w:footnote>
  <w:footnote w:id="28">
    <w:p w14:paraId="41D37B0B" w14:textId="77777777" w:rsidR="00013DC5" w:rsidRPr="00E908B7" w:rsidRDefault="00013DC5" w:rsidP="00D23E40">
      <w:pPr>
        <w:pStyle w:val="FootnoteText"/>
        <w:spacing w:after="0"/>
        <w:rPr>
          <w:rFonts w:asciiTheme="majorHAnsi" w:hAnsiTheme="majorHAnsi" w:cstheme="majorHAnsi"/>
          <w:sz w:val="18"/>
          <w:szCs w:val="18"/>
          <w:lang w:val="fr-FR"/>
        </w:rPr>
      </w:pPr>
      <w:r w:rsidRPr="00D23E40">
        <w:rPr>
          <w:rStyle w:val="FootnoteReference"/>
          <w:rFonts w:asciiTheme="majorHAnsi" w:hAnsiTheme="majorHAnsi" w:cstheme="majorHAnsi"/>
          <w:sz w:val="18"/>
          <w:szCs w:val="18"/>
        </w:rPr>
        <w:footnoteRef/>
      </w:r>
      <w:r w:rsidRPr="00E908B7">
        <w:rPr>
          <w:rFonts w:asciiTheme="majorHAnsi" w:hAnsiTheme="majorHAnsi" w:cstheme="majorHAnsi"/>
          <w:sz w:val="18"/>
          <w:szCs w:val="18"/>
          <w:lang w:val="fr-FR"/>
        </w:rPr>
        <w:t xml:space="preserve"> Circular 113, 25</w:t>
      </w:r>
      <w:r w:rsidRPr="00E908B7">
        <w:rPr>
          <w:rFonts w:asciiTheme="majorHAnsi" w:hAnsiTheme="majorHAnsi" w:cstheme="majorHAnsi"/>
          <w:sz w:val="18"/>
          <w:szCs w:val="18"/>
          <w:vertAlign w:val="superscript"/>
          <w:lang w:val="fr-FR"/>
        </w:rPr>
        <w:t>th</w:t>
      </w:r>
      <w:r w:rsidRPr="00E908B7">
        <w:rPr>
          <w:rFonts w:asciiTheme="majorHAnsi" w:hAnsiTheme="majorHAnsi" w:cstheme="majorHAnsi"/>
          <w:sz w:val="18"/>
          <w:szCs w:val="18"/>
          <w:lang w:val="fr-FR"/>
        </w:rPr>
        <w:t xml:space="preserve"> September 2018</w:t>
      </w:r>
    </w:p>
  </w:footnote>
  <w:footnote w:id="29">
    <w:p w14:paraId="69242E89" w14:textId="77777777" w:rsidR="00013DC5" w:rsidRPr="008E2058" w:rsidRDefault="00013DC5" w:rsidP="00476CB0">
      <w:pPr>
        <w:autoSpaceDE w:val="0"/>
        <w:autoSpaceDN w:val="0"/>
        <w:adjustRightInd w:val="0"/>
        <w:jc w:val="both"/>
        <w:rPr>
          <w:rFonts w:asciiTheme="majorHAnsi" w:hAnsiTheme="majorHAnsi" w:cstheme="majorHAnsi"/>
          <w:sz w:val="18"/>
          <w:szCs w:val="20"/>
          <w:lang w:val="fr-BE"/>
        </w:rPr>
      </w:pPr>
      <w:r w:rsidRPr="008E2058">
        <w:rPr>
          <w:rStyle w:val="FootnoteReference"/>
          <w:rFonts w:asciiTheme="majorHAnsi" w:hAnsiTheme="majorHAnsi" w:cstheme="majorHAnsi"/>
          <w:sz w:val="18"/>
          <w:szCs w:val="20"/>
        </w:rPr>
        <w:footnoteRef/>
      </w:r>
      <w:r w:rsidRPr="008E2058">
        <w:rPr>
          <w:rFonts w:asciiTheme="majorHAnsi" w:hAnsiTheme="majorHAnsi" w:cstheme="majorHAnsi"/>
          <w:sz w:val="18"/>
          <w:szCs w:val="20"/>
          <w:lang w:val="fr-FR"/>
        </w:rPr>
        <w:t xml:space="preserve"> </w:t>
      </w:r>
      <w:r w:rsidRPr="008E2058">
        <w:rPr>
          <w:rFonts w:asciiTheme="majorHAnsi" w:hAnsiTheme="majorHAnsi" w:cstheme="majorHAnsi"/>
          <w:sz w:val="18"/>
          <w:szCs w:val="20"/>
          <w:lang w:val="fr-BE"/>
        </w:rPr>
        <w:t xml:space="preserve">Ministère de la Planification et de la Coopération Externe (MPCE). (2008). </w:t>
      </w:r>
      <w:r w:rsidRPr="008E2058">
        <w:rPr>
          <w:rFonts w:asciiTheme="majorHAnsi" w:hAnsiTheme="majorHAnsi" w:cstheme="majorHAnsi"/>
          <w:bCs/>
          <w:sz w:val="18"/>
          <w:szCs w:val="20"/>
          <w:lang w:val="fr-BE"/>
        </w:rPr>
        <w:t>Document de Stratégie Nationale pour la Croissance et la Réduction de la Pauvreté (DSNCRP)</w:t>
      </w:r>
      <w:r w:rsidRPr="008E2058">
        <w:rPr>
          <w:rFonts w:asciiTheme="majorHAnsi" w:hAnsiTheme="majorHAnsi" w:cstheme="majorHAnsi"/>
          <w:sz w:val="18"/>
          <w:szCs w:val="20"/>
          <w:lang w:val="fr-FR"/>
        </w:rPr>
        <w:t xml:space="preserve">. </w:t>
      </w:r>
      <w:r w:rsidRPr="008E2058">
        <w:rPr>
          <w:rFonts w:asciiTheme="majorHAnsi" w:hAnsiTheme="majorHAnsi" w:cstheme="majorHAnsi"/>
          <w:sz w:val="18"/>
          <w:szCs w:val="20"/>
          <w:lang w:val="fr-BE"/>
        </w:rPr>
        <w:t>131p</w:t>
      </w:r>
    </w:p>
  </w:footnote>
  <w:footnote w:id="30">
    <w:p w14:paraId="2C1A19EF" w14:textId="77777777" w:rsidR="00013DC5" w:rsidRPr="00015FDB" w:rsidRDefault="00013DC5" w:rsidP="00015FDB">
      <w:pPr>
        <w:pStyle w:val="FootnoteText"/>
        <w:spacing w:after="0"/>
        <w:ind w:left="142" w:hanging="180"/>
        <w:rPr>
          <w:rFonts w:asciiTheme="majorHAnsi" w:hAnsiTheme="majorHAnsi" w:cstheme="majorHAnsi"/>
          <w:sz w:val="18"/>
          <w:szCs w:val="18"/>
          <w:lang w:val="fr-FR"/>
        </w:rPr>
      </w:pPr>
      <w:r w:rsidRPr="00015FDB">
        <w:rPr>
          <w:rStyle w:val="FootnoteReference"/>
          <w:rFonts w:asciiTheme="majorHAnsi" w:hAnsiTheme="majorHAnsi" w:cstheme="majorHAnsi"/>
          <w:sz w:val="18"/>
          <w:szCs w:val="18"/>
        </w:rPr>
        <w:footnoteRef/>
      </w:r>
      <w:r w:rsidRPr="00015FDB">
        <w:rPr>
          <w:rFonts w:asciiTheme="majorHAnsi" w:hAnsiTheme="majorHAnsi" w:cstheme="majorHAnsi"/>
          <w:sz w:val="18"/>
          <w:szCs w:val="18"/>
          <w:lang w:val="fr-FR"/>
        </w:rPr>
        <w:t>Rodríguez et al (2010)</w:t>
      </w:r>
    </w:p>
  </w:footnote>
  <w:footnote w:id="31">
    <w:p w14:paraId="0061A957" w14:textId="77777777" w:rsidR="00013DC5" w:rsidRPr="00E908B7" w:rsidRDefault="00013DC5" w:rsidP="00015FDB">
      <w:pPr>
        <w:pStyle w:val="FootnoteText"/>
        <w:spacing w:after="0"/>
        <w:ind w:left="142" w:hanging="180"/>
        <w:rPr>
          <w:rFonts w:asciiTheme="majorHAnsi" w:hAnsiTheme="majorHAnsi" w:cstheme="majorHAnsi"/>
          <w:sz w:val="18"/>
          <w:szCs w:val="18"/>
          <w:lang w:val="fr-FR"/>
        </w:rPr>
      </w:pPr>
      <w:r w:rsidRPr="00015FDB">
        <w:rPr>
          <w:rStyle w:val="FootnoteReference"/>
          <w:rFonts w:asciiTheme="majorHAnsi" w:hAnsiTheme="majorHAnsi" w:cstheme="majorHAnsi"/>
          <w:sz w:val="18"/>
          <w:szCs w:val="18"/>
        </w:rPr>
        <w:footnoteRef/>
      </w:r>
      <w:r w:rsidRPr="00015FDB">
        <w:rPr>
          <w:rFonts w:asciiTheme="majorHAnsi" w:hAnsiTheme="majorHAnsi" w:cstheme="majorHAnsi"/>
          <w:sz w:val="18"/>
          <w:szCs w:val="18"/>
          <w:lang w:val="fr-FR"/>
        </w:rPr>
        <w:t xml:space="preserve">Haiti Déforestée, Paysages Remodelés. </w:t>
      </w:r>
      <w:r w:rsidRPr="00E908B7">
        <w:rPr>
          <w:rFonts w:asciiTheme="majorHAnsi" w:hAnsiTheme="majorHAnsi" w:cstheme="majorHAnsi"/>
          <w:sz w:val="18"/>
          <w:szCs w:val="18"/>
          <w:lang w:val="fr-FR"/>
        </w:rPr>
        <w:t>Alex Bellande 2015, Éditions CIDIHCA</w:t>
      </w:r>
    </w:p>
  </w:footnote>
  <w:footnote w:id="32">
    <w:p w14:paraId="3DAA14F8" w14:textId="77777777" w:rsidR="00013DC5" w:rsidRPr="00015FDB" w:rsidRDefault="00013DC5" w:rsidP="00015FDB">
      <w:pPr>
        <w:pStyle w:val="FootnoteText"/>
        <w:spacing w:after="0"/>
        <w:rPr>
          <w:rFonts w:asciiTheme="majorHAnsi" w:hAnsiTheme="majorHAnsi" w:cstheme="majorHAnsi"/>
          <w:sz w:val="18"/>
          <w:szCs w:val="18"/>
        </w:rPr>
      </w:pPr>
      <w:r w:rsidRPr="00015FDB">
        <w:rPr>
          <w:rStyle w:val="FootnoteReference"/>
          <w:rFonts w:asciiTheme="majorHAnsi" w:hAnsiTheme="majorHAnsi" w:cstheme="majorHAnsi"/>
          <w:sz w:val="18"/>
          <w:szCs w:val="18"/>
        </w:rPr>
        <w:footnoteRef/>
      </w:r>
      <w:r w:rsidRPr="00015FDB">
        <w:rPr>
          <w:rFonts w:asciiTheme="majorHAnsi" w:hAnsiTheme="majorHAnsi" w:cstheme="majorHAnsi"/>
          <w:sz w:val="18"/>
          <w:szCs w:val="18"/>
        </w:rPr>
        <w:t xml:space="preserve"> FAES/Ministry of Social Affairs and the Bureaux of the Ministers in charge of Haitian Peasantry, Human Rights and The Fight Against </w:t>
      </w:r>
      <w:r w:rsidRPr="00015FDB">
        <w:rPr>
          <w:rFonts w:asciiTheme="majorHAnsi" w:hAnsiTheme="majorHAnsi" w:cstheme="majorHAnsi"/>
          <w:sz w:val="18"/>
          <w:szCs w:val="18"/>
          <w:lang w:val="en-GB"/>
        </w:rPr>
        <w:t>Extreme</w:t>
      </w:r>
      <w:r w:rsidRPr="00015FDB">
        <w:rPr>
          <w:rFonts w:asciiTheme="majorHAnsi" w:hAnsiTheme="majorHAnsi" w:cstheme="majorHAnsi"/>
          <w:sz w:val="18"/>
          <w:szCs w:val="18"/>
        </w:rPr>
        <w:t xml:space="preserve"> Poverty</w:t>
      </w:r>
    </w:p>
  </w:footnote>
  <w:footnote w:id="33">
    <w:p w14:paraId="40F347EF" w14:textId="77777777" w:rsidR="00013DC5" w:rsidRPr="00015FDB" w:rsidRDefault="00013DC5" w:rsidP="00015FDB">
      <w:pPr>
        <w:pStyle w:val="FootnoteText"/>
        <w:spacing w:after="0"/>
        <w:rPr>
          <w:rFonts w:asciiTheme="majorHAnsi" w:hAnsiTheme="majorHAnsi" w:cstheme="majorHAnsi"/>
          <w:sz w:val="18"/>
          <w:szCs w:val="18"/>
          <w:lang w:val="en-GB"/>
        </w:rPr>
      </w:pPr>
      <w:r w:rsidRPr="00015FDB">
        <w:rPr>
          <w:rStyle w:val="FootnoteReference"/>
          <w:rFonts w:asciiTheme="majorHAnsi" w:hAnsiTheme="majorHAnsi" w:cstheme="majorHAnsi"/>
          <w:sz w:val="18"/>
          <w:szCs w:val="18"/>
        </w:rPr>
        <w:footnoteRef/>
      </w:r>
      <w:r w:rsidRPr="00015FDB">
        <w:rPr>
          <w:rFonts w:asciiTheme="majorHAnsi" w:hAnsiTheme="majorHAnsi" w:cstheme="majorHAnsi"/>
          <w:sz w:val="18"/>
          <w:szCs w:val="18"/>
          <w:lang w:val="en-GB"/>
        </w:rPr>
        <w:t xml:space="preserve">2013-2014 mid-term report to the Haitian Congress </w:t>
      </w:r>
    </w:p>
  </w:footnote>
  <w:footnote w:id="34">
    <w:p w14:paraId="501B7BE2" w14:textId="0AAF89E3" w:rsidR="00013DC5" w:rsidRPr="00015FDB" w:rsidRDefault="00013DC5" w:rsidP="00015FDB">
      <w:pPr>
        <w:pStyle w:val="FootnoteText"/>
        <w:spacing w:after="0"/>
        <w:rPr>
          <w:rFonts w:asciiTheme="majorHAnsi" w:hAnsiTheme="majorHAnsi" w:cstheme="majorHAnsi"/>
          <w:sz w:val="18"/>
          <w:szCs w:val="18"/>
          <w:lang w:val="fr-FR"/>
        </w:rPr>
      </w:pPr>
      <w:r w:rsidRPr="00015FDB">
        <w:rPr>
          <w:rStyle w:val="FootnoteReference"/>
          <w:rFonts w:asciiTheme="majorHAnsi" w:hAnsiTheme="majorHAnsi" w:cstheme="majorHAnsi"/>
          <w:sz w:val="18"/>
          <w:szCs w:val="18"/>
        </w:rPr>
        <w:footnoteRef/>
      </w:r>
      <w:r>
        <w:rPr>
          <w:rFonts w:asciiTheme="majorHAnsi" w:hAnsiTheme="majorHAnsi" w:cstheme="majorHAnsi"/>
          <w:sz w:val="18"/>
          <w:szCs w:val="18"/>
          <w:lang w:val="fr-FR"/>
        </w:rPr>
        <w:t>MOE</w:t>
      </w:r>
      <w:r w:rsidRPr="00015FDB">
        <w:rPr>
          <w:rFonts w:asciiTheme="majorHAnsi" w:hAnsiTheme="majorHAnsi" w:cstheme="majorHAnsi"/>
          <w:sz w:val="18"/>
          <w:szCs w:val="18"/>
          <w:lang w:val="fr-FR"/>
        </w:rPr>
        <w:t xml:space="preserve"> 2011, Feuille de route de l’action gouvernementale dans le domaine de l’environnement</w:t>
      </w:r>
    </w:p>
  </w:footnote>
  <w:footnote w:id="35">
    <w:p w14:paraId="496C61B2" w14:textId="77777777" w:rsidR="00013DC5" w:rsidRPr="00E908B7" w:rsidRDefault="00013DC5" w:rsidP="00A200F8">
      <w:pPr>
        <w:pStyle w:val="FootnoteText"/>
        <w:spacing w:after="0"/>
        <w:rPr>
          <w:rFonts w:asciiTheme="majorHAnsi" w:hAnsiTheme="majorHAnsi" w:cstheme="majorHAnsi"/>
          <w:sz w:val="18"/>
          <w:szCs w:val="18"/>
          <w:lang w:val="fr-FR"/>
        </w:rPr>
      </w:pPr>
      <w:r w:rsidRPr="00A200F8">
        <w:rPr>
          <w:rStyle w:val="FootnoteReference"/>
          <w:rFonts w:asciiTheme="majorHAnsi" w:hAnsiTheme="majorHAnsi" w:cstheme="majorHAnsi"/>
          <w:sz w:val="18"/>
          <w:szCs w:val="18"/>
        </w:rPr>
        <w:footnoteRef/>
      </w:r>
      <w:r w:rsidRPr="00E908B7">
        <w:rPr>
          <w:rFonts w:asciiTheme="majorHAnsi" w:hAnsiTheme="majorHAnsi" w:cstheme="majorHAnsi"/>
          <w:sz w:val="18"/>
          <w:szCs w:val="18"/>
          <w:lang w:val="fr-FR"/>
        </w:rPr>
        <w:t xml:space="preserve"> </w:t>
      </w:r>
      <w:r w:rsidRPr="00E908B7">
        <w:rPr>
          <w:rFonts w:asciiTheme="majorHAnsi" w:hAnsiTheme="majorHAnsi" w:cstheme="majorHAnsi"/>
          <w:bCs/>
          <w:sz w:val="18"/>
          <w:szCs w:val="18"/>
          <w:lang w:val="fr-FR"/>
        </w:rPr>
        <w:t>https://www.iadb.org/en/project/HA-L1056</w:t>
      </w:r>
    </w:p>
  </w:footnote>
  <w:footnote w:id="36">
    <w:p w14:paraId="5DECC646" w14:textId="77777777" w:rsidR="00013DC5" w:rsidRPr="00E908B7" w:rsidRDefault="00013DC5" w:rsidP="006025B0">
      <w:pPr>
        <w:pStyle w:val="FootnoteText"/>
        <w:spacing w:after="0"/>
        <w:rPr>
          <w:rFonts w:asciiTheme="majorHAnsi" w:hAnsiTheme="majorHAnsi" w:cstheme="majorHAnsi"/>
          <w:sz w:val="18"/>
          <w:szCs w:val="18"/>
          <w:lang w:val="fr-FR"/>
        </w:rPr>
      </w:pPr>
      <w:r w:rsidRPr="006025B0">
        <w:rPr>
          <w:rStyle w:val="FootnoteReference"/>
          <w:rFonts w:asciiTheme="majorHAnsi" w:hAnsiTheme="majorHAnsi" w:cstheme="majorHAnsi"/>
          <w:sz w:val="18"/>
          <w:szCs w:val="18"/>
        </w:rPr>
        <w:footnoteRef/>
      </w:r>
      <w:r w:rsidRPr="00E908B7">
        <w:rPr>
          <w:rFonts w:asciiTheme="majorHAnsi" w:hAnsiTheme="majorHAnsi" w:cstheme="majorHAnsi"/>
          <w:sz w:val="18"/>
          <w:szCs w:val="18"/>
          <w:lang w:val="fr-FR"/>
        </w:rPr>
        <w:t xml:space="preserve"> https://www.iadb.org/en/project/HA-L1097</w:t>
      </w:r>
    </w:p>
  </w:footnote>
  <w:footnote w:id="37">
    <w:p w14:paraId="5F7F58C0" w14:textId="77777777" w:rsidR="00013DC5" w:rsidRPr="00C31DB7" w:rsidRDefault="00013DC5" w:rsidP="008D4145">
      <w:pPr>
        <w:pStyle w:val="FootnoteText"/>
        <w:spacing w:after="0"/>
        <w:ind w:left="142" w:hanging="181"/>
        <w:rPr>
          <w:rFonts w:asciiTheme="majorHAnsi" w:hAnsiTheme="majorHAnsi" w:cstheme="majorHAnsi"/>
          <w:sz w:val="18"/>
          <w:szCs w:val="18"/>
        </w:rPr>
      </w:pPr>
      <w:r w:rsidRPr="00C31DB7">
        <w:rPr>
          <w:rFonts w:asciiTheme="majorHAnsi" w:hAnsiTheme="majorHAnsi" w:cstheme="majorHAnsi"/>
          <w:sz w:val="18"/>
          <w:szCs w:val="18"/>
          <w:vertAlign w:val="superscript"/>
        </w:rPr>
        <w:footnoteRef/>
      </w:r>
      <w:r w:rsidRPr="00C31DB7">
        <w:rPr>
          <w:rFonts w:asciiTheme="majorHAnsi" w:hAnsiTheme="majorHAnsi" w:cstheme="majorHAnsi"/>
          <w:sz w:val="18"/>
          <w:szCs w:val="18"/>
        </w:rPr>
        <w:t xml:space="preserve">Assessment of Haitian Coffee Value Chain. </w:t>
      </w:r>
      <w:r w:rsidRPr="0054189D">
        <w:rPr>
          <w:rFonts w:asciiTheme="majorHAnsi" w:hAnsiTheme="majorHAnsi" w:cstheme="majorHAnsi"/>
          <w:sz w:val="18"/>
          <w:szCs w:val="18"/>
          <w:lang w:val="uz-Cyrl-UZ"/>
        </w:rPr>
        <w:t xml:space="preserve">Fernando Rodríguez, Nora Patricia Castañeda, Mark Lundy. </w:t>
      </w:r>
      <w:r w:rsidRPr="00C31DB7">
        <w:rPr>
          <w:rFonts w:asciiTheme="majorHAnsi" w:hAnsiTheme="majorHAnsi" w:cstheme="majorHAnsi"/>
          <w:sz w:val="18"/>
          <w:szCs w:val="18"/>
        </w:rPr>
        <w:t>A participatory assessment of coffee chain actors in southern Haiti</w:t>
      </w:r>
    </w:p>
  </w:footnote>
  <w:footnote w:id="38">
    <w:p w14:paraId="337C981D" w14:textId="77777777" w:rsidR="00013DC5" w:rsidRPr="00C31DB7" w:rsidRDefault="00013DC5" w:rsidP="008D4145">
      <w:pPr>
        <w:pStyle w:val="FootnoteText"/>
        <w:spacing w:after="0"/>
        <w:ind w:left="142" w:hanging="181"/>
        <w:rPr>
          <w:rFonts w:asciiTheme="majorHAnsi" w:hAnsiTheme="majorHAnsi" w:cstheme="majorHAnsi"/>
          <w:sz w:val="18"/>
          <w:szCs w:val="18"/>
        </w:rPr>
      </w:pPr>
      <w:r w:rsidRPr="00C31DB7">
        <w:rPr>
          <w:rFonts w:asciiTheme="majorHAnsi" w:hAnsiTheme="majorHAnsi" w:cstheme="majorHAnsi"/>
          <w:sz w:val="18"/>
          <w:szCs w:val="18"/>
          <w:vertAlign w:val="superscript"/>
        </w:rPr>
        <w:footnoteRef/>
      </w:r>
      <w:r w:rsidRPr="00C31DB7">
        <w:rPr>
          <w:rFonts w:asciiTheme="majorHAnsi" w:hAnsiTheme="majorHAnsi" w:cstheme="majorHAnsi"/>
          <w:sz w:val="18"/>
          <w:szCs w:val="18"/>
          <w:vertAlign w:val="superscript"/>
        </w:rPr>
        <w:t xml:space="preserve"> </w:t>
      </w:r>
      <w:r w:rsidRPr="00C31DB7">
        <w:rPr>
          <w:rFonts w:asciiTheme="majorHAnsi" w:hAnsiTheme="majorHAnsi" w:cstheme="majorHAnsi"/>
          <w:sz w:val="18"/>
          <w:szCs w:val="18"/>
        </w:rPr>
        <w:t>Smucker et al, 2000</w:t>
      </w:r>
    </w:p>
  </w:footnote>
  <w:footnote w:id="39">
    <w:p w14:paraId="4DE46C9F" w14:textId="77777777" w:rsidR="00013DC5" w:rsidRPr="00FC68F2" w:rsidRDefault="00013DC5" w:rsidP="00FC68F2">
      <w:pPr>
        <w:pStyle w:val="FootnoteText"/>
        <w:spacing w:after="0"/>
        <w:rPr>
          <w:rFonts w:asciiTheme="majorHAnsi" w:hAnsiTheme="majorHAnsi" w:cstheme="majorHAnsi"/>
          <w:sz w:val="18"/>
          <w:szCs w:val="18"/>
        </w:rPr>
      </w:pPr>
      <w:r w:rsidRPr="00FC68F2">
        <w:rPr>
          <w:rStyle w:val="FootnoteReference"/>
          <w:rFonts w:asciiTheme="majorHAnsi" w:hAnsiTheme="majorHAnsi" w:cstheme="majorHAnsi"/>
          <w:sz w:val="18"/>
          <w:szCs w:val="18"/>
        </w:rPr>
        <w:footnoteRef/>
      </w:r>
      <w:r w:rsidRPr="00FC68F2">
        <w:rPr>
          <w:rFonts w:asciiTheme="majorHAnsi" w:hAnsiTheme="majorHAnsi" w:cstheme="majorHAnsi"/>
          <w:sz w:val="18"/>
          <w:szCs w:val="18"/>
        </w:rPr>
        <w:t xml:space="preserve"> Bannister M.E. and Nair P.K.R. (2003). Agroforestry Systems February 2003, Volume 57, Issue 2, pp 149–157</w:t>
      </w:r>
    </w:p>
  </w:footnote>
  <w:footnote w:id="40">
    <w:p w14:paraId="4F27F2AB" w14:textId="77777777" w:rsidR="00013DC5" w:rsidRPr="00FC68F2" w:rsidRDefault="00013DC5" w:rsidP="00FC68F2">
      <w:pPr>
        <w:pStyle w:val="FootnoteText"/>
        <w:spacing w:after="0"/>
        <w:rPr>
          <w:rFonts w:asciiTheme="majorHAnsi" w:hAnsiTheme="majorHAnsi" w:cstheme="majorHAnsi"/>
          <w:sz w:val="18"/>
          <w:szCs w:val="18"/>
        </w:rPr>
      </w:pPr>
      <w:r w:rsidRPr="00FC68F2">
        <w:rPr>
          <w:rStyle w:val="FootnoteReference"/>
          <w:rFonts w:asciiTheme="majorHAnsi" w:hAnsiTheme="majorHAnsi" w:cstheme="majorHAnsi"/>
          <w:sz w:val="18"/>
          <w:szCs w:val="18"/>
        </w:rPr>
        <w:footnoteRef/>
      </w:r>
      <w:r w:rsidRPr="00FC68F2">
        <w:rPr>
          <w:rFonts w:asciiTheme="majorHAnsi" w:hAnsiTheme="majorHAnsi" w:cstheme="majorHAnsi"/>
          <w:sz w:val="18"/>
          <w:szCs w:val="18"/>
        </w:rPr>
        <w:t xml:space="preserve"> Murray G.F and Bannister M.E (2004). Agroforestry Systems 61: 383–397, 2004.</w:t>
      </w:r>
    </w:p>
  </w:footnote>
  <w:footnote w:id="41">
    <w:p w14:paraId="4A955AF8" w14:textId="77777777" w:rsidR="00013DC5" w:rsidRPr="00FC68F2" w:rsidRDefault="00013DC5" w:rsidP="00FC68F2">
      <w:pPr>
        <w:pStyle w:val="FootnoteText"/>
        <w:spacing w:after="0"/>
        <w:rPr>
          <w:rFonts w:asciiTheme="majorHAnsi" w:hAnsiTheme="majorHAnsi" w:cstheme="majorHAnsi"/>
          <w:sz w:val="18"/>
          <w:szCs w:val="18"/>
          <w:lang w:val="en-GB"/>
        </w:rPr>
      </w:pPr>
      <w:r w:rsidRPr="00FC68F2">
        <w:rPr>
          <w:rStyle w:val="FootnoteReference"/>
          <w:rFonts w:asciiTheme="majorHAnsi" w:hAnsiTheme="majorHAnsi" w:cstheme="majorHAnsi"/>
          <w:sz w:val="18"/>
          <w:szCs w:val="18"/>
        </w:rPr>
        <w:footnoteRef/>
      </w:r>
      <w:r w:rsidRPr="00FC68F2">
        <w:rPr>
          <w:rFonts w:asciiTheme="majorHAnsi" w:hAnsiTheme="majorHAnsi" w:cstheme="majorHAnsi"/>
          <w:sz w:val="18"/>
          <w:szCs w:val="18"/>
        </w:rPr>
        <w:t xml:space="preserve"> cf. Conway 1986; Smucker and Timyan 1995</w:t>
      </w:r>
    </w:p>
  </w:footnote>
  <w:footnote w:id="42">
    <w:p w14:paraId="5ECFB58E" w14:textId="77777777" w:rsidR="00013DC5" w:rsidRPr="00DF19A9" w:rsidRDefault="00013DC5" w:rsidP="00E91F6D">
      <w:pPr>
        <w:pStyle w:val="FootnoteText"/>
        <w:spacing w:after="0"/>
        <w:rPr>
          <w:rFonts w:asciiTheme="majorHAnsi" w:hAnsiTheme="majorHAnsi" w:cstheme="majorHAnsi"/>
          <w:sz w:val="18"/>
          <w:szCs w:val="18"/>
          <w:lang w:val="en-GB"/>
        </w:rPr>
      </w:pPr>
      <w:r w:rsidRPr="00DF19A9">
        <w:rPr>
          <w:rStyle w:val="FootnoteReference"/>
          <w:rFonts w:asciiTheme="majorHAnsi" w:hAnsiTheme="majorHAnsi" w:cstheme="majorHAnsi"/>
          <w:sz w:val="18"/>
          <w:szCs w:val="18"/>
        </w:rPr>
        <w:footnoteRef/>
      </w:r>
      <w:r w:rsidRPr="00DF19A9">
        <w:rPr>
          <w:rFonts w:asciiTheme="majorHAnsi" w:hAnsiTheme="majorHAnsi" w:cstheme="majorHAnsi"/>
          <w:sz w:val="18"/>
          <w:szCs w:val="18"/>
        </w:rPr>
        <w:t xml:space="preserve"> Grosenick 1986</w:t>
      </w:r>
    </w:p>
  </w:footnote>
  <w:footnote w:id="43">
    <w:p w14:paraId="61750424" w14:textId="77777777" w:rsidR="00013DC5" w:rsidRPr="00DF19A9" w:rsidRDefault="00013DC5" w:rsidP="005E7090">
      <w:pPr>
        <w:pStyle w:val="FootnoteText"/>
        <w:spacing w:after="0"/>
        <w:rPr>
          <w:rFonts w:asciiTheme="majorHAnsi" w:hAnsiTheme="majorHAnsi" w:cstheme="majorHAnsi"/>
          <w:sz w:val="18"/>
          <w:szCs w:val="18"/>
        </w:rPr>
      </w:pPr>
      <w:r w:rsidRPr="00DF19A9">
        <w:rPr>
          <w:rStyle w:val="FootnoteReference"/>
          <w:rFonts w:asciiTheme="majorHAnsi" w:hAnsiTheme="majorHAnsi" w:cstheme="majorHAnsi"/>
          <w:sz w:val="18"/>
          <w:szCs w:val="18"/>
        </w:rPr>
        <w:footnoteRef/>
      </w:r>
      <w:r w:rsidRPr="00DF19A9">
        <w:rPr>
          <w:rFonts w:asciiTheme="majorHAnsi" w:hAnsiTheme="majorHAnsi" w:cstheme="majorHAnsi"/>
          <w:sz w:val="18"/>
          <w:szCs w:val="18"/>
        </w:rPr>
        <w:t>Balzano (1986)</w:t>
      </w:r>
    </w:p>
  </w:footnote>
  <w:footnote w:id="44">
    <w:p w14:paraId="612CC712" w14:textId="77777777" w:rsidR="00013DC5" w:rsidRPr="00DF19A9" w:rsidRDefault="00013DC5" w:rsidP="005E7090">
      <w:pPr>
        <w:pStyle w:val="FootnoteText"/>
        <w:spacing w:after="0"/>
        <w:rPr>
          <w:rFonts w:asciiTheme="majorHAnsi" w:hAnsiTheme="majorHAnsi" w:cstheme="majorHAnsi"/>
          <w:sz w:val="18"/>
          <w:szCs w:val="18"/>
        </w:rPr>
      </w:pPr>
      <w:r w:rsidRPr="00DF19A9">
        <w:rPr>
          <w:rStyle w:val="FootnoteReference"/>
          <w:rFonts w:asciiTheme="majorHAnsi" w:hAnsiTheme="majorHAnsi" w:cstheme="majorHAnsi"/>
          <w:sz w:val="18"/>
          <w:szCs w:val="18"/>
        </w:rPr>
        <w:footnoteRef/>
      </w:r>
      <w:r w:rsidRPr="00DF19A9">
        <w:rPr>
          <w:rFonts w:asciiTheme="majorHAnsi" w:hAnsiTheme="majorHAnsi" w:cstheme="majorHAnsi"/>
          <w:sz w:val="18"/>
          <w:szCs w:val="18"/>
        </w:rPr>
        <w:t>e.g. Smucker and Timyan 1995)</w:t>
      </w:r>
    </w:p>
  </w:footnote>
  <w:footnote w:id="45">
    <w:p w14:paraId="0DDDF042" w14:textId="77777777" w:rsidR="00013DC5" w:rsidRPr="00401E2F" w:rsidRDefault="00013DC5" w:rsidP="00401E2F">
      <w:pPr>
        <w:pStyle w:val="FootnoteText"/>
        <w:spacing w:after="0"/>
        <w:rPr>
          <w:rFonts w:asciiTheme="majorHAnsi" w:hAnsiTheme="majorHAnsi" w:cstheme="majorHAnsi"/>
          <w:sz w:val="18"/>
          <w:szCs w:val="18"/>
        </w:rPr>
      </w:pPr>
      <w:r w:rsidRPr="00401E2F">
        <w:rPr>
          <w:rStyle w:val="FootnoteReference"/>
          <w:rFonts w:asciiTheme="majorHAnsi" w:hAnsiTheme="majorHAnsi" w:cstheme="majorHAnsi"/>
          <w:sz w:val="18"/>
          <w:szCs w:val="18"/>
        </w:rPr>
        <w:footnoteRef/>
      </w:r>
      <w:r w:rsidRPr="00401E2F">
        <w:rPr>
          <w:rFonts w:asciiTheme="majorHAnsi" w:hAnsiTheme="majorHAnsi" w:cstheme="majorHAnsi"/>
          <w:sz w:val="18"/>
          <w:szCs w:val="18"/>
        </w:rPr>
        <w:t xml:space="preserve"> Cocoa and total system yields of organic and conventional agroforestry vs. monoculture systems in a long-term field trial in Bolivia. By M. Schneider, C. Andres, G. Trujillo, F. Alcon, P. Amurrio, E. Pérez, F. Weibel and J. Milz. Experimental Agriculture, Volume 53, Issue 3 July 2017, pp. 351-374</w:t>
      </w:r>
    </w:p>
  </w:footnote>
  <w:footnote w:id="46">
    <w:p w14:paraId="1656CAFA" w14:textId="77777777" w:rsidR="00013DC5" w:rsidRPr="00E908B7" w:rsidRDefault="00013DC5" w:rsidP="008766F5">
      <w:pPr>
        <w:pStyle w:val="FootnoteText"/>
        <w:spacing w:after="0"/>
        <w:rPr>
          <w:rFonts w:asciiTheme="majorHAnsi" w:hAnsiTheme="majorHAnsi" w:cstheme="majorHAnsi"/>
          <w:sz w:val="18"/>
          <w:szCs w:val="18"/>
          <w:lang w:val="fr-FR"/>
        </w:rPr>
      </w:pPr>
      <w:r w:rsidRPr="00670E92">
        <w:rPr>
          <w:rStyle w:val="FootnoteReference"/>
          <w:rFonts w:asciiTheme="majorHAnsi" w:hAnsiTheme="majorHAnsi" w:cstheme="majorHAnsi"/>
          <w:sz w:val="18"/>
          <w:szCs w:val="18"/>
        </w:rPr>
        <w:footnoteRef/>
      </w:r>
      <w:r w:rsidRPr="00670E92">
        <w:rPr>
          <w:rFonts w:asciiTheme="majorHAnsi" w:hAnsiTheme="majorHAnsi" w:cstheme="majorHAnsi"/>
          <w:sz w:val="18"/>
          <w:szCs w:val="18"/>
        </w:rPr>
        <w:t xml:space="preserve"> </w:t>
      </w:r>
      <w:r w:rsidRPr="008766F5">
        <w:rPr>
          <w:rFonts w:asciiTheme="majorHAnsi" w:hAnsiTheme="majorHAnsi" w:cstheme="majorHAnsi"/>
          <w:b/>
          <w:sz w:val="18"/>
          <w:szCs w:val="18"/>
        </w:rPr>
        <w:t xml:space="preserve">Eitzinger A; Läderach P; Carmona S; Collet </w:t>
      </w:r>
      <w:r w:rsidRPr="008766F5">
        <w:rPr>
          <w:rFonts w:asciiTheme="majorHAnsi" w:hAnsiTheme="majorHAnsi" w:cstheme="majorHAnsi"/>
          <w:b/>
          <w:sz w:val="18"/>
          <w:szCs w:val="18"/>
          <w:lang w:val="en-GB"/>
        </w:rPr>
        <w:t>L; Jean-Simon L; Dufane P; Nowak A. 2014.</w:t>
      </w:r>
      <w:r w:rsidRPr="00670E92">
        <w:rPr>
          <w:rFonts w:asciiTheme="majorHAnsi" w:hAnsiTheme="majorHAnsi" w:cstheme="majorHAnsi"/>
          <w:sz w:val="18"/>
          <w:szCs w:val="18"/>
          <w:lang w:val="en-GB"/>
        </w:rPr>
        <w:t xml:space="preserve"> </w:t>
      </w:r>
      <w:r w:rsidRPr="00670E92">
        <w:rPr>
          <w:rFonts w:asciiTheme="majorHAnsi" w:hAnsiTheme="majorHAnsi" w:cstheme="majorHAnsi"/>
          <w:sz w:val="18"/>
          <w:szCs w:val="18"/>
        </w:rPr>
        <w:t>Haiti: Coffee and mango</w:t>
      </w:r>
      <w:r>
        <w:rPr>
          <w:rFonts w:asciiTheme="majorHAnsi" w:hAnsiTheme="majorHAnsi" w:cstheme="majorHAnsi"/>
          <w:sz w:val="18"/>
          <w:szCs w:val="18"/>
        </w:rPr>
        <w:t xml:space="preserve"> </w:t>
      </w:r>
      <w:r w:rsidRPr="00670E92">
        <w:rPr>
          <w:rFonts w:asciiTheme="majorHAnsi" w:hAnsiTheme="majorHAnsi" w:cstheme="majorHAnsi"/>
          <w:sz w:val="18"/>
          <w:szCs w:val="18"/>
        </w:rPr>
        <w:t>production under a changing climate.</w:t>
      </w:r>
      <w:r>
        <w:rPr>
          <w:rFonts w:asciiTheme="majorHAnsi" w:hAnsiTheme="majorHAnsi" w:cstheme="majorHAnsi"/>
          <w:sz w:val="18"/>
          <w:szCs w:val="18"/>
        </w:rPr>
        <w:t xml:space="preserve"> </w:t>
      </w:r>
      <w:r w:rsidRPr="00670E92">
        <w:rPr>
          <w:rFonts w:asciiTheme="majorHAnsi" w:hAnsiTheme="majorHAnsi" w:cstheme="majorHAnsi"/>
          <w:sz w:val="18"/>
          <w:szCs w:val="18"/>
          <w:lang w:val="en-GB"/>
        </w:rPr>
        <w:t xml:space="preserve">CIAT Policy Brief No.16. </w:t>
      </w:r>
      <w:r w:rsidRPr="00670E92">
        <w:rPr>
          <w:rFonts w:asciiTheme="majorHAnsi" w:hAnsiTheme="majorHAnsi" w:cstheme="majorHAnsi"/>
          <w:sz w:val="18"/>
          <w:szCs w:val="18"/>
          <w:lang w:val="uz-Cyrl-UZ"/>
        </w:rPr>
        <w:t>Centro</w:t>
      </w:r>
      <w:r>
        <w:rPr>
          <w:rFonts w:asciiTheme="majorHAnsi" w:hAnsiTheme="majorHAnsi" w:cstheme="majorHAnsi"/>
          <w:sz w:val="18"/>
          <w:szCs w:val="18"/>
          <w:lang w:val="uz-Cyrl-UZ"/>
        </w:rPr>
        <w:t xml:space="preserve"> </w:t>
      </w:r>
      <w:r w:rsidRPr="00670E92">
        <w:rPr>
          <w:rFonts w:asciiTheme="majorHAnsi" w:hAnsiTheme="majorHAnsi" w:cstheme="majorHAnsi"/>
          <w:sz w:val="18"/>
          <w:szCs w:val="18"/>
          <w:lang w:val="uz-Cyrl-UZ"/>
        </w:rPr>
        <w:t>Internacional de Agricultura Tropical</w:t>
      </w:r>
      <w:r>
        <w:rPr>
          <w:rFonts w:asciiTheme="majorHAnsi" w:hAnsiTheme="majorHAnsi" w:cstheme="majorHAnsi"/>
          <w:sz w:val="18"/>
          <w:szCs w:val="18"/>
          <w:lang w:val="uz-Cyrl-UZ"/>
        </w:rPr>
        <w:t xml:space="preserve"> </w:t>
      </w:r>
      <w:r w:rsidRPr="00E908B7">
        <w:rPr>
          <w:rFonts w:asciiTheme="majorHAnsi" w:hAnsiTheme="majorHAnsi" w:cstheme="majorHAnsi"/>
          <w:sz w:val="18"/>
          <w:szCs w:val="18"/>
          <w:lang w:val="fr-FR"/>
        </w:rPr>
        <w:t>(CIAT), Cali, Colombia. 8 p.</w:t>
      </w:r>
    </w:p>
  </w:footnote>
  <w:footnote w:id="47">
    <w:p w14:paraId="1AB598BD" w14:textId="77777777" w:rsidR="00013DC5" w:rsidRPr="00BB29DD" w:rsidRDefault="00013DC5" w:rsidP="008766F5">
      <w:pPr>
        <w:pStyle w:val="FootnoteText"/>
        <w:spacing w:after="0"/>
        <w:rPr>
          <w:rFonts w:asciiTheme="majorHAnsi" w:hAnsiTheme="majorHAnsi" w:cstheme="majorHAnsi"/>
          <w:sz w:val="18"/>
          <w:szCs w:val="18"/>
          <w:lang w:val="en-GB"/>
        </w:rPr>
      </w:pPr>
      <w:r w:rsidRPr="00BB29DD">
        <w:rPr>
          <w:rStyle w:val="FootnoteReference"/>
          <w:rFonts w:asciiTheme="majorHAnsi" w:hAnsiTheme="majorHAnsi" w:cstheme="majorHAnsi"/>
          <w:sz w:val="18"/>
          <w:szCs w:val="18"/>
        </w:rPr>
        <w:footnoteRef/>
      </w:r>
      <w:r w:rsidRPr="00E908B7">
        <w:rPr>
          <w:rFonts w:asciiTheme="majorHAnsi" w:hAnsiTheme="majorHAnsi" w:cstheme="majorHAnsi"/>
          <w:b/>
          <w:sz w:val="18"/>
          <w:szCs w:val="18"/>
          <w:lang w:val="fr-FR"/>
        </w:rPr>
        <w:t>Galpin ME (1987).</w:t>
      </w:r>
      <w:r w:rsidRPr="00E908B7">
        <w:rPr>
          <w:rFonts w:asciiTheme="majorHAnsi" w:hAnsiTheme="majorHAnsi" w:cstheme="majorHAnsi"/>
          <w:sz w:val="18"/>
          <w:szCs w:val="18"/>
          <w:lang w:val="fr-FR"/>
        </w:rPr>
        <w:t xml:space="preserve"> </w:t>
      </w:r>
      <w:r w:rsidRPr="00BB29DD">
        <w:rPr>
          <w:rFonts w:asciiTheme="majorHAnsi" w:hAnsiTheme="majorHAnsi" w:cstheme="majorHAnsi"/>
          <w:sz w:val="18"/>
          <w:szCs w:val="18"/>
          <w:lang w:val="en-GB"/>
        </w:rPr>
        <w:t xml:space="preserve">Spatial structure and population viability. In: </w:t>
      </w:r>
      <w:r w:rsidRPr="00BB29DD">
        <w:rPr>
          <w:rFonts w:asciiTheme="majorHAnsi" w:hAnsiTheme="majorHAnsi" w:cstheme="majorHAnsi"/>
          <w:i/>
          <w:sz w:val="18"/>
          <w:szCs w:val="18"/>
          <w:lang w:val="en-GB"/>
        </w:rPr>
        <w:t xml:space="preserve">Viable Populations for Conservation </w:t>
      </w:r>
      <w:r w:rsidRPr="00BB29DD">
        <w:rPr>
          <w:rFonts w:asciiTheme="majorHAnsi" w:hAnsiTheme="majorHAnsi" w:cstheme="majorHAnsi"/>
          <w:sz w:val="18"/>
          <w:szCs w:val="18"/>
          <w:lang w:val="en-GB"/>
        </w:rPr>
        <w:t xml:space="preserve">(ME Soulé ed.)., pp 125-139. Cambridge University Press, Cambridge. </w:t>
      </w:r>
      <w:r w:rsidRPr="00BB29DD">
        <w:rPr>
          <w:rFonts w:asciiTheme="majorHAnsi" w:hAnsiTheme="majorHAnsi" w:cstheme="majorHAnsi"/>
          <w:b/>
          <w:sz w:val="18"/>
          <w:szCs w:val="18"/>
          <w:lang w:val="en-GB"/>
        </w:rPr>
        <w:t>McArthur R and Wilson EO (1967).</w:t>
      </w:r>
      <w:r w:rsidRPr="00BB29DD">
        <w:rPr>
          <w:rFonts w:asciiTheme="majorHAnsi" w:hAnsiTheme="majorHAnsi" w:cstheme="majorHAnsi"/>
          <w:sz w:val="18"/>
          <w:szCs w:val="18"/>
          <w:lang w:val="en-GB"/>
        </w:rPr>
        <w:t xml:space="preserve"> The Theory of Island Biogeography. Princeton University Press.</w:t>
      </w:r>
      <w:r w:rsidRPr="00BB29DD">
        <w:rPr>
          <w:rFonts w:asciiTheme="majorHAnsi" w:hAnsiTheme="majorHAnsi" w:cstheme="majorHAnsi"/>
          <w:sz w:val="18"/>
          <w:szCs w:val="18"/>
        </w:rPr>
        <w:t xml:space="preserve"> </w:t>
      </w:r>
    </w:p>
  </w:footnote>
  <w:footnote w:id="48">
    <w:p w14:paraId="43B13BD0" w14:textId="77777777" w:rsidR="00013DC5" w:rsidRPr="00B21894" w:rsidRDefault="00013DC5" w:rsidP="00B21894">
      <w:pPr>
        <w:pStyle w:val="FootnoteText"/>
        <w:spacing w:after="0"/>
        <w:rPr>
          <w:rFonts w:asciiTheme="majorHAnsi" w:hAnsiTheme="majorHAnsi" w:cstheme="majorHAnsi"/>
          <w:sz w:val="18"/>
          <w:szCs w:val="18"/>
          <w:lang w:val="en-GB"/>
        </w:rPr>
      </w:pPr>
      <w:r w:rsidRPr="00B21894">
        <w:rPr>
          <w:rStyle w:val="FootnoteReference"/>
          <w:rFonts w:asciiTheme="majorHAnsi" w:hAnsiTheme="majorHAnsi" w:cstheme="majorHAnsi"/>
          <w:sz w:val="18"/>
          <w:szCs w:val="18"/>
        </w:rPr>
        <w:footnoteRef/>
      </w:r>
      <w:r w:rsidRPr="00B21894">
        <w:rPr>
          <w:rFonts w:asciiTheme="majorHAnsi" w:hAnsiTheme="majorHAnsi" w:cstheme="majorHAnsi"/>
          <w:sz w:val="18"/>
          <w:szCs w:val="18"/>
        </w:rPr>
        <w:t xml:space="preserve"> https://blog.nature.org/science/2017/09/21/ocean-flyway-surprising-open-water-routes-songbird-migrations/</w:t>
      </w:r>
    </w:p>
  </w:footnote>
  <w:footnote w:id="49">
    <w:p w14:paraId="01507A66" w14:textId="77777777" w:rsidR="00013DC5" w:rsidRPr="00640EA2" w:rsidRDefault="00013DC5" w:rsidP="00640EA2">
      <w:pPr>
        <w:pStyle w:val="FootnoteText"/>
        <w:spacing w:after="0"/>
        <w:rPr>
          <w:rFonts w:asciiTheme="majorHAnsi" w:hAnsiTheme="majorHAnsi" w:cstheme="majorHAnsi"/>
          <w:sz w:val="18"/>
          <w:lang w:val="en-GB"/>
        </w:rPr>
      </w:pPr>
      <w:r w:rsidRPr="00640EA2">
        <w:rPr>
          <w:rStyle w:val="FootnoteReference"/>
          <w:rFonts w:asciiTheme="majorHAnsi" w:hAnsiTheme="majorHAnsi" w:cstheme="majorHAnsi"/>
          <w:sz w:val="18"/>
        </w:rPr>
        <w:footnoteRef/>
      </w:r>
      <w:r w:rsidRPr="00640EA2">
        <w:rPr>
          <w:rFonts w:asciiTheme="majorHAnsi" w:hAnsiTheme="majorHAnsi" w:cstheme="majorHAnsi"/>
          <w:sz w:val="18"/>
        </w:rPr>
        <w:t xml:space="preserve"> http://www.iucnredlist.org/details/22721618/0</w:t>
      </w:r>
    </w:p>
  </w:footnote>
  <w:footnote w:id="50">
    <w:p w14:paraId="07745ABF" w14:textId="77777777" w:rsidR="00013DC5" w:rsidRPr="00640EA2" w:rsidRDefault="00013DC5" w:rsidP="00640EA2">
      <w:pPr>
        <w:pStyle w:val="FootnoteText"/>
        <w:spacing w:after="0"/>
        <w:rPr>
          <w:rFonts w:asciiTheme="majorHAnsi" w:hAnsiTheme="majorHAnsi" w:cstheme="majorHAnsi"/>
          <w:sz w:val="18"/>
          <w:lang w:val="en-GB"/>
        </w:rPr>
      </w:pPr>
      <w:r w:rsidRPr="00640EA2">
        <w:rPr>
          <w:rStyle w:val="FootnoteReference"/>
          <w:rFonts w:asciiTheme="majorHAnsi" w:hAnsiTheme="majorHAnsi" w:cstheme="majorHAnsi"/>
          <w:sz w:val="18"/>
        </w:rPr>
        <w:footnoteRef/>
      </w:r>
      <w:r w:rsidRPr="00640EA2">
        <w:rPr>
          <w:rFonts w:asciiTheme="majorHAnsi" w:hAnsiTheme="majorHAnsi" w:cstheme="majorHAnsi"/>
          <w:sz w:val="18"/>
        </w:rPr>
        <w:t xml:space="preserve"> https://www.rainforest-alliance.org/articles/migratory-birds-sustainable-coffee-farms</w:t>
      </w:r>
    </w:p>
  </w:footnote>
  <w:footnote w:id="51">
    <w:p w14:paraId="15CA1401" w14:textId="77777777" w:rsidR="00013DC5" w:rsidRPr="00FA4284" w:rsidRDefault="00013DC5" w:rsidP="00FA4284">
      <w:pPr>
        <w:pStyle w:val="FootnoteText"/>
        <w:spacing w:after="0"/>
        <w:rPr>
          <w:rFonts w:asciiTheme="majorHAnsi" w:hAnsiTheme="majorHAnsi" w:cstheme="majorHAnsi"/>
          <w:sz w:val="18"/>
          <w:szCs w:val="18"/>
          <w:lang w:val="en-GB"/>
        </w:rPr>
      </w:pPr>
      <w:r w:rsidRPr="00FA4284">
        <w:rPr>
          <w:rStyle w:val="FootnoteReference"/>
          <w:rFonts w:asciiTheme="majorHAnsi" w:hAnsiTheme="majorHAnsi" w:cstheme="majorHAnsi"/>
          <w:sz w:val="18"/>
          <w:szCs w:val="18"/>
        </w:rPr>
        <w:footnoteRef/>
      </w:r>
      <w:r w:rsidRPr="00FA4284">
        <w:rPr>
          <w:rFonts w:asciiTheme="majorHAnsi" w:hAnsiTheme="majorHAnsi" w:cstheme="majorHAnsi"/>
          <w:sz w:val="18"/>
          <w:szCs w:val="18"/>
        </w:rPr>
        <w:t xml:space="preserve">Samuel Turvey, </w:t>
      </w:r>
      <w:r w:rsidRPr="00676F9D">
        <w:rPr>
          <w:rFonts w:asciiTheme="majorHAnsi" w:hAnsiTheme="majorHAnsi" w:cstheme="majorHAnsi"/>
          <w:sz w:val="18"/>
          <w:szCs w:val="18"/>
          <w:lang w:val="en-GB"/>
        </w:rPr>
        <w:t>Senior Research Fellow</w:t>
      </w:r>
      <w:r w:rsidRPr="00FA4284">
        <w:rPr>
          <w:rFonts w:asciiTheme="majorHAnsi" w:hAnsiTheme="majorHAnsi" w:cstheme="majorHAnsi"/>
          <w:sz w:val="18"/>
          <w:szCs w:val="18"/>
          <w:lang w:val="en-GB"/>
        </w:rPr>
        <w:t xml:space="preserve">, </w:t>
      </w:r>
      <w:r w:rsidRPr="00676F9D">
        <w:rPr>
          <w:rFonts w:asciiTheme="majorHAnsi" w:hAnsiTheme="majorHAnsi" w:cstheme="majorHAnsi"/>
          <w:sz w:val="18"/>
          <w:szCs w:val="18"/>
          <w:lang w:val="en-GB"/>
        </w:rPr>
        <w:t>Institute of Zoology</w:t>
      </w:r>
      <w:r w:rsidRPr="00FA4284">
        <w:rPr>
          <w:rFonts w:asciiTheme="majorHAnsi" w:hAnsiTheme="majorHAnsi" w:cstheme="majorHAnsi"/>
          <w:sz w:val="18"/>
          <w:szCs w:val="18"/>
          <w:lang w:val="en-GB"/>
        </w:rPr>
        <w:t xml:space="preserve">, </w:t>
      </w:r>
      <w:r w:rsidRPr="00676F9D">
        <w:rPr>
          <w:rFonts w:asciiTheme="majorHAnsi" w:hAnsiTheme="majorHAnsi" w:cstheme="majorHAnsi"/>
          <w:sz w:val="18"/>
          <w:szCs w:val="18"/>
          <w:lang w:val="en-GB"/>
        </w:rPr>
        <w:t>Zoological Society of London</w:t>
      </w:r>
      <w:r w:rsidRPr="00FA4284">
        <w:rPr>
          <w:rFonts w:asciiTheme="majorHAnsi" w:hAnsiTheme="majorHAnsi" w:cstheme="majorHAnsi"/>
          <w:sz w:val="18"/>
          <w:szCs w:val="18"/>
          <w:lang w:val="en-GB"/>
        </w:rPr>
        <w:t xml:space="preserve"> </w:t>
      </w:r>
      <w:r w:rsidRPr="00FA4284">
        <w:rPr>
          <w:rFonts w:asciiTheme="majorHAnsi" w:hAnsiTheme="majorHAnsi" w:cstheme="majorHAnsi"/>
          <w:sz w:val="18"/>
          <w:szCs w:val="18"/>
        </w:rPr>
        <w:t>(pers. comm.):</w:t>
      </w:r>
    </w:p>
  </w:footnote>
  <w:footnote w:id="52">
    <w:p w14:paraId="046E1557" w14:textId="77777777" w:rsidR="00013DC5" w:rsidRPr="00FA4284" w:rsidRDefault="00013DC5" w:rsidP="00573B3C">
      <w:pPr>
        <w:pStyle w:val="FootnoteText"/>
        <w:spacing w:after="0"/>
        <w:rPr>
          <w:rFonts w:asciiTheme="majorHAnsi" w:hAnsiTheme="majorHAnsi" w:cstheme="majorHAnsi"/>
          <w:sz w:val="18"/>
          <w:szCs w:val="18"/>
          <w:lang w:val="en-GB"/>
        </w:rPr>
      </w:pPr>
      <w:r w:rsidRPr="00FA4284">
        <w:rPr>
          <w:rStyle w:val="FootnoteReference"/>
          <w:rFonts w:asciiTheme="majorHAnsi" w:hAnsiTheme="majorHAnsi" w:cstheme="majorHAnsi"/>
          <w:sz w:val="18"/>
          <w:szCs w:val="18"/>
        </w:rPr>
        <w:footnoteRef/>
      </w:r>
      <w:r w:rsidRPr="00FA4284">
        <w:rPr>
          <w:rFonts w:asciiTheme="majorHAnsi" w:hAnsiTheme="majorHAnsi" w:cstheme="majorHAnsi"/>
          <w:sz w:val="18"/>
          <w:szCs w:val="18"/>
          <w:lang w:val="en-GB"/>
        </w:rPr>
        <w:t xml:space="preserve"> Turvey S, Fernández-Secades C, Nuñez-Miño J, Hart T, Martinez P, Brocca J, Young R (2014</w:t>
      </w:r>
      <w:r>
        <w:rPr>
          <w:rFonts w:asciiTheme="majorHAnsi" w:hAnsiTheme="majorHAnsi" w:cstheme="majorHAnsi"/>
          <w:sz w:val="18"/>
          <w:szCs w:val="18"/>
          <w:lang w:val="en-GB"/>
        </w:rPr>
        <w:t>)</w:t>
      </w:r>
      <w:r w:rsidRPr="00FA4284">
        <w:rPr>
          <w:rFonts w:asciiTheme="majorHAnsi" w:hAnsiTheme="majorHAnsi" w:cstheme="majorHAnsi"/>
          <w:sz w:val="18"/>
          <w:szCs w:val="18"/>
          <w:lang w:val="en-GB"/>
        </w:rPr>
        <w:t>. Is local ecological knowledge a useful conservation tool for small mammals in a Caribbean multicultural landscape? Biological Conservation 169 (2014) 189–197</w:t>
      </w:r>
    </w:p>
  </w:footnote>
  <w:footnote w:id="53">
    <w:p w14:paraId="0E355176" w14:textId="77777777" w:rsidR="00013DC5" w:rsidRPr="00FA4284" w:rsidRDefault="00013DC5" w:rsidP="00573B3C">
      <w:pPr>
        <w:pStyle w:val="FootnoteText"/>
        <w:spacing w:after="0"/>
        <w:rPr>
          <w:rFonts w:asciiTheme="majorHAnsi" w:hAnsiTheme="majorHAnsi" w:cstheme="majorHAnsi"/>
          <w:sz w:val="18"/>
          <w:szCs w:val="18"/>
          <w:lang w:val="en-GB"/>
        </w:rPr>
      </w:pPr>
      <w:r w:rsidRPr="00FA4284">
        <w:rPr>
          <w:rStyle w:val="FootnoteReference"/>
          <w:rFonts w:asciiTheme="majorHAnsi" w:hAnsiTheme="majorHAnsi" w:cstheme="majorHAnsi"/>
          <w:sz w:val="18"/>
          <w:szCs w:val="18"/>
        </w:rPr>
        <w:footnoteRef/>
      </w:r>
      <w:r w:rsidRPr="00FA4284">
        <w:rPr>
          <w:rFonts w:asciiTheme="majorHAnsi" w:hAnsiTheme="majorHAnsi" w:cstheme="majorHAnsi"/>
          <w:sz w:val="18"/>
          <w:szCs w:val="18"/>
          <w:lang w:val="en-GB"/>
        </w:rPr>
        <w:t>Turvey et al, op. cit.</w:t>
      </w:r>
      <w:r>
        <w:rPr>
          <w:rFonts w:asciiTheme="majorHAnsi" w:hAnsiTheme="majorHAnsi" w:cstheme="majorHAnsi"/>
          <w:sz w:val="18"/>
          <w:szCs w:val="18"/>
          <w:lang w:val="en-GB"/>
        </w:rPr>
        <w:t xml:space="preserve"> </w:t>
      </w:r>
    </w:p>
  </w:footnote>
  <w:footnote w:id="54">
    <w:p w14:paraId="2E82C318" w14:textId="77777777" w:rsidR="00013DC5" w:rsidRPr="00F73FC0" w:rsidRDefault="00013DC5" w:rsidP="004F334C">
      <w:pPr>
        <w:pStyle w:val="FootnoteText"/>
        <w:spacing w:after="0"/>
        <w:rPr>
          <w:rFonts w:asciiTheme="majorHAnsi" w:hAnsiTheme="majorHAnsi" w:cstheme="majorHAnsi"/>
          <w:sz w:val="18"/>
          <w:szCs w:val="18"/>
          <w:lang w:val="en-GB"/>
        </w:rPr>
      </w:pPr>
      <w:r w:rsidRPr="00F73FC0">
        <w:rPr>
          <w:rStyle w:val="FootnoteReference"/>
          <w:rFonts w:asciiTheme="majorHAnsi" w:hAnsiTheme="majorHAnsi" w:cstheme="majorHAnsi"/>
          <w:sz w:val="18"/>
          <w:szCs w:val="18"/>
        </w:rPr>
        <w:footnoteRef/>
      </w:r>
      <w:r w:rsidRPr="00F73FC0">
        <w:rPr>
          <w:rFonts w:asciiTheme="majorHAnsi" w:hAnsiTheme="majorHAnsi" w:cstheme="majorHAnsi"/>
          <w:sz w:val="18"/>
          <w:szCs w:val="18"/>
        </w:rPr>
        <w:t xml:space="preserve"> </w:t>
      </w:r>
      <w:r w:rsidRPr="00F73FC0">
        <w:rPr>
          <w:rFonts w:asciiTheme="majorHAnsi" w:hAnsiTheme="majorHAnsi" w:cstheme="majorHAnsi"/>
          <w:sz w:val="18"/>
          <w:szCs w:val="18"/>
          <w:lang w:val="en-GB"/>
        </w:rPr>
        <w:t>1 Cx (carreau) = 1.29 ha</w:t>
      </w:r>
    </w:p>
  </w:footnote>
  <w:footnote w:id="55">
    <w:p w14:paraId="698339C8" w14:textId="77777777" w:rsidR="00013DC5" w:rsidRPr="00C739AD" w:rsidRDefault="00013DC5" w:rsidP="00F967A0">
      <w:pPr>
        <w:pStyle w:val="FootnoteText"/>
        <w:spacing w:after="0"/>
        <w:rPr>
          <w:rFonts w:asciiTheme="majorHAnsi" w:hAnsiTheme="majorHAnsi" w:cstheme="majorHAnsi"/>
          <w:sz w:val="18"/>
          <w:lang w:val="en-GB"/>
        </w:rPr>
      </w:pPr>
      <w:r w:rsidRPr="00C739AD">
        <w:rPr>
          <w:rStyle w:val="FootnoteReference"/>
          <w:rFonts w:asciiTheme="majorHAnsi" w:hAnsiTheme="majorHAnsi" w:cstheme="majorHAnsi"/>
          <w:sz w:val="18"/>
        </w:rPr>
        <w:footnoteRef/>
      </w:r>
      <w:r w:rsidRPr="00C739AD">
        <w:rPr>
          <w:rFonts w:asciiTheme="majorHAnsi" w:hAnsiTheme="majorHAnsi" w:cstheme="majorHAnsi"/>
          <w:sz w:val="18"/>
        </w:rPr>
        <w:t>http://www.openforis.org/tools/collect-earth.html</w:t>
      </w:r>
    </w:p>
  </w:footnote>
  <w:footnote w:id="56">
    <w:p w14:paraId="6A4CAFD8" w14:textId="77777777" w:rsidR="00013DC5" w:rsidRPr="00C739AD" w:rsidRDefault="00013DC5" w:rsidP="00F967A0">
      <w:pPr>
        <w:pStyle w:val="FootnoteText"/>
        <w:spacing w:after="0"/>
        <w:rPr>
          <w:rFonts w:asciiTheme="majorHAnsi" w:hAnsiTheme="majorHAnsi" w:cstheme="majorHAnsi"/>
          <w:sz w:val="18"/>
        </w:rPr>
      </w:pPr>
      <w:r>
        <w:rPr>
          <w:rStyle w:val="FootnoteReference"/>
        </w:rPr>
        <w:footnoteRef/>
      </w:r>
      <w:r w:rsidRPr="00C739AD">
        <w:rPr>
          <w:rFonts w:asciiTheme="majorHAnsi" w:hAnsiTheme="majorHAnsi" w:cstheme="majorHAnsi"/>
          <w:sz w:val="18"/>
        </w:rPr>
        <w:t>http://www.fao.org/nr/kagera/tools-and-methods/lada-local-level-assessment-manuals/en/</w:t>
      </w:r>
    </w:p>
  </w:footnote>
  <w:footnote w:id="57">
    <w:p w14:paraId="1B02CF22" w14:textId="77777777" w:rsidR="00013DC5" w:rsidRPr="00F967A0" w:rsidRDefault="00013DC5" w:rsidP="00F967A0">
      <w:pPr>
        <w:pStyle w:val="FootnoteText"/>
        <w:spacing w:after="0"/>
        <w:rPr>
          <w:rFonts w:asciiTheme="majorHAnsi" w:hAnsiTheme="majorHAnsi" w:cstheme="majorHAnsi"/>
          <w:sz w:val="18"/>
          <w:lang w:val="en-GB"/>
        </w:rPr>
      </w:pPr>
      <w:r w:rsidRPr="00F967A0">
        <w:rPr>
          <w:rStyle w:val="FootnoteReference"/>
          <w:rFonts w:asciiTheme="majorHAnsi" w:hAnsiTheme="majorHAnsi" w:cstheme="majorHAnsi"/>
          <w:sz w:val="18"/>
        </w:rPr>
        <w:footnoteRef/>
      </w:r>
      <w:r w:rsidRPr="00F967A0">
        <w:rPr>
          <w:rFonts w:asciiTheme="majorHAnsi" w:hAnsiTheme="majorHAnsi" w:cstheme="majorHAnsi"/>
          <w:sz w:val="18"/>
        </w:rPr>
        <w:t xml:space="preserve"> http://www.fao.org/tc/exact/carbon-balance-tool-ex-act/en/</w:t>
      </w:r>
    </w:p>
  </w:footnote>
  <w:footnote w:id="58">
    <w:p w14:paraId="55D100C6" w14:textId="77777777" w:rsidR="00013DC5" w:rsidRPr="00F253FE" w:rsidRDefault="00013DC5" w:rsidP="00C31DB7">
      <w:pPr>
        <w:pStyle w:val="FootnoteText"/>
        <w:spacing w:after="0"/>
        <w:rPr>
          <w:rFonts w:asciiTheme="majorHAnsi" w:hAnsiTheme="majorHAnsi" w:cstheme="majorHAnsi"/>
          <w:sz w:val="18"/>
          <w:szCs w:val="18"/>
        </w:rPr>
      </w:pPr>
      <w:r w:rsidRPr="00F253FE">
        <w:rPr>
          <w:rStyle w:val="FootnoteReference"/>
          <w:rFonts w:asciiTheme="majorHAnsi" w:hAnsiTheme="majorHAnsi" w:cstheme="majorHAnsi"/>
          <w:sz w:val="18"/>
          <w:szCs w:val="18"/>
        </w:rPr>
        <w:footnoteRef/>
      </w:r>
      <w:r w:rsidRPr="00F253FE">
        <w:rPr>
          <w:rFonts w:asciiTheme="majorHAnsi" w:hAnsiTheme="majorHAnsi" w:cstheme="majorHAnsi"/>
          <w:sz w:val="18"/>
          <w:szCs w:val="18"/>
        </w:rPr>
        <w:t xml:space="preserve"> L. Gingembre (2012). Haiti: Lessons learned and way forward in natural resource management projects. In Assessing and Restoring Natural Resources in Post-Conflict Peacebuilding, ed. D. Jensen and S. Lonergan. London: Earthscan.</w:t>
      </w:r>
    </w:p>
  </w:footnote>
  <w:footnote w:id="59">
    <w:p w14:paraId="4E179953" w14:textId="77777777" w:rsidR="00013DC5" w:rsidRPr="00F253FE" w:rsidRDefault="00013DC5" w:rsidP="00C31DB7">
      <w:pPr>
        <w:pStyle w:val="FootnoteText"/>
        <w:spacing w:after="0"/>
        <w:rPr>
          <w:rFonts w:asciiTheme="majorHAnsi" w:hAnsiTheme="majorHAnsi" w:cstheme="majorHAnsi"/>
          <w:sz w:val="18"/>
          <w:szCs w:val="18"/>
          <w:lang w:val="en-GB"/>
        </w:rPr>
      </w:pPr>
      <w:r w:rsidRPr="00F253FE">
        <w:rPr>
          <w:rStyle w:val="FootnoteReference"/>
          <w:rFonts w:asciiTheme="majorHAnsi" w:hAnsiTheme="majorHAnsi" w:cstheme="majorHAnsi"/>
          <w:sz w:val="18"/>
          <w:szCs w:val="18"/>
        </w:rPr>
        <w:footnoteRef/>
      </w:r>
      <w:r w:rsidRPr="00F253FE">
        <w:rPr>
          <w:rFonts w:asciiTheme="majorHAnsi" w:hAnsiTheme="majorHAnsi" w:cstheme="majorHAnsi"/>
          <w:sz w:val="18"/>
          <w:szCs w:val="18"/>
        </w:rPr>
        <w:t xml:space="preserve"> </w:t>
      </w:r>
      <w:r w:rsidRPr="00F253FE">
        <w:rPr>
          <w:rFonts w:asciiTheme="majorHAnsi" w:hAnsiTheme="majorHAnsi" w:cstheme="majorHAnsi"/>
          <w:sz w:val="18"/>
          <w:szCs w:val="18"/>
          <w:lang w:val="en-GB"/>
        </w:rPr>
        <w:t xml:space="preserve">Haitian peasants have a long history of labour organization and shared work, especially in agriculture. Several peasant organizations are engaged in soil conservation and </w:t>
      </w:r>
      <w:r w:rsidRPr="00F253FE">
        <w:rPr>
          <w:rFonts w:asciiTheme="majorHAnsi" w:hAnsiTheme="majorHAnsi" w:cstheme="majorHAnsi"/>
          <w:sz w:val="18"/>
          <w:szCs w:val="18"/>
        </w:rPr>
        <w:t>restoration</w:t>
      </w:r>
      <w:r w:rsidRPr="00F253FE">
        <w:rPr>
          <w:rFonts w:asciiTheme="majorHAnsi" w:hAnsiTheme="majorHAnsi" w:cstheme="majorHAnsi"/>
          <w:sz w:val="18"/>
          <w:szCs w:val="18"/>
          <w:lang w:val="en-GB"/>
        </w:rPr>
        <w:t xml:space="preserve"> work, and cooperate in micro watershed management. Others have created simple cooperatives. The widespread tradition of </w:t>
      </w:r>
      <w:r w:rsidRPr="00F253FE">
        <w:rPr>
          <w:rFonts w:asciiTheme="majorHAnsi" w:hAnsiTheme="majorHAnsi" w:cstheme="majorHAnsi"/>
          <w:i/>
          <w:sz w:val="18"/>
          <w:szCs w:val="18"/>
          <w:lang w:val="en-GB"/>
        </w:rPr>
        <w:t>konbit</w:t>
      </w:r>
      <w:r w:rsidRPr="00F253FE">
        <w:rPr>
          <w:rFonts w:asciiTheme="majorHAnsi" w:hAnsiTheme="majorHAnsi" w:cstheme="majorHAnsi"/>
          <w:sz w:val="18"/>
          <w:szCs w:val="18"/>
          <w:lang w:val="en-GB"/>
        </w:rPr>
        <w:t xml:space="preserve"> (grouping people for a common goal, in Creole) reflects the long-standing culture of cooperation, particularly among peasants in rural Haiti, and lies at the core of Haitian society.</w:t>
      </w:r>
    </w:p>
  </w:footnote>
  <w:footnote w:id="60">
    <w:p w14:paraId="7A61E67B" w14:textId="77777777" w:rsidR="00013DC5" w:rsidRPr="005863CD" w:rsidRDefault="00013DC5" w:rsidP="00F12340">
      <w:pPr>
        <w:pStyle w:val="FootnoteText"/>
        <w:spacing w:after="0"/>
        <w:rPr>
          <w:rFonts w:asciiTheme="majorHAnsi" w:hAnsiTheme="majorHAnsi" w:cstheme="majorHAnsi"/>
          <w:sz w:val="18"/>
          <w:szCs w:val="18"/>
          <w:lang w:val="en-GB"/>
        </w:rPr>
      </w:pPr>
      <w:r>
        <w:rPr>
          <w:rStyle w:val="FootnoteReference"/>
        </w:rPr>
        <w:footnoteRef/>
      </w:r>
      <w:r w:rsidRPr="005863CD">
        <w:rPr>
          <w:rFonts w:asciiTheme="majorHAnsi" w:hAnsiTheme="majorHAnsi" w:cstheme="majorHAnsi"/>
          <w:sz w:val="18"/>
          <w:szCs w:val="18"/>
          <w:lang w:val="en-GB"/>
        </w:rPr>
        <w:t>http://www.ethiquable.coop/fiche-producteur/feccano-commerce-equitable-haiti-cacao</w:t>
      </w:r>
    </w:p>
  </w:footnote>
  <w:footnote w:id="61">
    <w:p w14:paraId="18D3FB04" w14:textId="77777777" w:rsidR="00013DC5" w:rsidRPr="00CB0F37" w:rsidRDefault="00013DC5" w:rsidP="00CB0F37">
      <w:pPr>
        <w:pStyle w:val="FootnoteText"/>
        <w:spacing w:after="0"/>
        <w:rPr>
          <w:rFonts w:asciiTheme="majorHAnsi" w:hAnsiTheme="majorHAnsi" w:cstheme="majorHAnsi"/>
          <w:sz w:val="18"/>
          <w:lang w:val="en-GB"/>
        </w:rPr>
      </w:pPr>
      <w:r w:rsidRPr="00CB0F37">
        <w:rPr>
          <w:rStyle w:val="FootnoteReference"/>
          <w:rFonts w:asciiTheme="majorHAnsi" w:hAnsiTheme="majorHAnsi" w:cstheme="majorHAnsi"/>
          <w:sz w:val="18"/>
        </w:rPr>
        <w:footnoteRef/>
      </w:r>
      <w:r w:rsidRPr="00CB0F37">
        <w:rPr>
          <w:rFonts w:asciiTheme="majorHAnsi" w:hAnsiTheme="majorHAnsi" w:cstheme="majorHAnsi"/>
          <w:sz w:val="18"/>
        </w:rPr>
        <w:t xml:space="preserve"> </w:t>
      </w:r>
      <w:r>
        <w:rPr>
          <w:rFonts w:asciiTheme="majorHAnsi" w:hAnsiTheme="majorHAnsi" w:cstheme="majorHAnsi"/>
          <w:sz w:val="18"/>
        </w:rPr>
        <w:t xml:space="preserve">6 ha in each of 14 communities where the project will work in partnership with the USAID Reforestation Project, and 3 ha in 18 other communities where the project will work alone </w:t>
      </w:r>
    </w:p>
  </w:footnote>
  <w:footnote w:id="62">
    <w:p w14:paraId="17518586" w14:textId="77777777" w:rsidR="00013DC5" w:rsidRPr="00E45267" w:rsidRDefault="00013DC5" w:rsidP="00E45267">
      <w:pPr>
        <w:pStyle w:val="FootnoteText"/>
        <w:spacing w:after="0"/>
        <w:rPr>
          <w:rFonts w:asciiTheme="majorHAnsi" w:hAnsiTheme="majorHAnsi" w:cstheme="majorHAnsi"/>
          <w:sz w:val="18"/>
        </w:rPr>
      </w:pPr>
      <w:r w:rsidRPr="00E45267">
        <w:rPr>
          <w:rStyle w:val="FootnoteReference"/>
          <w:rFonts w:asciiTheme="majorHAnsi" w:hAnsiTheme="majorHAnsi" w:cstheme="majorHAnsi"/>
          <w:sz w:val="18"/>
        </w:rPr>
        <w:footnoteRef/>
      </w:r>
      <w:r w:rsidRPr="00E45267">
        <w:rPr>
          <w:rFonts w:asciiTheme="majorHAnsi" w:hAnsiTheme="majorHAnsi" w:cstheme="majorHAnsi"/>
          <w:sz w:val="18"/>
        </w:rPr>
        <w:t xml:space="preserve"> </w:t>
      </w:r>
      <w:r>
        <w:rPr>
          <w:rFonts w:asciiTheme="majorHAnsi" w:hAnsiTheme="majorHAnsi" w:cstheme="majorHAnsi"/>
          <w:sz w:val="18"/>
        </w:rPr>
        <w:t xml:space="preserve">4,800 farmers trained in FFS, a </w:t>
      </w:r>
      <w:r w:rsidRPr="00E45267">
        <w:rPr>
          <w:rFonts w:asciiTheme="majorHAnsi" w:hAnsiTheme="majorHAnsi" w:cstheme="majorHAnsi"/>
          <w:sz w:val="18"/>
        </w:rPr>
        <w:t>70% uptake rate</w:t>
      </w:r>
      <w:r>
        <w:rPr>
          <w:rFonts w:asciiTheme="majorHAnsi" w:hAnsiTheme="majorHAnsi" w:cstheme="majorHAnsi"/>
          <w:sz w:val="18"/>
        </w:rPr>
        <w:t xml:space="preserve"> following training, and practices applied over an average of 1.5 ha per farmer</w:t>
      </w:r>
    </w:p>
  </w:footnote>
  <w:footnote w:id="63">
    <w:p w14:paraId="2D7C1A95" w14:textId="77777777" w:rsidR="00013DC5" w:rsidRPr="00E45267" w:rsidRDefault="00013DC5" w:rsidP="00E45267">
      <w:pPr>
        <w:pStyle w:val="FootnoteText"/>
        <w:spacing w:after="0"/>
        <w:rPr>
          <w:rFonts w:asciiTheme="majorHAnsi" w:hAnsiTheme="majorHAnsi" w:cstheme="majorHAnsi"/>
          <w:sz w:val="18"/>
        </w:rPr>
      </w:pPr>
      <w:r w:rsidRPr="00E45267">
        <w:rPr>
          <w:rStyle w:val="FootnoteReference"/>
          <w:rFonts w:asciiTheme="majorHAnsi" w:hAnsiTheme="majorHAnsi" w:cstheme="majorHAnsi"/>
          <w:sz w:val="18"/>
        </w:rPr>
        <w:footnoteRef/>
      </w:r>
      <w:r w:rsidRPr="00E45267">
        <w:rPr>
          <w:rFonts w:asciiTheme="majorHAnsi" w:hAnsiTheme="majorHAnsi" w:cstheme="majorHAnsi"/>
          <w:sz w:val="18"/>
        </w:rPr>
        <w:t xml:space="preserve"> </w:t>
      </w:r>
      <w:r>
        <w:rPr>
          <w:rFonts w:asciiTheme="majorHAnsi" w:hAnsiTheme="majorHAnsi" w:cstheme="majorHAnsi"/>
          <w:sz w:val="18"/>
        </w:rPr>
        <w:t>600 farmers trained in FFS, a 2</w:t>
      </w:r>
      <w:r w:rsidRPr="00E45267">
        <w:rPr>
          <w:rFonts w:asciiTheme="majorHAnsi" w:hAnsiTheme="majorHAnsi" w:cstheme="majorHAnsi"/>
          <w:sz w:val="18"/>
        </w:rPr>
        <w:t>0% uptake rate</w:t>
      </w:r>
      <w:r>
        <w:rPr>
          <w:rFonts w:asciiTheme="majorHAnsi" w:hAnsiTheme="majorHAnsi" w:cstheme="majorHAnsi"/>
          <w:sz w:val="18"/>
        </w:rPr>
        <w:t xml:space="preserve"> following training, and practices applied over an average of 0.25 ha per farmer.</w:t>
      </w:r>
    </w:p>
  </w:footnote>
  <w:footnote w:id="64">
    <w:p w14:paraId="0D1482C0" w14:textId="77777777" w:rsidR="00013DC5" w:rsidRPr="0080700C" w:rsidRDefault="00013DC5" w:rsidP="00436E7B">
      <w:pPr>
        <w:pStyle w:val="FootnoteText"/>
        <w:spacing w:after="0"/>
        <w:rPr>
          <w:rFonts w:asciiTheme="majorHAnsi" w:hAnsiTheme="majorHAnsi" w:cstheme="majorHAnsi"/>
          <w:sz w:val="18"/>
          <w:lang w:val="en-GB"/>
        </w:rPr>
      </w:pPr>
      <w:r w:rsidRPr="0080700C">
        <w:rPr>
          <w:rStyle w:val="FootnoteReference"/>
          <w:rFonts w:asciiTheme="majorHAnsi" w:hAnsiTheme="majorHAnsi" w:cstheme="majorHAnsi"/>
          <w:sz w:val="18"/>
        </w:rPr>
        <w:footnoteRef/>
      </w:r>
      <w:r w:rsidRPr="0080700C">
        <w:rPr>
          <w:rFonts w:asciiTheme="majorHAnsi" w:hAnsiTheme="majorHAnsi" w:cstheme="majorHAnsi"/>
          <w:sz w:val="18"/>
        </w:rPr>
        <w:t xml:space="preserve"> </w:t>
      </w:r>
      <w:r w:rsidRPr="0080700C">
        <w:rPr>
          <w:rFonts w:asciiTheme="majorHAnsi" w:hAnsiTheme="majorHAnsi" w:cstheme="majorHAnsi"/>
          <w:sz w:val="18"/>
          <w:lang w:val="en-GB"/>
        </w:rPr>
        <w:t>1800 farmers trained in FFS</w:t>
      </w:r>
      <w:r>
        <w:rPr>
          <w:rFonts w:asciiTheme="majorHAnsi" w:hAnsiTheme="majorHAnsi" w:cstheme="majorHAnsi"/>
          <w:bCs/>
          <w:sz w:val="18"/>
          <w:lang w:val="en-GB"/>
        </w:rPr>
        <w:t>, a 70% uptake rate following training, and practices applied over an average of 0.5 ha per farmer.</w:t>
      </w:r>
    </w:p>
  </w:footnote>
  <w:footnote w:id="65">
    <w:p w14:paraId="66E8B133" w14:textId="77777777" w:rsidR="00013DC5" w:rsidRPr="00E45267" w:rsidRDefault="00013DC5" w:rsidP="00E45267">
      <w:pPr>
        <w:pStyle w:val="FootnoteText"/>
        <w:spacing w:after="0"/>
        <w:rPr>
          <w:rFonts w:asciiTheme="majorHAnsi" w:hAnsiTheme="majorHAnsi" w:cstheme="majorHAnsi"/>
          <w:sz w:val="18"/>
          <w:szCs w:val="18"/>
        </w:rPr>
      </w:pPr>
      <w:r w:rsidRPr="00E45267">
        <w:rPr>
          <w:rStyle w:val="FootnoteReference"/>
          <w:rFonts w:asciiTheme="majorHAnsi" w:hAnsiTheme="majorHAnsi" w:cstheme="majorHAnsi"/>
          <w:sz w:val="18"/>
          <w:szCs w:val="18"/>
        </w:rPr>
        <w:footnoteRef/>
      </w:r>
      <w:r w:rsidRPr="00E45267">
        <w:rPr>
          <w:rFonts w:asciiTheme="majorHAnsi" w:hAnsiTheme="majorHAnsi" w:cstheme="majorHAnsi"/>
          <w:sz w:val="18"/>
          <w:szCs w:val="18"/>
        </w:rPr>
        <w:t xml:space="preserve"> Applied studies will be carried out during the project lifetime to validate the effects of the application of the requirements of certification schemes with BD status</w:t>
      </w:r>
    </w:p>
  </w:footnote>
  <w:footnote w:id="66">
    <w:p w14:paraId="07E2ED3D" w14:textId="77777777" w:rsidR="00013DC5" w:rsidRPr="00E908B7" w:rsidRDefault="00013DC5" w:rsidP="0080700C">
      <w:pPr>
        <w:pStyle w:val="FootnoteText"/>
        <w:spacing w:after="0"/>
        <w:rPr>
          <w:rFonts w:asciiTheme="majorHAnsi" w:hAnsiTheme="majorHAnsi" w:cstheme="majorHAnsi"/>
          <w:sz w:val="18"/>
          <w:szCs w:val="18"/>
          <w:lang w:val="en-GB"/>
        </w:rPr>
      </w:pPr>
      <w:r w:rsidRPr="00E45267">
        <w:rPr>
          <w:rStyle w:val="FootnoteReference"/>
          <w:rFonts w:asciiTheme="majorHAnsi" w:hAnsiTheme="majorHAnsi" w:cstheme="majorHAnsi"/>
          <w:sz w:val="18"/>
          <w:szCs w:val="18"/>
        </w:rPr>
        <w:footnoteRef/>
      </w:r>
      <w:r w:rsidRPr="00E45267">
        <w:rPr>
          <w:rFonts w:asciiTheme="majorHAnsi" w:hAnsiTheme="majorHAnsi" w:cstheme="majorHAnsi"/>
          <w:sz w:val="18"/>
          <w:szCs w:val="18"/>
        </w:rPr>
        <w:t xml:space="preserve"> Includes non-target communities, benefited indirectly as a result of project support to FECCANO</w:t>
      </w:r>
      <w:r>
        <w:rPr>
          <w:rFonts w:asciiTheme="majorHAnsi" w:hAnsiTheme="majorHAnsi" w:cstheme="majorHAnsi"/>
          <w:sz w:val="18"/>
          <w:szCs w:val="18"/>
        </w:rPr>
        <w:t>. Calculated as a 10% increase over the baseline.</w:t>
      </w:r>
    </w:p>
  </w:footnote>
  <w:footnote w:id="67">
    <w:p w14:paraId="27B3EC5E" w14:textId="77777777" w:rsidR="00013DC5" w:rsidRPr="00E45267" w:rsidRDefault="00013DC5" w:rsidP="00E45267">
      <w:pPr>
        <w:pStyle w:val="FootnoteText"/>
        <w:spacing w:after="0"/>
        <w:rPr>
          <w:rFonts w:asciiTheme="majorHAnsi" w:hAnsiTheme="majorHAnsi" w:cstheme="majorHAnsi"/>
          <w:sz w:val="18"/>
        </w:rPr>
      </w:pPr>
      <w:r w:rsidRPr="00E45267">
        <w:rPr>
          <w:rStyle w:val="FootnoteReference"/>
          <w:rFonts w:asciiTheme="majorHAnsi" w:hAnsiTheme="majorHAnsi" w:cstheme="majorHAnsi"/>
          <w:sz w:val="18"/>
        </w:rPr>
        <w:footnoteRef/>
      </w:r>
      <w:r w:rsidRPr="00E45267">
        <w:rPr>
          <w:rFonts w:asciiTheme="majorHAnsi" w:hAnsiTheme="majorHAnsi" w:cstheme="majorHAnsi"/>
          <w:sz w:val="18"/>
        </w:rPr>
        <w:t xml:space="preserve"> </w:t>
      </w:r>
      <w:r>
        <w:rPr>
          <w:rFonts w:asciiTheme="majorHAnsi" w:hAnsiTheme="majorHAnsi" w:cstheme="majorHAnsi"/>
          <w:sz w:val="18"/>
        </w:rPr>
        <w:t>Not measured separately: t</w:t>
      </w:r>
      <w:r w:rsidRPr="00E45267">
        <w:rPr>
          <w:rFonts w:asciiTheme="majorHAnsi" w:hAnsiTheme="majorHAnsi" w:cstheme="majorHAnsi"/>
          <w:sz w:val="18"/>
        </w:rPr>
        <w:t>otal of indicators O1, O2, O3 and O4.</w:t>
      </w:r>
    </w:p>
  </w:footnote>
  <w:footnote w:id="68">
    <w:p w14:paraId="3C7F9642" w14:textId="77777777" w:rsidR="00013DC5" w:rsidRPr="00436E7B" w:rsidRDefault="00013DC5">
      <w:pPr>
        <w:pStyle w:val="FootnoteText"/>
        <w:rPr>
          <w:rFonts w:asciiTheme="majorHAnsi" w:hAnsiTheme="majorHAnsi" w:cstheme="majorHAnsi"/>
          <w:sz w:val="18"/>
          <w:szCs w:val="18"/>
          <w:lang w:val="en-GB"/>
        </w:rPr>
      </w:pPr>
      <w:r w:rsidRPr="00436E7B">
        <w:rPr>
          <w:rStyle w:val="FootnoteReference"/>
          <w:rFonts w:asciiTheme="majorHAnsi" w:hAnsiTheme="majorHAnsi" w:cstheme="majorHAnsi"/>
          <w:sz w:val="18"/>
          <w:szCs w:val="18"/>
        </w:rPr>
        <w:footnoteRef/>
      </w:r>
      <w:r w:rsidRPr="00436E7B">
        <w:rPr>
          <w:rFonts w:asciiTheme="majorHAnsi" w:hAnsiTheme="majorHAnsi" w:cstheme="majorHAnsi"/>
          <w:sz w:val="18"/>
          <w:szCs w:val="18"/>
        </w:rPr>
        <w:t xml:space="preserve"> </w:t>
      </w:r>
      <w:r>
        <w:rPr>
          <w:rFonts w:asciiTheme="majorHAnsi" w:hAnsiTheme="majorHAnsi" w:cstheme="majorHAnsi"/>
          <w:sz w:val="18"/>
          <w:szCs w:val="18"/>
        </w:rPr>
        <w:t>25% of the 4,200 members of FECCANO + 70% of the 4,740 families with improved management of cacao, coffee and other agroforests + 500 members of 20 value-adding businesses + 1,000 employees of value-adding business + 16,590 value chain actors (number of farms adopting improved practices x assumed multiplier factor of 5). The lower value in the target range takes into the account the possibility that there may be overlap between the numbers of families adopting improved management of coffee, cacao and other agroforests.</w:t>
      </w:r>
    </w:p>
  </w:footnote>
  <w:footnote w:id="69">
    <w:p w14:paraId="05B44017" w14:textId="77777777" w:rsidR="00013DC5" w:rsidRPr="00C73E59" w:rsidRDefault="00013DC5" w:rsidP="00C73E59">
      <w:pPr>
        <w:pStyle w:val="FootnoteText"/>
        <w:spacing w:after="0"/>
        <w:rPr>
          <w:rFonts w:asciiTheme="majorHAnsi" w:hAnsiTheme="majorHAnsi" w:cstheme="majorHAnsi"/>
          <w:sz w:val="18"/>
          <w:lang w:val="en-GB"/>
        </w:rPr>
      </w:pPr>
      <w:r w:rsidRPr="00C73E59">
        <w:rPr>
          <w:rStyle w:val="FootnoteReference"/>
          <w:rFonts w:asciiTheme="majorHAnsi" w:hAnsiTheme="majorHAnsi" w:cstheme="majorHAnsi"/>
          <w:sz w:val="18"/>
        </w:rPr>
        <w:footnoteRef/>
      </w:r>
      <w:r w:rsidRPr="00C73E59">
        <w:rPr>
          <w:rFonts w:asciiTheme="majorHAnsi" w:hAnsiTheme="majorHAnsi" w:cstheme="majorHAnsi"/>
          <w:sz w:val="18"/>
        </w:rPr>
        <w:t xml:space="preserve"> </w:t>
      </w:r>
      <w:r w:rsidRPr="00C73E59">
        <w:rPr>
          <w:rFonts w:asciiTheme="majorHAnsi" w:hAnsiTheme="majorHAnsi" w:cstheme="majorHAnsi"/>
          <w:sz w:val="18"/>
          <w:lang w:val="en-GB"/>
        </w:rPr>
        <w:t xml:space="preserve">25% of project area </w:t>
      </w:r>
    </w:p>
  </w:footnote>
  <w:footnote w:id="70">
    <w:p w14:paraId="6F0B6B39" w14:textId="77777777" w:rsidR="00013DC5" w:rsidRPr="000D23AC" w:rsidRDefault="00013DC5" w:rsidP="000D23AC">
      <w:pPr>
        <w:pStyle w:val="FootnoteText"/>
        <w:spacing w:after="0"/>
        <w:rPr>
          <w:rFonts w:asciiTheme="majorHAnsi" w:hAnsiTheme="majorHAnsi" w:cstheme="majorHAnsi"/>
          <w:sz w:val="18"/>
          <w:lang w:val="en-GB"/>
        </w:rPr>
      </w:pPr>
      <w:r w:rsidRPr="000D23AC">
        <w:rPr>
          <w:rStyle w:val="FootnoteReference"/>
          <w:rFonts w:asciiTheme="majorHAnsi" w:hAnsiTheme="majorHAnsi" w:cstheme="majorHAnsi"/>
          <w:sz w:val="18"/>
        </w:rPr>
        <w:footnoteRef/>
      </w:r>
      <w:r w:rsidRPr="000D23AC">
        <w:rPr>
          <w:rFonts w:asciiTheme="majorHAnsi" w:hAnsiTheme="majorHAnsi" w:cstheme="majorHAnsi"/>
          <w:sz w:val="18"/>
        </w:rPr>
        <w:t xml:space="preserve"> </w:t>
      </w:r>
      <w:r>
        <w:rPr>
          <w:rFonts w:asciiTheme="majorHAnsi" w:hAnsiTheme="majorHAnsi" w:cstheme="majorHAnsi"/>
          <w:sz w:val="18"/>
        </w:rPr>
        <w:t>Due to training/orientation of 75 service providers potentially serving 100 farmers each</w:t>
      </w:r>
    </w:p>
  </w:footnote>
  <w:footnote w:id="71">
    <w:p w14:paraId="241D64BE" w14:textId="77777777" w:rsidR="00013DC5" w:rsidRPr="000D23AC" w:rsidRDefault="00013DC5" w:rsidP="000D23AC">
      <w:pPr>
        <w:pStyle w:val="FootnoteText"/>
        <w:spacing w:after="0"/>
        <w:rPr>
          <w:rFonts w:asciiTheme="majorHAnsi" w:hAnsiTheme="majorHAnsi" w:cstheme="majorHAnsi"/>
          <w:sz w:val="18"/>
          <w:lang w:val="en-GB"/>
        </w:rPr>
      </w:pPr>
      <w:r w:rsidRPr="000D23AC">
        <w:rPr>
          <w:rStyle w:val="FootnoteReference"/>
          <w:rFonts w:asciiTheme="majorHAnsi" w:hAnsiTheme="majorHAnsi" w:cstheme="majorHAnsi"/>
          <w:sz w:val="18"/>
        </w:rPr>
        <w:footnoteRef/>
      </w:r>
      <w:r w:rsidRPr="000D23AC">
        <w:rPr>
          <w:rFonts w:asciiTheme="majorHAnsi" w:hAnsiTheme="majorHAnsi" w:cstheme="majorHAnsi"/>
          <w:sz w:val="18"/>
        </w:rPr>
        <w:t xml:space="preserve"> </w:t>
      </w:r>
      <w:r w:rsidRPr="000D23AC">
        <w:rPr>
          <w:rFonts w:asciiTheme="majorHAnsi" w:hAnsiTheme="majorHAnsi" w:cstheme="majorHAnsi"/>
          <w:sz w:val="18"/>
          <w:lang w:val="en-GB"/>
        </w:rPr>
        <w:t xml:space="preserve">Assumes 4,800 farmers trained </w:t>
      </w:r>
      <w:r>
        <w:rPr>
          <w:rFonts w:asciiTheme="majorHAnsi" w:hAnsiTheme="majorHAnsi" w:cstheme="majorHAnsi"/>
          <w:sz w:val="18"/>
          <w:lang w:val="en-GB"/>
        </w:rPr>
        <w:t xml:space="preserve">on cacao agroforests with </w:t>
      </w:r>
      <w:r w:rsidRPr="000D23AC">
        <w:rPr>
          <w:rFonts w:asciiTheme="majorHAnsi" w:hAnsiTheme="majorHAnsi" w:cstheme="majorHAnsi"/>
          <w:sz w:val="18"/>
          <w:lang w:val="en-GB"/>
        </w:rPr>
        <w:t>70% uptake</w:t>
      </w:r>
      <w:r>
        <w:rPr>
          <w:rFonts w:asciiTheme="majorHAnsi" w:hAnsiTheme="majorHAnsi" w:cstheme="majorHAnsi"/>
          <w:sz w:val="18"/>
          <w:lang w:val="en-GB"/>
        </w:rPr>
        <w:t xml:space="preserve">, 600 on coffee agroforests with 20% uptake, and 600 on </w:t>
      </w:r>
      <w:r>
        <w:rPr>
          <w:rFonts w:asciiTheme="majorHAnsi" w:hAnsiTheme="majorHAnsi" w:cstheme="majorHAnsi"/>
          <w:bCs/>
          <w:sz w:val="18"/>
          <w:lang w:val="en-GB"/>
        </w:rPr>
        <w:t>h</w:t>
      </w:r>
      <w:r w:rsidRPr="004A2E6A">
        <w:rPr>
          <w:rFonts w:asciiTheme="majorHAnsi" w:hAnsiTheme="majorHAnsi" w:cstheme="majorHAnsi"/>
          <w:bCs/>
          <w:sz w:val="18"/>
          <w:lang w:val="en-GB"/>
        </w:rPr>
        <w:t>ome gardens, annual cropping and grazing areas with agroforestry</w:t>
      </w:r>
      <w:r>
        <w:rPr>
          <w:rFonts w:asciiTheme="majorHAnsi" w:hAnsiTheme="majorHAnsi" w:cstheme="majorHAnsi"/>
          <w:sz w:val="18"/>
          <w:lang w:val="en-GB"/>
        </w:rPr>
        <w:t xml:space="preserve"> with 70% uptake</w:t>
      </w:r>
    </w:p>
  </w:footnote>
  <w:footnote w:id="72">
    <w:p w14:paraId="16AE8A64" w14:textId="77777777" w:rsidR="00013DC5" w:rsidRPr="009035BC" w:rsidRDefault="00013DC5" w:rsidP="009035BC">
      <w:pPr>
        <w:pStyle w:val="FootnoteText"/>
        <w:spacing w:after="0"/>
        <w:rPr>
          <w:rFonts w:asciiTheme="majorHAnsi" w:hAnsiTheme="majorHAnsi" w:cstheme="majorHAnsi"/>
          <w:sz w:val="18"/>
          <w:szCs w:val="18"/>
        </w:rPr>
      </w:pPr>
      <w:r w:rsidRPr="009035BC">
        <w:rPr>
          <w:rStyle w:val="FootnoteReference"/>
          <w:rFonts w:asciiTheme="majorHAnsi" w:hAnsiTheme="majorHAnsi" w:cstheme="majorHAnsi"/>
          <w:sz w:val="18"/>
          <w:szCs w:val="18"/>
        </w:rPr>
        <w:footnoteRef/>
      </w:r>
      <w:r w:rsidRPr="009035BC">
        <w:rPr>
          <w:rFonts w:asciiTheme="majorHAnsi" w:hAnsiTheme="majorHAnsi" w:cstheme="majorHAnsi"/>
          <w:sz w:val="18"/>
          <w:szCs w:val="18"/>
        </w:rPr>
        <w:t xml:space="preserve"> Methodology and rating scheme to be developed at project start</w:t>
      </w:r>
    </w:p>
  </w:footnote>
  <w:footnote w:id="73">
    <w:p w14:paraId="40FFEF1A" w14:textId="77777777" w:rsidR="00013DC5" w:rsidRDefault="00013DC5" w:rsidP="00E45267">
      <w:pPr>
        <w:pStyle w:val="FootnoteText"/>
        <w:spacing w:after="0"/>
      </w:pPr>
      <w:r>
        <w:rPr>
          <w:rStyle w:val="None"/>
          <w:rFonts w:ascii="Arial" w:eastAsia="Arial" w:hAnsi="Arial" w:cs="Arial"/>
          <w:sz w:val="18"/>
          <w:szCs w:val="18"/>
          <w:vertAlign w:val="superscript"/>
        </w:rPr>
        <w:footnoteRef/>
      </w:r>
      <w:r>
        <w:rPr>
          <w:rStyle w:val="Hyperlink34"/>
        </w:rPr>
        <w:t xml:space="preserve"> See </w:t>
      </w:r>
      <w:hyperlink r:id="rId1" w:history="1">
        <w:r>
          <w:rPr>
            <w:rStyle w:val="Hyperlink74"/>
          </w:rPr>
          <w:t>https://www.thegef.org/gef/policies_guidelines</w:t>
        </w:r>
      </w:hyperlink>
    </w:p>
  </w:footnote>
  <w:footnote w:id="74">
    <w:p w14:paraId="35848AF1" w14:textId="77777777" w:rsidR="00013DC5" w:rsidRDefault="00013DC5" w:rsidP="00E45267">
      <w:pPr>
        <w:pStyle w:val="FootnoteText"/>
        <w:spacing w:after="0"/>
      </w:pPr>
      <w:r>
        <w:rPr>
          <w:rStyle w:val="None"/>
          <w:rFonts w:ascii="Arial" w:eastAsia="Arial" w:hAnsi="Arial" w:cs="Arial"/>
          <w:sz w:val="18"/>
          <w:szCs w:val="18"/>
          <w:vertAlign w:val="superscript"/>
        </w:rPr>
        <w:footnoteRef/>
      </w:r>
      <w:r>
        <w:rPr>
          <w:rStyle w:val="Hyperlink34"/>
        </w:rPr>
        <w:t xml:space="preserve"> See </w:t>
      </w:r>
      <w:hyperlink r:id="rId2" w:history="1">
        <w:r>
          <w:rPr>
            <w:rStyle w:val="Hyperlink74"/>
          </w:rPr>
          <w:t>https://www.thegef.org/gef/gef_agencies</w:t>
        </w:r>
      </w:hyperlink>
    </w:p>
  </w:footnote>
  <w:footnote w:id="75">
    <w:p w14:paraId="38D318DE" w14:textId="77777777" w:rsidR="00013DC5" w:rsidRDefault="00013DC5" w:rsidP="00E45267">
      <w:pPr>
        <w:pStyle w:val="FootnoteText"/>
        <w:spacing w:after="0"/>
      </w:pPr>
      <w:r>
        <w:rPr>
          <w:rStyle w:val="None"/>
          <w:rFonts w:ascii="Arial" w:eastAsia="Arial" w:hAnsi="Arial" w:cs="Arial"/>
          <w:sz w:val="18"/>
          <w:szCs w:val="18"/>
          <w:vertAlign w:val="superscript"/>
        </w:rPr>
        <w:footnoteRef/>
      </w:r>
      <w:r>
        <w:rPr>
          <w:rStyle w:val="Hyperlink34"/>
        </w:rPr>
        <w:t xml:space="preserve"> See guidance here:  </w:t>
      </w:r>
      <w:hyperlink r:id="rId3" w:history="1">
        <w:r>
          <w:rPr>
            <w:rStyle w:val="Hyperlink74"/>
          </w:rPr>
          <w:t>https://info.undp.org/global/popp/frm/pages/financial-management-and-execution-modalities.aspx</w:t>
        </w:r>
      </w:hyperlink>
    </w:p>
  </w:footnote>
  <w:footnote w:id="76">
    <w:p w14:paraId="156DC3E8" w14:textId="77777777" w:rsidR="00013DC5" w:rsidRPr="0046177D" w:rsidRDefault="00013DC5" w:rsidP="00E45267">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77">
    <w:p w14:paraId="2F016B28" w14:textId="77777777" w:rsidR="00013DC5" w:rsidRPr="00DD767C" w:rsidRDefault="00013DC5" w:rsidP="00E45267">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78">
    <w:p w14:paraId="6478A922" w14:textId="77777777" w:rsidR="00013DC5" w:rsidRDefault="00013DC5" w:rsidP="00E45267">
      <w:pPr>
        <w:pStyle w:val="FootnoteText"/>
        <w:spacing w:after="0"/>
        <w:jc w:val="left"/>
      </w:pPr>
      <w:r>
        <w:rPr>
          <w:rStyle w:val="None"/>
          <w:rFonts w:ascii="Arial" w:eastAsia="Arial" w:hAnsi="Arial" w:cs="Arial"/>
          <w:sz w:val="18"/>
          <w:szCs w:val="18"/>
          <w:vertAlign w:val="superscript"/>
        </w:rPr>
        <w:footnoteRef/>
      </w:r>
      <w:r>
        <w:rPr>
          <w:rStyle w:val="Hyperlink34"/>
        </w:rPr>
        <w:t xml:space="preserve"> See </w:t>
      </w:r>
      <w:r>
        <w:rPr>
          <w:rStyle w:val="None"/>
          <w:rFonts w:ascii="Calibri" w:eastAsia="Calibri" w:hAnsi="Calibri" w:cs="Calibri"/>
          <w:sz w:val="18"/>
          <w:szCs w:val="18"/>
        </w:rPr>
        <w:t>http://www.undp.org/content/undp/en/home/operations/transparency/information_disclosurepolicy/</w:t>
      </w:r>
    </w:p>
  </w:footnote>
  <w:footnote w:id="79">
    <w:p w14:paraId="03FD61C2" w14:textId="77777777" w:rsidR="00013DC5" w:rsidRDefault="00013DC5" w:rsidP="00E45267">
      <w:pPr>
        <w:pStyle w:val="FootnoteText"/>
        <w:spacing w:after="0"/>
      </w:pPr>
      <w:r>
        <w:rPr>
          <w:rStyle w:val="None"/>
          <w:rFonts w:ascii="Arial" w:eastAsia="Arial" w:hAnsi="Arial" w:cs="Arial"/>
          <w:sz w:val="18"/>
          <w:szCs w:val="18"/>
          <w:vertAlign w:val="superscript"/>
        </w:rPr>
        <w:footnoteRef/>
      </w:r>
      <w:r>
        <w:rPr>
          <w:rStyle w:val="Hyperlink34"/>
        </w:rPr>
        <w:t xml:space="preserve"> See </w:t>
      </w:r>
      <w:r>
        <w:rPr>
          <w:rStyle w:val="None"/>
          <w:rFonts w:ascii="Calibri" w:eastAsia="Calibri" w:hAnsi="Calibri" w:cs="Calibri"/>
          <w:sz w:val="18"/>
          <w:szCs w:val="18"/>
        </w:rPr>
        <w:t>https://www.thegef.org/gef/policies_guidelines</w:t>
      </w:r>
    </w:p>
  </w:footnote>
  <w:footnote w:id="80">
    <w:p w14:paraId="2A9C123D" w14:textId="77777777" w:rsidR="00013DC5" w:rsidRPr="00FB5829" w:rsidRDefault="00013DC5">
      <w:pPr>
        <w:pStyle w:val="FootnoteText"/>
        <w:rPr>
          <w:rStyle w:val="None"/>
          <w:rFonts w:asciiTheme="majorHAnsi" w:eastAsia="Arial" w:hAnsiTheme="majorHAnsi" w:cstheme="majorHAnsi"/>
          <w:sz w:val="18"/>
          <w:szCs w:val="18"/>
        </w:rPr>
      </w:pPr>
      <w:r w:rsidRPr="00FB5829">
        <w:rPr>
          <w:rStyle w:val="FootnoteReference"/>
          <w:rFonts w:asciiTheme="majorHAnsi" w:hAnsiTheme="majorHAnsi" w:cstheme="majorHAnsi"/>
          <w:sz w:val="18"/>
          <w:szCs w:val="18"/>
        </w:rPr>
        <w:footnoteRef/>
      </w:r>
      <w:r w:rsidRPr="00FB5829">
        <w:rPr>
          <w:rStyle w:val="None"/>
          <w:rFonts w:asciiTheme="majorHAnsi" w:eastAsia="Arial" w:hAnsiTheme="majorHAnsi" w:cstheme="majorHAnsi"/>
          <w:sz w:val="18"/>
          <w:szCs w:val="18"/>
          <w:vertAlign w:val="superscript"/>
        </w:rPr>
        <w:t xml:space="preserve"> </w:t>
      </w:r>
      <w:r w:rsidRPr="00FB5829">
        <w:rPr>
          <w:rStyle w:val="None"/>
          <w:rFonts w:asciiTheme="majorHAnsi" w:eastAsia="Arial" w:hAnsiTheme="majorHAnsi" w:cstheme="majorHAnsi"/>
          <w:sz w:val="18"/>
          <w:szCs w:val="18"/>
        </w:rPr>
        <w:t>A</w:t>
      </w:r>
      <w:r>
        <w:rPr>
          <w:rStyle w:val="None"/>
          <w:rFonts w:asciiTheme="majorHAnsi" w:eastAsia="Arial" w:hAnsiTheme="majorHAnsi" w:cstheme="majorHAnsi"/>
          <w:sz w:val="18"/>
          <w:szCs w:val="18"/>
        </w:rPr>
        <w:t xml:space="preserve"> further USD 39,158,708 will be administered by FAO, consisting of a GEF grant of USD 2,686,964</w:t>
      </w:r>
      <w:r w:rsidRPr="00FB5829">
        <w:rPr>
          <w:rStyle w:val="None"/>
          <w:rFonts w:asciiTheme="majorHAnsi" w:eastAsia="Arial" w:hAnsiTheme="majorHAnsi" w:cstheme="majorHAnsi"/>
          <w:sz w:val="18"/>
          <w:szCs w:val="18"/>
        </w:rPr>
        <w:t xml:space="preserve"> </w:t>
      </w:r>
      <w:r>
        <w:rPr>
          <w:rStyle w:val="None"/>
          <w:rFonts w:asciiTheme="majorHAnsi" w:eastAsia="Arial" w:hAnsiTheme="majorHAnsi" w:cstheme="majorHAnsi"/>
          <w:sz w:val="18"/>
          <w:szCs w:val="18"/>
        </w:rPr>
        <w:t>and cofinancing of USD 36,471,744.</w:t>
      </w:r>
    </w:p>
  </w:footnote>
  <w:footnote w:id="81">
    <w:p w14:paraId="407481EE" w14:textId="77777777" w:rsidR="00013DC5" w:rsidRDefault="00013DC5" w:rsidP="00E45267">
      <w:pPr>
        <w:pStyle w:val="FootnoteText"/>
      </w:pPr>
      <w:r>
        <w:rPr>
          <w:rStyle w:val="None"/>
          <w:rFonts w:ascii="Arial" w:eastAsia="Arial" w:hAnsi="Arial" w:cs="Arial"/>
          <w:sz w:val="18"/>
          <w:szCs w:val="18"/>
          <w:vertAlign w:val="superscript"/>
        </w:rPr>
        <w:footnoteRef/>
      </w:r>
      <w:r>
        <w:rPr>
          <w:rStyle w:val="Hyperlink34"/>
          <w:rFonts w:eastAsia="Arial Unicode MS" w:cs="Arial Unicode MS"/>
        </w:rPr>
        <w:t xml:space="preserve"> see  </w:t>
      </w:r>
      <w:hyperlink r:id="rId4" w:history="1">
        <w:r>
          <w:rPr>
            <w:rStyle w:val="Hyperlink74"/>
            <w:rFonts w:eastAsia="Arial Unicode MS" w:cs="Arial Unicode MS"/>
          </w:rPr>
          <w:t>https://info.undp.org/global/popp/ppm/Pages/Closing-a-Project.aspx</w:t>
        </w:r>
      </w:hyperlink>
    </w:p>
  </w:footnote>
  <w:footnote w:id="82">
    <w:p w14:paraId="50A96426" w14:textId="77777777" w:rsidR="00013DC5" w:rsidRPr="0003763F" w:rsidRDefault="00013DC5" w:rsidP="00302513">
      <w:pPr>
        <w:pStyle w:val="FootnoteText"/>
        <w:spacing w:after="0"/>
        <w:rPr>
          <w:rFonts w:ascii="Calibri" w:hAnsi="Calibri" w:cs="Arial"/>
          <w:sz w:val="16"/>
          <w:szCs w:val="16"/>
        </w:rPr>
      </w:pPr>
      <w:r w:rsidRPr="0003763F">
        <w:rPr>
          <w:rStyle w:val="FootnoteReference"/>
          <w:rFonts w:cs="Arial"/>
          <w:sz w:val="16"/>
          <w:szCs w:val="16"/>
        </w:rPr>
        <w:footnoteRef/>
      </w:r>
      <w:r w:rsidRPr="0003763F">
        <w:rPr>
          <w:rFonts w:ascii="Calibri" w:hAnsi="Calibri" w:cs="Arial"/>
          <w:sz w:val="16"/>
          <w:szCs w:val="16"/>
        </w:rPr>
        <w:t xml:space="preserve"> See separate guidance on how to enter the TBWP into Atlas</w:t>
      </w:r>
      <w:r>
        <w:rPr>
          <w:rFonts w:ascii="Calibri" w:hAnsi="Calibri" w:cs="Arial"/>
          <w:sz w:val="16"/>
          <w:szCs w:val="16"/>
        </w:rPr>
        <w:t>17</w:t>
      </w:r>
    </w:p>
  </w:footnote>
  <w:footnote w:id="83">
    <w:p w14:paraId="0D73D3BC" w14:textId="7A3997F4" w:rsidR="00013DC5" w:rsidRPr="008244FA" w:rsidRDefault="00013DC5">
      <w:pPr>
        <w:pStyle w:val="FootnoteText"/>
        <w:rPr>
          <w:rFonts w:asciiTheme="majorHAnsi" w:hAnsiTheme="majorHAnsi"/>
          <w:sz w:val="16"/>
          <w:highlight w:val="yellow"/>
        </w:rPr>
      </w:pPr>
      <w:r w:rsidRPr="008244FA">
        <w:rPr>
          <w:rStyle w:val="FootnoteReference"/>
          <w:rFonts w:asciiTheme="majorHAnsi" w:hAnsiTheme="majorHAnsi"/>
          <w:sz w:val="16"/>
          <w:highlight w:val="yellow"/>
        </w:rPr>
        <w:footnoteRef/>
      </w:r>
      <w:r w:rsidRPr="008244FA">
        <w:rPr>
          <w:rFonts w:asciiTheme="majorHAnsi" w:hAnsiTheme="majorHAnsi"/>
          <w:sz w:val="16"/>
          <w:highlight w:val="yellow"/>
        </w:rPr>
        <w:t xml:space="preserve"> UNDP budget for midterm evaluation = 24,000$ International consul. + 15,000 $ national consultant + 3,000$ Travel + 6000$ translation</w:t>
      </w:r>
    </w:p>
  </w:footnote>
  <w:footnote w:id="84">
    <w:p w14:paraId="2F8E832D" w14:textId="614B288D" w:rsidR="00013DC5" w:rsidRPr="007A40D4" w:rsidRDefault="00013DC5">
      <w:pPr>
        <w:pStyle w:val="FootnoteText"/>
      </w:pPr>
      <w:r w:rsidRPr="008244FA">
        <w:rPr>
          <w:rStyle w:val="FootnoteReference"/>
          <w:rFonts w:asciiTheme="majorHAnsi" w:hAnsiTheme="majorHAnsi"/>
          <w:sz w:val="16"/>
          <w:highlight w:val="yellow"/>
        </w:rPr>
        <w:footnoteRef/>
      </w:r>
      <w:r w:rsidRPr="008244FA">
        <w:rPr>
          <w:rFonts w:asciiTheme="majorHAnsi" w:hAnsiTheme="majorHAnsi"/>
          <w:sz w:val="16"/>
          <w:highlight w:val="yellow"/>
        </w:rPr>
        <w:t xml:space="preserve"> UNDP budget for final evaluation = 24,000$ International consul. + 15,000 $ national consultant +3,000$ Travel + 6000$ translation</w:t>
      </w:r>
    </w:p>
  </w:footnote>
  <w:footnote w:id="85">
    <w:p w14:paraId="094B31D0" w14:textId="77777777" w:rsidR="00013DC5" w:rsidRPr="000D7130" w:rsidRDefault="00013DC5" w:rsidP="00F91241">
      <w:pPr>
        <w:pStyle w:val="FootnoteText"/>
        <w:rPr>
          <w:rFonts w:ascii="Calibri" w:hAnsi="Calibri" w:cs="Calibri"/>
          <w:sz w:val="18"/>
          <w:szCs w:val="18"/>
        </w:rPr>
      </w:pPr>
      <w:r w:rsidRPr="000D7130">
        <w:rPr>
          <w:rStyle w:val="FootnoteReference"/>
          <w:rFonts w:ascii="Calibri" w:hAnsi="Calibri" w:cs="Calibri"/>
          <w:sz w:val="18"/>
          <w:szCs w:val="18"/>
        </w:rPr>
        <w:footnoteRef/>
      </w:r>
      <w:r w:rsidRPr="000D7130">
        <w:rPr>
          <w:rFonts w:ascii="Calibri" w:hAnsi="Calibri" w:cs="Calibri"/>
          <w:sz w:val="18"/>
          <w:szCs w:val="18"/>
        </w:rPr>
        <w:t xml:space="preserve"> Prohibited </w:t>
      </w:r>
      <w:r w:rsidRPr="000D7130">
        <w:rPr>
          <w:rFonts w:ascii="Calibri" w:hAnsi="Calibri" w:cs="Calibri"/>
          <w:sz w:val="18"/>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0D7130">
        <w:rPr>
          <w:rFonts w:ascii="Calibri" w:hAnsi="Calibri" w:cs="Calibri"/>
          <w:sz w:val="18"/>
          <w:szCs w:val="18"/>
        </w:rPr>
        <w:t>References to “women and men” or similar is understood to include women and men, boys and girls, and other groups discriminated against based on their gender identities, such as transgender people and transsexuals.</w:t>
      </w:r>
    </w:p>
  </w:footnote>
  <w:footnote w:id="86">
    <w:p w14:paraId="24C2B196" w14:textId="77777777" w:rsidR="00013DC5" w:rsidRPr="000D7130" w:rsidRDefault="00013DC5" w:rsidP="00F91241">
      <w:pPr>
        <w:rPr>
          <w:rFonts w:ascii="Calibri" w:hAnsi="Calibri" w:cs="Calibri"/>
          <w:sz w:val="18"/>
          <w:szCs w:val="18"/>
        </w:rPr>
      </w:pPr>
      <w:r w:rsidRPr="000D7130">
        <w:rPr>
          <w:rFonts w:ascii="Calibri" w:hAnsi="Calibri" w:cs="Calibri"/>
          <w:sz w:val="18"/>
          <w:szCs w:val="18"/>
          <w:vertAlign w:val="superscript"/>
        </w:rPr>
        <w:footnoteRef/>
      </w:r>
      <w:r w:rsidRPr="000D7130">
        <w:rPr>
          <w:rFonts w:ascii="Calibri" w:hAnsi="Calibri" w:cs="Calibri"/>
          <w:sz w:val="18"/>
          <w:szCs w:val="18"/>
        </w:rPr>
        <w:t xml:space="preserve"> In regards to CO</w:t>
      </w:r>
      <w:r w:rsidRPr="000D7130">
        <w:rPr>
          <w:rFonts w:ascii="Calibri" w:hAnsi="Calibri" w:cs="Calibri"/>
          <w:sz w:val="18"/>
          <w:szCs w:val="18"/>
          <w:vertAlign w:val="subscript"/>
        </w:rPr>
        <w:t>2,</w:t>
      </w:r>
      <w:r w:rsidRPr="000D7130">
        <w:rPr>
          <w:rFonts w:ascii="Calibri" w:hAnsi="Calibri" w:cs="Calibri"/>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87">
    <w:p w14:paraId="5C2383BC" w14:textId="77777777" w:rsidR="00013DC5" w:rsidRPr="000D7130" w:rsidRDefault="00013DC5" w:rsidP="00F91241">
      <w:pPr>
        <w:pStyle w:val="FootnoteText"/>
        <w:rPr>
          <w:rFonts w:ascii="Calibri" w:hAnsi="Calibri" w:cs="Calibri"/>
          <w:sz w:val="18"/>
        </w:rPr>
      </w:pPr>
      <w:r w:rsidRPr="000D7130">
        <w:rPr>
          <w:rStyle w:val="FootnoteReference"/>
          <w:rFonts w:ascii="Calibri" w:hAnsi="Calibri" w:cs="Calibri"/>
          <w:sz w:val="18"/>
        </w:rPr>
        <w:footnoteRef/>
      </w:r>
      <w:r w:rsidRPr="000D7130">
        <w:rPr>
          <w:rFonts w:ascii="Calibri" w:hAnsi="Calibri" w:cs="Calibri"/>
          <w:sz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88">
    <w:p w14:paraId="57390A2B" w14:textId="77777777" w:rsidR="00013DC5" w:rsidRPr="00A02B1E" w:rsidRDefault="00013DC5" w:rsidP="00E538B1">
      <w:pPr>
        <w:pStyle w:val="FootnoteText"/>
        <w:ind w:left="-709"/>
        <w:rPr>
          <w:rFonts w:asciiTheme="majorHAnsi" w:hAnsiTheme="majorHAnsi" w:cstheme="majorHAnsi"/>
          <w:sz w:val="18"/>
          <w:szCs w:val="18"/>
          <w:lang w:val="en-GB"/>
        </w:rPr>
      </w:pPr>
      <w:r w:rsidRPr="00A02B1E">
        <w:rPr>
          <w:rStyle w:val="FootnoteReference"/>
          <w:rFonts w:asciiTheme="majorHAnsi" w:hAnsiTheme="majorHAnsi" w:cstheme="majorHAnsi"/>
          <w:sz w:val="18"/>
          <w:szCs w:val="18"/>
        </w:rPr>
        <w:footnoteRef/>
      </w:r>
      <w:r w:rsidRPr="00A02B1E">
        <w:rPr>
          <w:rFonts w:asciiTheme="majorHAnsi" w:hAnsiTheme="majorHAnsi" w:cstheme="majorHAnsi"/>
          <w:sz w:val="18"/>
          <w:szCs w:val="18"/>
          <w:lang w:val="en-GB"/>
        </w:rPr>
        <w:t>Land tenure an</w:t>
      </w:r>
      <w:r w:rsidRPr="00A02B1E">
        <w:rPr>
          <w:rFonts w:asciiTheme="majorHAnsi" w:hAnsiTheme="majorHAnsi" w:cstheme="majorHAnsi"/>
          <w:sz w:val="18"/>
          <w:szCs w:val="18"/>
        </w:rPr>
        <w:t>d the adoption of agricultural technology in Haiti. Glenn R. Smucker, T. Anderson White and Michael Bannister. CAPRi Working Paper No. 6, CGIAR System-wide Program on Property Rights and Collective Action. October 2000.</w:t>
      </w:r>
    </w:p>
  </w:footnote>
  <w:footnote w:id="89">
    <w:p w14:paraId="4247E957" w14:textId="77777777" w:rsidR="00013DC5" w:rsidRPr="00C65A85" w:rsidRDefault="00013DC5" w:rsidP="00C25FA5">
      <w:pPr>
        <w:pStyle w:val="FootnoteRefGenderAssessment"/>
      </w:pPr>
      <w:r w:rsidRPr="00C65A85">
        <w:rPr>
          <w:rStyle w:val="FootnoteReference"/>
        </w:rPr>
        <w:footnoteRef/>
      </w:r>
      <w:r w:rsidRPr="00C65A85">
        <w:t xml:space="preserve"> H</w:t>
      </w:r>
      <w:r>
        <w:t xml:space="preserve">uman </w:t>
      </w:r>
      <w:r w:rsidRPr="00C65A85">
        <w:t>D</w:t>
      </w:r>
      <w:r>
        <w:t xml:space="preserve">evelopment </w:t>
      </w:r>
      <w:r w:rsidRPr="00C65A85">
        <w:t>I</w:t>
      </w:r>
      <w:r>
        <w:t>ndex, 2016</w:t>
      </w:r>
      <w:r w:rsidRPr="00C65A85">
        <w:t xml:space="preserve"> </w:t>
      </w:r>
    </w:p>
  </w:footnote>
  <w:footnote w:id="90">
    <w:p w14:paraId="5BCF80A7" w14:textId="77777777" w:rsidR="00013DC5" w:rsidRPr="00C65A85" w:rsidRDefault="00013DC5" w:rsidP="00C25FA5">
      <w:pPr>
        <w:pStyle w:val="FootnoteRefGenderAssessment"/>
      </w:pPr>
      <w:r w:rsidRPr="00C65A85">
        <w:rPr>
          <w:rStyle w:val="FootnoteReference"/>
        </w:rPr>
        <w:footnoteRef/>
      </w:r>
      <w:r w:rsidRPr="00C65A85">
        <w:t xml:space="preserve"> USAID (2016)</w:t>
      </w:r>
    </w:p>
  </w:footnote>
  <w:footnote w:id="91">
    <w:p w14:paraId="42875C89" w14:textId="77777777" w:rsidR="00013DC5" w:rsidRPr="00C65A85" w:rsidRDefault="00013DC5" w:rsidP="00C25FA5">
      <w:pPr>
        <w:pStyle w:val="FootnoteRefGenderAssessment"/>
      </w:pPr>
      <w:r w:rsidRPr="00C65A85">
        <w:rPr>
          <w:rStyle w:val="FootnoteReference"/>
        </w:rPr>
        <w:footnoteRef/>
      </w:r>
      <w:r w:rsidRPr="00C65A85">
        <w:t xml:space="preserve"> </w:t>
      </w:r>
      <w:r>
        <w:t>FAO, The Role of Women in Agriculture, 2011</w:t>
      </w:r>
    </w:p>
  </w:footnote>
  <w:footnote w:id="92">
    <w:p w14:paraId="5DF5D3C0"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MCFDF 2015. Statistiques de Genre: Comprendre pour mieux agir</w:t>
      </w:r>
    </w:p>
  </w:footnote>
  <w:footnote w:id="93">
    <w:p w14:paraId="3AC960BD"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IHSI, enquête, emploi, </w:t>
      </w:r>
      <w:r w:rsidRPr="00E908B7">
        <w:rPr>
          <w:rFonts w:eastAsiaTheme="minorHAnsi"/>
          <w:lang w:val="fr-FR"/>
        </w:rPr>
        <w:t>économie</w:t>
      </w:r>
      <w:r w:rsidRPr="00E908B7">
        <w:rPr>
          <w:lang w:val="fr-FR"/>
        </w:rPr>
        <w:t xml:space="preserve"> informelle, 2010 </w:t>
      </w:r>
    </w:p>
  </w:footnote>
  <w:footnote w:id="94">
    <w:p w14:paraId="5A911364"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MCFDF 2015. Statistiques de Genre: Comprendre pour mieux agir</w:t>
      </w:r>
    </w:p>
  </w:footnote>
  <w:footnote w:id="95">
    <w:p w14:paraId="0AA1D047" w14:textId="77777777" w:rsidR="00013DC5" w:rsidRPr="00C65A85" w:rsidRDefault="00013DC5" w:rsidP="00C25FA5">
      <w:pPr>
        <w:pStyle w:val="FootnoteRefGenderAssessment"/>
      </w:pPr>
      <w:r w:rsidRPr="00C65A85">
        <w:rPr>
          <w:rStyle w:val="FootnoteReference"/>
        </w:rPr>
        <w:footnoteRef/>
      </w:r>
      <w:r w:rsidRPr="00C65A85">
        <w:t xml:space="preserve"> </w:t>
      </w:r>
      <w:hyperlink r:id="rId5" w:history="1">
        <w:r w:rsidRPr="00C65A85">
          <w:rPr>
            <w:rStyle w:val="Hyperlink"/>
          </w:rPr>
          <w:t>http://reports.weforum.org</w:t>
        </w:r>
      </w:hyperlink>
      <w:r w:rsidRPr="00C65A85">
        <w:t xml:space="preserve"> </w:t>
      </w:r>
    </w:p>
  </w:footnote>
  <w:footnote w:id="96">
    <w:p w14:paraId="7CBFEB50" w14:textId="77777777" w:rsidR="00013DC5" w:rsidRPr="00C65A85" w:rsidRDefault="00013DC5" w:rsidP="00C25FA5">
      <w:pPr>
        <w:pStyle w:val="FootnoteRefGenderAssessment"/>
      </w:pPr>
      <w:r w:rsidRPr="00C65A85">
        <w:rPr>
          <w:rStyle w:val="FootnoteReference"/>
        </w:rPr>
        <w:footnoteRef/>
      </w:r>
      <w:r w:rsidRPr="00C65A85">
        <w:t xml:space="preserve"> United Nations Development Programme. Human Development Report. </w:t>
      </w:r>
      <w:hyperlink r:id="rId6" w:history="1">
        <w:r w:rsidRPr="00C65A85">
          <w:rPr>
            <w:rStyle w:val="Hyperlink"/>
          </w:rPr>
          <w:t>http://hdr.undp.org/en/content/table-4-gender-inequality-index</w:t>
        </w:r>
      </w:hyperlink>
      <w:r w:rsidRPr="00C65A85">
        <w:t xml:space="preserve">. </w:t>
      </w:r>
    </w:p>
  </w:footnote>
  <w:footnote w:id="97">
    <w:p w14:paraId="69B34CC1" w14:textId="77777777" w:rsidR="00013DC5" w:rsidRPr="00C65A85" w:rsidRDefault="00013DC5" w:rsidP="00C25FA5">
      <w:pPr>
        <w:pStyle w:val="FootnoteRefGenderAssessment"/>
      </w:pPr>
      <w:r w:rsidRPr="00C65A85">
        <w:rPr>
          <w:rStyle w:val="FootnoteReference"/>
        </w:rPr>
        <w:footnoteRef/>
      </w:r>
      <w:r w:rsidRPr="00C65A85">
        <w:t xml:space="preserve"> http://hdr.undp.org/en/composite/GII</w:t>
      </w:r>
    </w:p>
  </w:footnote>
  <w:footnote w:id="98">
    <w:p w14:paraId="1E946926" w14:textId="77777777" w:rsidR="00013DC5" w:rsidRPr="00C65A85" w:rsidRDefault="00013DC5" w:rsidP="00C25FA5">
      <w:pPr>
        <w:pStyle w:val="FootnoteRefGenderAssessment"/>
      </w:pPr>
      <w:r w:rsidRPr="00C65A85">
        <w:rPr>
          <w:rStyle w:val="FootnoteReference"/>
        </w:rPr>
        <w:footnoteRef/>
      </w:r>
      <w:r w:rsidRPr="00C65A85">
        <w:t xml:space="preserve"> OECD. Social Institutions and Gender Index 2014. Country Profile http://www.genderindex.org/ranking</w:t>
      </w:r>
    </w:p>
  </w:footnote>
  <w:footnote w:id="99">
    <w:p w14:paraId="3E9292E6"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2012 EMMUS/DHS survey (République d’Haïti Ministère de La Santé Publique et de La Population (MSPP) (2012). Enquête Mortalité et Utilisation des Services EMMUS-V Haiti 2012 verify)</w:t>
      </w:r>
    </w:p>
  </w:footnote>
  <w:footnote w:id="100">
    <w:p w14:paraId="181A4EF5"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2012 EMMUS/DHS survey (République d’Haïti Ministère de La Santé Publique et de La Population (MSPP) (2012). Enquête Mortalité et Utilisation des Services EMMUS-V Haiti 2012 verify)</w:t>
      </w:r>
    </w:p>
  </w:footnote>
  <w:footnote w:id="101">
    <w:p w14:paraId="4453D8D5"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USAID (2016)</w:t>
      </w:r>
    </w:p>
  </w:footnote>
  <w:footnote w:id="102">
    <w:p w14:paraId="5FB23653"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MCFDF (2014) politique d’égalité</w:t>
      </w:r>
    </w:p>
  </w:footnote>
  <w:footnote w:id="103">
    <w:p w14:paraId="52DAEAEA"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USAID (2016)</w:t>
      </w:r>
    </w:p>
  </w:footnote>
  <w:footnote w:id="104">
    <w:p w14:paraId="3372E7E7" w14:textId="77777777" w:rsidR="00013DC5" w:rsidRPr="008A4A96" w:rsidRDefault="00013DC5" w:rsidP="00C25FA5">
      <w:pPr>
        <w:pStyle w:val="FootnoteRefGenderAssessment"/>
      </w:pPr>
      <w:r w:rsidRPr="00C65A85">
        <w:rPr>
          <w:rStyle w:val="FootnoteReference"/>
        </w:rPr>
        <w:footnoteRef/>
      </w:r>
      <w:r w:rsidRPr="008A4A96">
        <w:t xml:space="preserve"> Bellanca (2007)</w:t>
      </w:r>
    </w:p>
  </w:footnote>
  <w:footnote w:id="105">
    <w:p w14:paraId="5A375B0A" w14:textId="77777777" w:rsidR="00013DC5" w:rsidRPr="00C65A85" w:rsidRDefault="00013DC5" w:rsidP="00C25FA5">
      <w:pPr>
        <w:pStyle w:val="FootnoteRefGenderAssessment"/>
      </w:pPr>
      <w:r w:rsidRPr="00C65A85">
        <w:rPr>
          <w:rStyle w:val="FootnoteReference"/>
        </w:rPr>
        <w:footnoteRef/>
      </w:r>
      <w:r w:rsidRPr="00C65A85">
        <w:t xml:space="preserve"> USAID (2016)</w:t>
      </w:r>
    </w:p>
  </w:footnote>
  <w:footnote w:id="106">
    <w:p w14:paraId="18AC6B79" w14:textId="77777777" w:rsidR="00013DC5" w:rsidRPr="00C65A85" w:rsidRDefault="00013DC5" w:rsidP="00C25FA5">
      <w:pPr>
        <w:pStyle w:val="FootnoteRefGenderAssessment"/>
      </w:pPr>
      <w:r w:rsidRPr="00C65A85">
        <w:rPr>
          <w:rStyle w:val="FootnoteReference"/>
        </w:rPr>
        <w:footnoteRef/>
      </w:r>
      <w:r w:rsidRPr="00C65A85">
        <w:t xml:space="preserve"> USAID 2016 gender assessment</w:t>
      </w:r>
    </w:p>
  </w:footnote>
  <w:footnote w:id="107">
    <w:p w14:paraId="29A3B675" w14:textId="77777777" w:rsidR="00013DC5" w:rsidRPr="00E908B7" w:rsidRDefault="00013DC5" w:rsidP="00C25FA5">
      <w:pPr>
        <w:pStyle w:val="FootnoteRefGenderAssessment"/>
        <w:rPr>
          <w:lang w:val="fr-FR"/>
        </w:rPr>
      </w:pPr>
      <w:r w:rsidRPr="00C65A85">
        <w:rPr>
          <w:rStyle w:val="FootnoteReference"/>
        </w:rPr>
        <w:footnoteRef/>
      </w:r>
      <w:r w:rsidRPr="00EA4B38">
        <w:rPr>
          <w:lang w:val="en-GB"/>
        </w:rPr>
        <w:t xml:space="preserve"> MCFDF 2015. </w:t>
      </w:r>
      <w:r w:rsidRPr="00E908B7">
        <w:rPr>
          <w:lang w:val="fr-FR"/>
        </w:rPr>
        <w:t>Statistiques de Genre: Comprendre pour mieux agir</w:t>
      </w:r>
    </w:p>
  </w:footnote>
  <w:footnote w:id="108">
    <w:p w14:paraId="089B7482" w14:textId="77777777" w:rsidR="00013DC5" w:rsidRPr="00C65A85" w:rsidRDefault="00013DC5" w:rsidP="00C25FA5">
      <w:pPr>
        <w:pStyle w:val="FootnoteRefGenderAssessment"/>
      </w:pPr>
      <w:r w:rsidRPr="00C65A85">
        <w:rPr>
          <w:rStyle w:val="FootnoteReference"/>
        </w:rPr>
        <w:footnoteRef/>
      </w:r>
      <w:r w:rsidRPr="00C65A85">
        <w:t xml:space="preserve"> Gardella, 2006 (</w:t>
      </w:r>
      <w:r w:rsidRPr="00C65A85">
        <w:rPr>
          <w:rFonts w:eastAsiaTheme="minorHAnsi"/>
        </w:rPr>
        <w:t xml:space="preserve">primary not found, </w:t>
      </w:r>
      <w:r w:rsidRPr="00C65A85">
        <w:t>from Feed the Future)</w:t>
      </w:r>
    </w:p>
  </w:footnote>
  <w:footnote w:id="109">
    <w:p w14:paraId="4ED15613" w14:textId="77777777" w:rsidR="00013DC5" w:rsidRPr="00C65A85" w:rsidRDefault="00013DC5" w:rsidP="00C25FA5">
      <w:pPr>
        <w:pStyle w:val="FootnoteRefGenderAssessment"/>
      </w:pPr>
      <w:r w:rsidRPr="00C65A85">
        <w:rPr>
          <w:rStyle w:val="FootnoteReference"/>
        </w:rPr>
        <w:footnoteRef/>
      </w:r>
      <w:r w:rsidRPr="00C65A85">
        <w:t xml:space="preserve"> EMMUS (2012) </w:t>
      </w:r>
    </w:p>
  </w:footnote>
  <w:footnote w:id="110">
    <w:p w14:paraId="4FDFEF3E" w14:textId="77777777" w:rsidR="00013DC5" w:rsidRPr="00C65A85" w:rsidRDefault="00013DC5" w:rsidP="00C25FA5">
      <w:pPr>
        <w:pStyle w:val="FootnoteRefGenderAssessment"/>
      </w:pPr>
      <w:r w:rsidRPr="00C65A85">
        <w:rPr>
          <w:rStyle w:val="FootnoteReference"/>
        </w:rPr>
        <w:footnoteRef/>
      </w:r>
      <w:r w:rsidRPr="00C65A85">
        <w:t xml:space="preserve"> Shadow report, 2011</w:t>
      </w:r>
    </w:p>
  </w:footnote>
  <w:footnote w:id="111">
    <w:p w14:paraId="5CE9FD48" w14:textId="77777777" w:rsidR="00013DC5" w:rsidRPr="00C65A85" w:rsidRDefault="00013DC5" w:rsidP="00C25FA5">
      <w:pPr>
        <w:pStyle w:val="FootnoteRefGenderAssessment"/>
      </w:pPr>
      <w:r w:rsidRPr="00C65A85">
        <w:rPr>
          <w:rStyle w:val="FootnoteReference"/>
        </w:rPr>
        <w:footnoteRef/>
      </w:r>
      <w:r w:rsidRPr="00C65A85">
        <w:t xml:space="preserve"> </w:t>
      </w:r>
      <w:r>
        <w:t>G</w:t>
      </w:r>
      <w:r w:rsidRPr="00C65A85">
        <w:t>ar</w:t>
      </w:r>
      <w:r>
        <w:t>d</w:t>
      </w:r>
      <w:r w:rsidRPr="00C65A85">
        <w:t>ella, Feed the future</w:t>
      </w:r>
    </w:p>
  </w:footnote>
  <w:footnote w:id="112">
    <w:p w14:paraId="17A6923E" w14:textId="77777777" w:rsidR="00013DC5" w:rsidRPr="00C65A85" w:rsidRDefault="00013DC5" w:rsidP="00C25FA5">
      <w:pPr>
        <w:pStyle w:val="FootnoteRefGenderAssessment"/>
      </w:pPr>
      <w:r w:rsidRPr="00C65A85">
        <w:rPr>
          <w:rStyle w:val="FootnoteReference"/>
        </w:rPr>
        <w:footnoteRef/>
      </w:r>
      <w:r w:rsidRPr="00C65A85">
        <w:t xml:space="preserve"> </w:t>
      </w:r>
      <w:r>
        <w:t>G</w:t>
      </w:r>
      <w:r w:rsidRPr="00C65A85">
        <w:t>ar</w:t>
      </w:r>
      <w:r>
        <w:t>d</w:t>
      </w:r>
      <w:r w:rsidRPr="00C65A85">
        <w:t>ella Feed the future.</w:t>
      </w:r>
    </w:p>
  </w:footnote>
  <w:footnote w:id="113">
    <w:p w14:paraId="6C451B41" w14:textId="77777777" w:rsidR="00013DC5" w:rsidRPr="00C65A85" w:rsidRDefault="00013DC5" w:rsidP="00C25FA5">
      <w:pPr>
        <w:pStyle w:val="FootnoteRefGenderAssessment"/>
      </w:pPr>
      <w:r w:rsidRPr="00C65A85">
        <w:footnoteRef/>
      </w:r>
      <w:r w:rsidRPr="00C65A85">
        <w:t xml:space="preserve"> Haiti Overview: World Bank (http://www.worldbank.org/en/country/haiti/overview)</w:t>
      </w:r>
    </w:p>
  </w:footnote>
  <w:footnote w:id="114">
    <w:p w14:paraId="32337870" w14:textId="77777777" w:rsidR="00013DC5" w:rsidRPr="00C65A85" w:rsidRDefault="00013DC5" w:rsidP="00C25FA5">
      <w:pPr>
        <w:pStyle w:val="FootnoteRefGenderAssessment"/>
      </w:pPr>
      <w:r w:rsidRPr="00C65A85">
        <w:rPr>
          <w:rStyle w:val="FootnoteReference"/>
        </w:rPr>
        <w:footnoteRef/>
      </w:r>
      <w:r w:rsidRPr="00C65A85">
        <w:t xml:space="preserve"> </w:t>
      </w:r>
      <w:r w:rsidRPr="00C65A85">
        <w:rPr>
          <w:rFonts w:eastAsiaTheme="minorHAnsi"/>
        </w:rPr>
        <w:t>MCFDF 2014 politique d’égalité</w:t>
      </w:r>
    </w:p>
  </w:footnote>
  <w:footnote w:id="115">
    <w:p w14:paraId="7BA022D9" w14:textId="77777777" w:rsidR="00013DC5" w:rsidRPr="00C65A85" w:rsidRDefault="00013DC5" w:rsidP="00C25FA5">
      <w:pPr>
        <w:pStyle w:val="FootnoteRefGenderAssessment"/>
      </w:pPr>
      <w:r w:rsidRPr="00C65A85">
        <w:footnoteRef/>
      </w:r>
      <w:r w:rsidRPr="00C65A85">
        <w:t xml:space="preserve"> Haiti Overview: World Bank (http://www.worldbank.org/en/country/haiti/overview)</w:t>
      </w:r>
    </w:p>
  </w:footnote>
  <w:footnote w:id="116">
    <w:p w14:paraId="4965C795" w14:textId="77777777" w:rsidR="00013DC5" w:rsidRPr="00C65A85" w:rsidRDefault="00013DC5" w:rsidP="00C25FA5">
      <w:pPr>
        <w:pStyle w:val="FootnoteRefGenderAssessment"/>
      </w:pPr>
      <w:r w:rsidRPr="00C65A85">
        <w:rPr>
          <w:rStyle w:val="FootnoteReference"/>
        </w:rPr>
        <w:footnoteRef/>
      </w:r>
      <w:r w:rsidRPr="00C65A85">
        <w:t xml:space="preserve"> Gardella, 2006 (</w:t>
      </w:r>
      <w:r w:rsidRPr="00C65A85">
        <w:rPr>
          <w:rFonts w:eastAsiaTheme="minorHAnsi"/>
        </w:rPr>
        <w:t xml:space="preserve">primary not found, </w:t>
      </w:r>
      <w:r w:rsidRPr="00C65A85">
        <w:t>from Feed the Future)</w:t>
      </w:r>
    </w:p>
  </w:footnote>
  <w:footnote w:id="117">
    <w:p w14:paraId="60A67692" w14:textId="77777777" w:rsidR="00013DC5" w:rsidRPr="00C65A85" w:rsidRDefault="00013DC5" w:rsidP="00C25FA5">
      <w:pPr>
        <w:pStyle w:val="FootnoteRefGenderAssessment"/>
      </w:pPr>
      <w:r w:rsidRPr="00C65A85">
        <w:rPr>
          <w:rStyle w:val="FootnoteReference"/>
        </w:rPr>
        <w:footnoteRef/>
      </w:r>
      <w:r w:rsidRPr="00C65A85">
        <w:t xml:space="preserve"> Feed the Future, 2016</w:t>
      </w:r>
    </w:p>
  </w:footnote>
  <w:footnote w:id="118">
    <w:p w14:paraId="6D1F97E7" w14:textId="77777777" w:rsidR="00013DC5" w:rsidRPr="00C65A85" w:rsidRDefault="00013DC5" w:rsidP="00C25FA5">
      <w:pPr>
        <w:pStyle w:val="FootnoteRefGenderAssessment"/>
        <w:rPr>
          <w:rFonts w:eastAsiaTheme="minorHAnsi"/>
        </w:rPr>
      </w:pPr>
      <w:r w:rsidRPr="00C65A85">
        <w:rPr>
          <w:rStyle w:val="FootnoteReference"/>
        </w:rPr>
        <w:footnoteRef/>
      </w:r>
      <w:r w:rsidRPr="00C65A85">
        <w:t xml:space="preserve"> </w:t>
      </w:r>
      <w:r w:rsidRPr="00C65A85">
        <w:rPr>
          <w:rFonts w:eastAsiaTheme="minorHAnsi"/>
        </w:rPr>
        <w:t xml:space="preserve">DSCRNP, 2007 (primary not found, citing from MCFDF 2014 politique d’égalité) </w:t>
      </w:r>
    </w:p>
  </w:footnote>
  <w:footnote w:id="119">
    <w:p w14:paraId="70136317" w14:textId="77777777" w:rsidR="00013DC5" w:rsidRPr="00C65A85" w:rsidRDefault="00013DC5" w:rsidP="00C25FA5">
      <w:pPr>
        <w:pStyle w:val="FootnoteRefGenderAssessment"/>
      </w:pPr>
      <w:r w:rsidRPr="00C65A85">
        <w:rPr>
          <w:rStyle w:val="FootnoteReference"/>
        </w:rPr>
        <w:footnoteRef/>
      </w:r>
      <w:r w:rsidRPr="00C65A85">
        <w:t xml:space="preserve"> USAID ref 36</w:t>
      </w:r>
    </w:p>
  </w:footnote>
  <w:footnote w:id="120">
    <w:p w14:paraId="32CD5208" w14:textId="77777777" w:rsidR="00013DC5" w:rsidRPr="00C65A85" w:rsidRDefault="00013DC5" w:rsidP="00C25FA5">
      <w:pPr>
        <w:pStyle w:val="FootnoteRefGenderAssessment"/>
      </w:pPr>
      <w:r w:rsidRPr="00C65A85">
        <w:rPr>
          <w:rStyle w:val="FootnoteReference"/>
        </w:rPr>
        <w:footnoteRef/>
      </w:r>
      <w:r w:rsidRPr="00C65A85">
        <w:t xml:space="preserve"> </w:t>
      </w:r>
      <w:r w:rsidRPr="00C65A85">
        <w:rPr>
          <w:shd w:val="clear" w:color="auto" w:fill="FFFFFF"/>
        </w:rPr>
        <w:t>USAID ref 36</w:t>
      </w:r>
    </w:p>
  </w:footnote>
  <w:footnote w:id="121">
    <w:p w14:paraId="09D0CD4F" w14:textId="77777777" w:rsidR="00013DC5" w:rsidRPr="00C65A85" w:rsidRDefault="00013DC5" w:rsidP="00C25FA5">
      <w:pPr>
        <w:pStyle w:val="FootnoteRefGenderAssessment"/>
      </w:pPr>
      <w:r w:rsidRPr="00C65A85">
        <w:rPr>
          <w:rStyle w:val="FootnoteReference"/>
        </w:rPr>
        <w:footnoteRef/>
      </w:r>
      <w:r w:rsidRPr="00C65A85">
        <w:t xml:space="preserve"> HRW (2017). Accessed May 2018. </w:t>
      </w:r>
      <w:r>
        <w:t>A</w:t>
      </w:r>
      <w:r w:rsidRPr="00C65A85">
        <w:t>vailable at: https://www.hrw.org/world-report/2018/country-chapters/haiti</w:t>
      </w:r>
    </w:p>
  </w:footnote>
  <w:footnote w:id="122">
    <w:p w14:paraId="2A60FF5B"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Shadow report (2011)</w:t>
      </w:r>
    </w:p>
  </w:footnote>
  <w:footnote w:id="123">
    <w:p w14:paraId="66310D9D"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2015. Statistiques de Genre: Comprendre pour mieux agir</w:t>
      </w:r>
    </w:p>
  </w:footnote>
  <w:footnote w:id="124">
    <w:p w14:paraId="02E42BC9" w14:textId="2F249498"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2013. Le rapport de diagnostique des inégalité</w:t>
      </w:r>
      <w:r>
        <w:rPr>
          <w:lang w:val="fr-CA"/>
        </w:rPr>
        <w:t>s</w:t>
      </w:r>
      <w:r w:rsidRPr="00C65A85">
        <w:rPr>
          <w:lang w:val="fr-CA"/>
        </w:rPr>
        <w:t xml:space="preserve"> des genre</w:t>
      </w:r>
    </w:p>
  </w:footnote>
  <w:footnote w:id="125">
    <w:p w14:paraId="06707924"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2015. Statistiques de Genre: Comprendre pour mieux agir</w:t>
      </w:r>
    </w:p>
  </w:footnote>
  <w:footnote w:id="126">
    <w:p w14:paraId="23E4199F" w14:textId="3D76301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2013. Le rapport de diagnostique des inégalité</w:t>
      </w:r>
      <w:r>
        <w:rPr>
          <w:lang w:val="fr-CA"/>
        </w:rPr>
        <w:t>s</w:t>
      </w:r>
      <w:r w:rsidRPr="00C65A85">
        <w:rPr>
          <w:lang w:val="fr-CA"/>
        </w:rPr>
        <w:t xml:space="preserve"> des genre</w:t>
      </w:r>
    </w:p>
  </w:footnote>
  <w:footnote w:id="127">
    <w:p w14:paraId="00B7B46F"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2015. Statistiques de Genre: Comprendre pour mieux agir</w:t>
      </w:r>
    </w:p>
  </w:footnote>
  <w:footnote w:id="128">
    <w:p w14:paraId="2291BC16"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2015. Statistiques de Genre: Comprendre pour mieux agir</w:t>
      </w:r>
    </w:p>
  </w:footnote>
  <w:footnote w:id="129">
    <w:p w14:paraId="4BE96B33" w14:textId="77777777" w:rsidR="00013DC5" w:rsidRPr="00C65A85" w:rsidRDefault="00013DC5" w:rsidP="00C25FA5">
      <w:pPr>
        <w:pStyle w:val="FootnoteRefGenderAssessment"/>
      </w:pPr>
      <w:r w:rsidRPr="00C65A85">
        <w:rPr>
          <w:rStyle w:val="FootnoteReference"/>
        </w:rPr>
        <w:footnoteRef/>
      </w:r>
      <w:r w:rsidRPr="00C65A85">
        <w:t xml:space="preserve"> HRW (2017). Accessed May 2018. </w:t>
      </w:r>
      <w:r>
        <w:t>A</w:t>
      </w:r>
      <w:r w:rsidRPr="00C65A85">
        <w:t>vailable at: https://www.hrw.org/world-report/2018/country-chapters/haiti</w:t>
      </w:r>
    </w:p>
  </w:footnote>
  <w:footnote w:id="130">
    <w:p w14:paraId="54C270FF" w14:textId="77777777" w:rsidR="00013DC5" w:rsidRPr="00E707D6" w:rsidRDefault="00013DC5" w:rsidP="00C25FA5">
      <w:pPr>
        <w:pStyle w:val="FootnoteRefGenderAssessment"/>
      </w:pPr>
      <w:r w:rsidRPr="00E707D6">
        <w:rPr>
          <w:rStyle w:val="FootnoteReference"/>
        </w:rPr>
        <w:footnoteRef/>
      </w:r>
      <w:r w:rsidRPr="00E707D6">
        <w:t xml:space="preserve"> Shadow report (2011)</w:t>
      </w:r>
    </w:p>
  </w:footnote>
  <w:footnote w:id="131">
    <w:p w14:paraId="4275CEF0" w14:textId="77777777" w:rsidR="00013DC5" w:rsidRPr="00E707D6" w:rsidRDefault="00013DC5" w:rsidP="00C25FA5">
      <w:pPr>
        <w:pStyle w:val="FootnoteRefGenderAssessment"/>
      </w:pPr>
      <w:r w:rsidRPr="00E707D6">
        <w:rPr>
          <w:rStyle w:val="FootnoteReference"/>
        </w:rPr>
        <w:footnoteRef/>
      </w:r>
      <w:r w:rsidRPr="00E707D6">
        <w:t xml:space="preserve"> USAID (2016) gender assessment</w:t>
      </w:r>
    </w:p>
  </w:footnote>
  <w:footnote w:id="132">
    <w:p w14:paraId="3C90A108" w14:textId="77777777" w:rsidR="00013DC5" w:rsidRPr="00E707D6" w:rsidRDefault="00013DC5" w:rsidP="00C25FA5">
      <w:pPr>
        <w:pStyle w:val="FootnoteRefGenderAssessment"/>
      </w:pPr>
      <w:r w:rsidRPr="00E707D6">
        <w:rPr>
          <w:rStyle w:val="FootnoteReference"/>
        </w:rPr>
        <w:footnoteRef/>
      </w:r>
      <w:r w:rsidRPr="00E707D6">
        <w:t xml:space="preserve"> Cite PFS gender assessment</w:t>
      </w:r>
    </w:p>
  </w:footnote>
  <w:footnote w:id="133">
    <w:p w14:paraId="137E9390" w14:textId="77777777" w:rsidR="00013DC5" w:rsidRPr="00E908B7" w:rsidRDefault="00013DC5" w:rsidP="00C25FA5">
      <w:pPr>
        <w:pStyle w:val="FootnoteRefGenderAssessment"/>
        <w:rPr>
          <w:lang w:val="fr-FR"/>
        </w:rPr>
      </w:pPr>
      <w:r w:rsidRPr="00E707D6">
        <w:rPr>
          <w:rStyle w:val="FootnoteReference"/>
        </w:rPr>
        <w:footnoteRef/>
      </w:r>
      <w:r w:rsidRPr="00E908B7">
        <w:rPr>
          <w:lang w:val="fr-FR"/>
        </w:rPr>
        <w:t xml:space="preserve"> MCFDF 2015. Statistiques de Genre: Comprendre pour mieux agir</w:t>
      </w:r>
    </w:p>
  </w:footnote>
  <w:footnote w:id="134">
    <w:p w14:paraId="79EFC51D" w14:textId="7A1FC063" w:rsidR="00013DC5" w:rsidRPr="00E908B7" w:rsidRDefault="00013DC5" w:rsidP="00C25FA5">
      <w:pPr>
        <w:pStyle w:val="FootnoteRefGenderAssessment"/>
        <w:rPr>
          <w:lang w:val="fr-FR"/>
        </w:rPr>
      </w:pPr>
      <w:r w:rsidRPr="00E707D6">
        <w:rPr>
          <w:rStyle w:val="FootnoteReference"/>
        </w:rPr>
        <w:footnoteRef/>
      </w:r>
      <w:r w:rsidRPr="00E908B7">
        <w:rPr>
          <w:lang w:val="fr-FR"/>
        </w:rPr>
        <w:t xml:space="preserve"> MCFDF 2013. Le rapport de diagnostique des inégalité</w:t>
      </w:r>
      <w:r>
        <w:rPr>
          <w:lang w:val="fr-FR"/>
        </w:rPr>
        <w:t>s</w:t>
      </w:r>
      <w:r w:rsidRPr="00E908B7">
        <w:rPr>
          <w:lang w:val="fr-FR"/>
        </w:rPr>
        <w:t xml:space="preserve"> des genre</w:t>
      </w:r>
    </w:p>
  </w:footnote>
  <w:footnote w:id="135">
    <w:p w14:paraId="7E69E683" w14:textId="77777777" w:rsidR="00013DC5" w:rsidRPr="00C65A85" w:rsidRDefault="00013DC5" w:rsidP="00C25FA5">
      <w:pPr>
        <w:pStyle w:val="FootnoteRefGenderAssessment"/>
        <w:rPr>
          <w:rFonts w:eastAsiaTheme="minorHAnsi"/>
          <w:lang w:val="fr-CA"/>
        </w:rPr>
      </w:pPr>
      <w:r w:rsidRPr="00E707D6">
        <w:rPr>
          <w:rStyle w:val="FootnoteReference"/>
        </w:rPr>
        <w:footnoteRef/>
      </w:r>
      <w:r w:rsidRPr="00E908B7">
        <w:rPr>
          <w:lang w:val="fr-FR"/>
        </w:rPr>
        <w:t xml:space="preserve"> UNFPA </w:t>
      </w:r>
      <w:r w:rsidRPr="00E908B7">
        <w:rPr>
          <w:rFonts w:eastAsiaTheme="minorHAnsi"/>
          <w:lang w:val="fr-FR"/>
        </w:rPr>
        <w:t>Faits et chiffres clés</w:t>
      </w:r>
      <w:r w:rsidRPr="00C65A85">
        <w:rPr>
          <w:rFonts w:eastAsiaTheme="minorHAnsi"/>
          <w:lang w:val="fr-CA"/>
        </w:rPr>
        <w:t xml:space="preserve"> sur la situation des</w:t>
      </w:r>
      <w:r w:rsidRPr="00C65A85">
        <w:rPr>
          <w:lang w:val="fr-CA"/>
        </w:rPr>
        <w:t xml:space="preserve"> femmes en Haïti, Novembre 2017. Available at : </w:t>
      </w:r>
      <w:r w:rsidRPr="00C65A85">
        <w:rPr>
          <w:rFonts w:eastAsiaTheme="minorHAnsi"/>
          <w:lang w:val="fr-CA"/>
        </w:rPr>
        <w:t>http://www.unfpa.org . Accessed May, 2018</w:t>
      </w:r>
      <w:r w:rsidRPr="00C65A85">
        <w:rPr>
          <w:lang w:val="fr-CA"/>
        </w:rPr>
        <w:tab/>
      </w:r>
    </w:p>
  </w:footnote>
  <w:footnote w:id="136">
    <w:p w14:paraId="3FBD2EE5"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2015. Statistiques de Genre: Comprendre pour mieux agir</w:t>
      </w:r>
    </w:p>
  </w:footnote>
  <w:footnote w:id="137">
    <w:p w14:paraId="57BCD20B"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w:t>
      </w:r>
      <w:r w:rsidRPr="00C65A85">
        <w:rPr>
          <w:rFonts w:cstheme="majorHAnsi"/>
          <w:szCs w:val="22"/>
          <w:lang w:val="fr-CA"/>
        </w:rPr>
        <w:t xml:space="preserve">PFS </w:t>
      </w:r>
      <w:r>
        <w:rPr>
          <w:rFonts w:cstheme="majorHAnsi"/>
          <w:szCs w:val="22"/>
          <w:lang w:val="fr-CA"/>
        </w:rPr>
        <w:t>G</w:t>
      </w:r>
      <w:r w:rsidRPr="00C65A85">
        <w:rPr>
          <w:rFonts w:cstheme="majorHAnsi"/>
          <w:szCs w:val="22"/>
          <w:lang w:val="fr-CA"/>
        </w:rPr>
        <w:t xml:space="preserve">ender </w:t>
      </w:r>
      <w:r>
        <w:rPr>
          <w:rFonts w:cstheme="majorHAnsi"/>
          <w:szCs w:val="22"/>
          <w:lang w:val="fr-CA"/>
        </w:rPr>
        <w:t>A</w:t>
      </w:r>
      <w:r w:rsidRPr="00C65A85">
        <w:rPr>
          <w:rFonts w:cstheme="majorHAnsi"/>
          <w:szCs w:val="22"/>
          <w:lang w:val="fr-CA"/>
        </w:rPr>
        <w:t>ssessment</w:t>
      </w:r>
    </w:p>
  </w:footnote>
  <w:footnote w:id="138">
    <w:p w14:paraId="01D2DB73"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(2014) </w:t>
      </w:r>
      <w:r>
        <w:rPr>
          <w:lang w:val="fr-CA"/>
        </w:rPr>
        <w:t>P</w:t>
      </w:r>
      <w:r w:rsidRPr="00C65A85">
        <w:rPr>
          <w:lang w:val="fr-CA"/>
        </w:rPr>
        <w:t>olitque d’égalité femme hommes 2014 - 2034</w:t>
      </w:r>
    </w:p>
  </w:footnote>
  <w:footnote w:id="139">
    <w:p w14:paraId="11396A07"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Shadow report (2011)</w:t>
      </w:r>
    </w:p>
  </w:footnote>
  <w:footnote w:id="140">
    <w:p w14:paraId="62A53834" w14:textId="77777777" w:rsidR="00013DC5" w:rsidRPr="00C65A85" w:rsidRDefault="00013DC5" w:rsidP="00C25FA5">
      <w:pPr>
        <w:pStyle w:val="FootnoteRefGenderAssessment"/>
        <w:rPr>
          <w:rFonts w:eastAsiaTheme="minorHAnsi"/>
          <w:lang w:val="fr-CA"/>
        </w:rPr>
      </w:pPr>
      <w:r w:rsidRPr="00C65A85">
        <w:rPr>
          <w:rStyle w:val="FootnoteReference"/>
        </w:rPr>
        <w:footnoteRef/>
      </w:r>
      <w:r w:rsidRPr="00C65A85">
        <w:rPr>
          <w:lang w:val="fr-CA"/>
        </w:rPr>
        <w:t xml:space="preserve"> </w:t>
      </w:r>
      <w:r w:rsidRPr="00C65A85">
        <w:rPr>
          <w:rFonts w:eastAsiaTheme="minorHAnsi"/>
          <w:lang w:val="fr-CA"/>
        </w:rPr>
        <w:t>Myriam Merlet. La participation politique des femmes en Haïti, quelques éléments d’analyse, 2002</w:t>
      </w:r>
      <w:r w:rsidRPr="00C65A85">
        <w:rPr>
          <w:rFonts w:ascii="MS Mincho" w:eastAsia="MS Mincho" w:hAnsi="MS Mincho" w:cs="MS Mincho" w:hint="eastAsia"/>
          <w:lang w:val="fr-CA"/>
        </w:rPr>
        <w:t xml:space="preserve"> </w:t>
      </w:r>
    </w:p>
  </w:footnote>
  <w:footnote w:id="141">
    <w:p w14:paraId="776A136E" w14:textId="77777777" w:rsidR="00013DC5" w:rsidRPr="00C65A85" w:rsidRDefault="00013DC5" w:rsidP="00C25FA5">
      <w:pPr>
        <w:pStyle w:val="FootnoteRefGenderAssessment"/>
        <w:rPr>
          <w:rFonts w:eastAsiaTheme="minorHAnsi"/>
        </w:rPr>
      </w:pPr>
      <w:r w:rsidRPr="00C65A85">
        <w:rPr>
          <w:rStyle w:val="FootnoteReference"/>
        </w:rPr>
        <w:footnoteRef/>
      </w:r>
      <w:r w:rsidRPr="00C65A85">
        <w:t xml:space="preserve"> </w:t>
      </w:r>
      <w:r w:rsidRPr="00C65A85">
        <w:rPr>
          <w:rFonts w:eastAsia="MS Gothic"/>
        </w:rPr>
        <w:t xml:space="preserve">REF 193 From USAID: </w:t>
      </w:r>
      <w:r w:rsidRPr="00C65A85">
        <w:rPr>
          <w:rFonts w:eastAsiaTheme="minorHAnsi"/>
        </w:rPr>
        <w:t>Republic of Haiti (2016). Submission for the U.N. Universal Periodic Review 26th Session of the Working Group on the UPR Human Rights Council [31 Oct, – 11 Nov., 2016]. Climate Change and the Right to Food)</w:t>
      </w:r>
      <w:r w:rsidRPr="00C65A85">
        <w:rPr>
          <w:rFonts w:eastAsia="MS Gothic"/>
        </w:rPr>
        <w:t>.</w:t>
      </w:r>
      <w:r w:rsidRPr="00C65A85">
        <w:rPr>
          <w:rFonts w:ascii="MS Mincho" w:eastAsia="MS Mincho" w:hAnsi="MS Mincho" w:cs="MS Mincho" w:hint="eastAsia"/>
        </w:rPr>
        <w:t xml:space="preserve"> </w:t>
      </w:r>
    </w:p>
  </w:footnote>
  <w:footnote w:id="142">
    <w:p w14:paraId="3B785C6C" w14:textId="77777777" w:rsidR="00013DC5" w:rsidRPr="00C65A85" w:rsidRDefault="00013DC5" w:rsidP="00C25FA5">
      <w:pPr>
        <w:pStyle w:val="FootnoteRefGenderAssessment"/>
      </w:pPr>
      <w:r w:rsidRPr="00C65A85">
        <w:rPr>
          <w:rStyle w:val="FootnoteReference"/>
        </w:rPr>
        <w:footnoteRef/>
      </w:r>
      <w:r w:rsidRPr="00C65A85">
        <w:t xml:space="preserve"> PFS gender assessment (from NAPA)</w:t>
      </w:r>
    </w:p>
  </w:footnote>
  <w:footnote w:id="143">
    <w:p w14:paraId="137E5FA6"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USAID (2016) gender assessment</w:t>
      </w:r>
    </w:p>
  </w:footnote>
  <w:footnote w:id="144">
    <w:p w14:paraId="7228108F" w14:textId="77777777" w:rsidR="00013DC5" w:rsidRPr="00C65A85" w:rsidRDefault="00013DC5" w:rsidP="00C25FA5">
      <w:pPr>
        <w:pStyle w:val="FootnoteRefGenderAssessment"/>
        <w:rPr>
          <w:rFonts w:ascii="Times" w:eastAsiaTheme="minorHAnsi" w:hAnsi="Times" w:cs="Times"/>
          <w:lang w:val="fr-CA"/>
        </w:rPr>
      </w:pPr>
      <w:r w:rsidRPr="00C65A85">
        <w:rPr>
          <w:rStyle w:val="FootnoteReference"/>
        </w:rPr>
        <w:footnoteRef/>
      </w:r>
      <w:r w:rsidRPr="00C65A85">
        <w:rPr>
          <w:lang w:val="fr-CA"/>
        </w:rPr>
        <w:t xml:space="preserve"> </w:t>
      </w:r>
      <w:r w:rsidRPr="00C65A85">
        <w:rPr>
          <w:rFonts w:eastAsiaTheme="minorHAnsi"/>
          <w:lang w:val="fr-CA"/>
        </w:rPr>
        <w:t>MCFDF, 2013. Le rapport de diagnostic des inégalités de genre.</w:t>
      </w:r>
    </w:p>
  </w:footnote>
  <w:footnote w:id="145">
    <w:p w14:paraId="06103311" w14:textId="77777777" w:rsidR="00013DC5" w:rsidRPr="00C65A85" w:rsidRDefault="00013DC5" w:rsidP="00C25FA5">
      <w:pPr>
        <w:pStyle w:val="FootnoteRefGenderAssessment"/>
        <w:rPr>
          <w:rFonts w:ascii="Times" w:eastAsiaTheme="minorHAnsi" w:hAnsi="Times" w:cs="Times"/>
          <w:lang w:val="fr-CA"/>
        </w:rPr>
      </w:pPr>
      <w:r w:rsidRPr="00C65A85">
        <w:rPr>
          <w:rStyle w:val="FootnoteReference"/>
        </w:rPr>
        <w:footnoteRef/>
      </w:r>
      <w:r w:rsidRPr="00C65A85">
        <w:rPr>
          <w:lang w:val="fr-CA"/>
        </w:rPr>
        <w:t xml:space="preserve"> </w:t>
      </w:r>
      <w:r w:rsidRPr="00C65A85">
        <w:rPr>
          <w:rFonts w:eastAsiaTheme="minorHAnsi"/>
          <w:lang w:val="fr-CA"/>
        </w:rPr>
        <w:t xml:space="preserve">IHSI, estimation de la population haïtienne, 2009 </w:t>
      </w:r>
    </w:p>
  </w:footnote>
  <w:footnote w:id="146">
    <w:p w14:paraId="3683C30E" w14:textId="77777777" w:rsidR="00013DC5" w:rsidRPr="00C65A85" w:rsidRDefault="00013DC5" w:rsidP="00C25FA5">
      <w:pPr>
        <w:pStyle w:val="FootnoteRefGenderAssessment"/>
      </w:pPr>
      <w:r w:rsidRPr="00C65A85">
        <w:rPr>
          <w:rStyle w:val="FootnoteReference"/>
        </w:rPr>
        <w:footnoteRef/>
      </w:r>
      <w:r w:rsidRPr="00C65A85">
        <w:t xml:space="preserve"> Shadow report, 2011 – verify source within report.</w:t>
      </w:r>
    </w:p>
  </w:footnote>
  <w:footnote w:id="147">
    <w:p w14:paraId="77DECC8B"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w:t>
      </w:r>
      <w:r w:rsidRPr="00C65A85">
        <w:rPr>
          <w:rFonts w:eastAsiaTheme="minorHAnsi"/>
          <w:lang w:val="fr-CA"/>
        </w:rPr>
        <w:t>MCFDF, 2013. Le rapport de diagnostic des inégalités de genre.</w:t>
      </w:r>
    </w:p>
  </w:footnote>
  <w:footnote w:id="148">
    <w:p w14:paraId="3959F63E"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w:t>
      </w:r>
      <w:r w:rsidRPr="00C65A85">
        <w:rPr>
          <w:rFonts w:eastAsiaTheme="minorHAnsi"/>
          <w:lang w:val="fr-CA"/>
        </w:rPr>
        <w:t>MCFDF, 2013. Le rapport de diagnostic des inégalités de genre.</w:t>
      </w:r>
    </w:p>
  </w:footnote>
  <w:footnote w:id="149">
    <w:p w14:paraId="4B488B34" w14:textId="77777777" w:rsidR="00013DC5" w:rsidRDefault="00013DC5" w:rsidP="00C25FA5">
      <w:pPr>
        <w:pStyle w:val="FootnoteText"/>
      </w:pPr>
      <w:r w:rsidRPr="003477B1">
        <w:rPr>
          <w:rStyle w:val="FootnoteReference"/>
          <w:rFonts w:asciiTheme="majorHAnsi" w:hAnsiTheme="majorHAnsi"/>
          <w:color w:val="000000" w:themeColor="text1"/>
          <w:sz w:val="16"/>
          <w:szCs w:val="18"/>
        </w:rPr>
        <w:footnoteRef/>
      </w:r>
      <w:r w:rsidRPr="003477B1">
        <w:rPr>
          <w:rStyle w:val="FootnoteReference"/>
          <w:rFonts w:asciiTheme="majorHAnsi" w:hAnsiTheme="majorHAnsi"/>
          <w:color w:val="000000" w:themeColor="text1"/>
          <w:sz w:val="16"/>
          <w:szCs w:val="18"/>
        </w:rPr>
        <w:t xml:space="preserve"> Ibid.</w:t>
      </w:r>
    </w:p>
  </w:footnote>
  <w:footnote w:id="150">
    <w:p w14:paraId="39112C33"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2015. Statistiques de Genre: Comprendre pour mieux agir</w:t>
      </w:r>
    </w:p>
  </w:footnote>
  <w:footnote w:id="151">
    <w:p w14:paraId="62D95FFD"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2014. Politique d’égalité femmes hommes 2014-2034</w:t>
      </w:r>
    </w:p>
  </w:footnote>
  <w:footnote w:id="152">
    <w:p w14:paraId="48446758" w14:textId="77777777" w:rsidR="00013DC5" w:rsidRPr="00C65A85" w:rsidRDefault="00013DC5" w:rsidP="00C25FA5">
      <w:pPr>
        <w:pStyle w:val="FootnoteRefGenderAssessment"/>
      </w:pPr>
      <w:r w:rsidRPr="00C65A85">
        <w:rPr>
          <w:rStyle w:val="FootnoteReference"/>
        </w:rPr>
        <w:footnoteRef/>
      </w:r>
      <w:r w:rsidRPr="00C65A85">
        <w:t xml:space="preserve"> </w:t>
      </w:r>
      <w:r w:rsidRPr="00C65A85">
        <w:rPr>
          <w:shd w:val="clear" w:color="auto" w:fill="FFFFFF"/>
        </w:rPr>
        <w:t>Ref 39 from shadow report - verify Inter-American Commission for Human Rights.</w:t>
      </w:r>
    </w:p>
  </w:footnote>
  <w:footnote w:id="153">
    <w:p w14:paraId="033D6D2B" w14:textId="77777777" w:rsidR="00013DC5" w:rsidRPr="00C65A85" w:rsidRDefault="00013DC5" w:rsidP="00C25FA5">
      <w:pPr>
        <w:pStyle w:val="FootnoteRefGenderAssessment"/>
      </w:pPr>
      <w:r w:rsidRPr="00C65A85">
        <w:rPr>
          <w:rStyle w:val="FootnoteReference"/>
        </w:rPr>
        <w:footnoteRef/>
      </w:r>
      <w:r w:rsidRPr="00C65A85">
        <w:t xml:space="preserve"> HRW (2018) Accessed May 2018, Available at: From https://www.hrw.org/world-report/2018/country-chapters/haiti</w:t>
      </w:r>
    </w:p>
  </w:footnote>
  <w:footnote w:id="154">
    <w:p w14:paraId="6691C80F" w14:textId="77777777" w:rsidR="00013DC5" w:rsidRPr="00C65A85" w:rsidRDefault="00013DC5" w:rsidP="00C25FA5">
      <w:pPr>
        <w:pStyle w:val="FootnoteRefGenderAssessment"/>
      </w:pPr>
      <w:r w:rsidRPr="00C65A85">
        <w:rPr>
          <w:rStyle w:val="FootnoteReference"/>
        </w:rPr>
        <w:footnoteRef/>
      </w:r>
      <w:r w:rsidRPr="00C65A85">
        <w:t xml:space="preserve"> HRW (2018) Accessed May 2018, Available at: From https://www.hrw.org/world-report/2018/country-chapters/haiti</w:t>
      </w:r>
    </w:p>
  </w:footnote>
  <w:footnote w:id="155">
    <w:p w14:paraId="01B4E58F"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2014. Politique d’égalité femmes hommes 2014-2034 (HRW website)</w:t>
      </w:r>
    </w:p>
  </w:footnote>
  <w:footnote w:id="156">
    <w:p w14:paraId="13D75DF8" w14:textId="77777777" w:rsidR="00013DC5" w:rsidRPr="00C65A85" w:rsidRDefault="00013DC5" w:rsidP="00C25FA5">
      <w:pPr>
        <w:pStyle w:val="FootnoteRefGenderAssessment"/>
      </w:pPr>
      <w:r w:rsidRPr="00C65A85">
        <w:rPr>
          <w:rStyle w:val="FootnoteReference"/>
        </w:rPr>
        <w:footnoteRef/>
      </w:r>
      <w:r w:rsidRPr="00C65A85">
        <w:t xml:space="preserve"> USAID and MCFDF</w:t>
      </w:r>
    </w:p>
  </w:footnote>
  <w:footnote w:id="157">
    <w:p w14:paraId="483C9D5B" w14:textId="77777777" w:rsidR="00013DC5" w:rsidRPr="00C65A85" w:rsidRDefault="00013DC5" w:rsidP="00C25FA5">
      <w:pPr>
        <w:pStyle w:val="FootnoteRefGenderAssessment"/>
      </w:pPr>
      <w:r w:rsidRPr="00C65A85">
        <w:rPr>
          <w:rStyle w:val="FootnoteReference"/>
        </w:rPr>
        <w:footnoteRef/>
      </w:r>
      <w:r w:rsidRPr="00C65A85">
        <w:t xml:space="preserve"> Shadow report</w:t>
      </w:r>
    </w:p>
  </w:footnote>
  <w:footnote w:id="158">
    <w:p w14:paraId="586D879F" w14:textId="77777777" w:rsidR="00013DC5" w:rsidRPr="00C65A85" w:rsidRDefault="00013DC5" w:rsidP="00C25FA5">
      <w:pPr>
        <w:pStyle w:val="FootnoteRefGenderAssessment"/>
      </w:pPr>
      <w:r w:rsidRPr="00C65A85">
        <w:rPr>
          <w:rStyle w:val="FootnoteReference"/>
        </w:rPr>
        <w:footnoteRef/>
      </w:r>
      <w:r w:rsidRPr="00C65A85">
        <w:t xml:space="preserve"> USAID – feed the future</w:t>
      </w:r>
    </w:p>
  </w:footnote>
  <w:footnote w:id="159">
    <w:p w14:paraId="7CF8B740" w14:textId="77777777" w:rsidR="00013DC5" w:rsidRPr="00C65A85" w:rsidRDefault="00013DC5" w:rsidP="00C25FA5">
      <w:pPr>
        <w:pStyle w:val="FootnoteRefGenderAssessment"/>
      </w:pPr>
      <w:r w:rsidRPr="00C65A85">
        <w:rPr>
          <w:rStyle w:val="FootnoteReference"/>
        </w:rPr>
        <w:footnoteRef/>
      </w:r>
      <w:r w:rsidRPr="00C65A85">
        <w:t xml:space="preserve"> FAOSTAT</w:t>
      </w:r>
      <w:r>
        <w:t>=</w:t>
      </w:r>
    </w:p>
  </w:footnote>
  <w:footnote w:id="160">
    <w:p w14:paraId="6C9AFFF1" w14:textId="77777777" w:rsidR="00013DC5" w:rsidRPr="00C65A85" w:rsidRDefault="00013DC5" w:rsidP="00C25FA5">
      <w:pPr>
        <w:pStyle w:val="FootnoteRefGenderAssessment"/>
      </w:pPr>
      <w:r w:rsidRPr="00C65A85">
        <w:rPr>
          <w:rStyle w:val="FootnoteReference"/>
        </w:rPr>
        <w:footnoteRef/>
      </w:r>
      <w:r w:rsidRPr="00C65A85">
        <w:t xml:space="preserve"> Feed the future (2016)</w:t>
      </w:r>
    </w:p>
  </w:footnote>
  <w:footnote w:id="161">
    <w:p w14:paraId="1159BDC2" w14:textId="77777777" w:rsidR="00013DC5" w:rsidRPr="00C65A85" w:rsidRDefault="00013DC5" w:rsidP="00C25FA5">
      <w:pPr>
        <w:pStyle w:val="FootnoteRefGenderAssessment"/>
      </w:pPr>
      <w:r w:rsidRPr="00C65A85">
        <w:rPr>
          <w:rStyle w:val="FootnoteReference"/>
        </w:rPr>
        <w:footnoteRef/>
      </w:r>
      <w:r w:rsidRPr="00C65A85">
        <w:t xml:space="preserve"> REF 160 from USAID 2016</w:t>
      </w:r>
    </w:p>
  </w:footnote>
  <w:footnote w:id="162">
    <w:p w14:paraId="3AD18309" w14:textId="77777777" w:rsidR="00013DC5" w:rsidRPr="00C65A85" w:rsidRDefault="00013DC5" w:rsidP="00C25FA5">
      <w:pPr>
        <w:pStyle w:val="FootnoteRefGenderAssessment"/>
      </w:pPr>
      <w:r w:rsidRPr="00C65A85">
        <w:rPr>
          <w:rStyle w:val="FootnoteReference"/>
        </w:rPr>
        <w:footnoteRef/>
      </w:r>
      <w:r w:rsidRPr="00C65A85">
        <w:t xml:space="preserve"> MCFDF </w:t>
      </w:r>
    </w:p>
  </w:footnote>
  <w:footnote w:id="163">
    <w:p w14:paraId="129CB5A8" w14:textId="77777777" w:rsidR="00013DC5" w:rsidRPr="00C65A85" w:rsidRDefault="00013DC5" w:rsidP="00C25FA5">
      <w:pPr>
        <w:pStyle w:val="FootnoteRefGenderAssessment"/>
      </w:pPr>
      <w:r w:rsidRPr="00C65A85">
        <w:rPr>
          <w:rStyle w:val="FootnoteReference"/>
        </w:rPr>
        <w:footnoteRef/>
      </w:r>
      <w:r w:rsidRPr="00C65A85">
        <w:t xml:space="preserve"> FAOSTA</w:t>
      </w:r>
      <w:r>
        <w:t>T</w:t>
      </w:r>
    </w:p>
  </w:footnote>
  <w:footnote w:id="164">
    <w:p w14:paraId="20F1A927" w14:textId="77777777" w:rsidR="00013DC5" w:rsidRPr="00C65A85" w:rsidRDefault="00013DC5" w:rsidP="00C25FA5">
      <w:pPr>
        <w:pStyle w:val="FootnoteRefGenderAssessment"/>
      </w:pPr>
      <w:r w:rsidRPr="00C65A85">
        <w:rPr>
          <w:rStyle w:val="FootnoteReference"/>
        </w:rPr>
        <w:footnoteRef/>
      </w:r>
      <w:r w:rsidRPr="00C65A85">
        <w:t xml:space="preserve"> Shadow Report (2011)</w:t>
      </w:r>
    </w:p>
  </w:footnote>
  <w:footnote w:id="165">
    <w:p w14:paraId="71F2FCB4" w14:textId="77777777" w:rsidR="00013DC5" w:rsidRPr="00C65A85" w:rsidRDefault="00013DC5" w:rsidP="00C25FA5">
      <w:pPr>
        <w:pStyle w:val="FootnoteRefGenderAssessment"/>
      </w:pPr>
      <w:r w:rsidRPr="00C65A85">
        <w:rPr>
          <w:rStyle w:val="FootnoteReference"/>
        </w:rPr>
        <w:footnoteRef/>
      </w:r>
      <w:r w:rsidRPr="00C65A85">
        <w:t xml:space="preserve"> Shadow Report (2011)</w:t>
      </w:r>
    </w:p>
  </w:footnote>
  <w:footnote w:id="166">
    <w:p w14:paraId="11D586CC" w14:textId="77777777" w:rsidR="00013DC5" w:rsidRPr="00C65A85" w:rsidRDefault="00013DC5" w:rsidP="00C25FA5">
      <w:pPr>
        <w:pStyle w:val="FootnoteRefGenderAssessment"/>
      </w:pPr>
      <w:r w:rsidRPr="00C65A85">
        <w:rPr>
          <w:rStyle w:val="FootnoteReference"/>
        </w:rPr>
        <w:footnoteRef/>
      </w:r>
      <w:r w:rsidRPr="00C65A85">
        <w:t xml:space="preserve"> Shadow Report (2011)</w:t>
      </w:r>
    </w:p>
  </w:footnote>
  <w:footnote w:id="167">
    <w:p w14:paraId="47A0E7E5" w14:textId="77777777" w:rsidR="00013DC5" w:rsidRPr="00C65A85" w:rsidRDefault="00013DC5" w:rsidP="00C25FA5">
      <w:pPr>
        <w:pStyle w:val="FootnoteRefGenderAssessment"/>
      </w:pPr>
      <w:r w:rsidRPr="00C65A85">
        <w:rPr>
          <w:rStyle w:val="FootnoteReference"/>
        </w:rPr>
        <w:footnoteRef/>
      </w:r>
      <w:r w:rsidRPr="00C65A85">
        <w:t xml:space="preserve"> Oxfam. (2012). PLANTING NOW: Revitalizing Agriculture for Reconstruction and Development in Haiti. Briefing Paper. Port-au-Prince, Haiti. Oxfam. Retrieved from https://www.oxfam.org/en/research/planting-now-2nd-edition</w:t>
      </w:r>
    </w:p>
  </w:footnote>
  <w:footnote w:id="168">
    <w:p w14:paraId="02ED2758" w14:textId="77777777" w:rsidR="00013DC5" w:rsidRPr="00C65A85" w:rsidRDefault="00013DC5" w:rsidP="00C25FA5">
      <w:pPr>
        <w:pStyle w:val="FootnoteRefGenderAssessment"/>
      </w:pPr>
      <w:r w:rsidRPr="00C65A85">
        <w:rPr>
          <w:rStyle w:val="FootnoteReference"/>
        </w:rPr>
        <w:footnoteRef/>
      </w:r>
      <w:r w:rsidRPr="00C65A85">
        <w:t xml:space="preserve"> USAID (2016) – citing </w:t>
      </w:r>
      <w:r>
        <w:t>G</w:t>
      </w:r>
      <w:r w:rsidRPr="00C65A85">
        <w:t>ardella, 2006</w:t>
      </w:r>
    </w:p>
  </w:footnote>
  <w:footnote w:id="169">
    <w:p w14:paraId="5F0B04B4" w14:textId="77777777" w:rsidR="00013DC5" w:rsidRPr="00C65A85" w:rsidRDefault="00013DC5" w:rsidP="00C25FA5">
      <w:pPr>
        <w:pStyle w:val="FootnoteRefGenderAssessment"/>
        <w:rPr>
          <w:rFonts w:ascii="Times" w:eastAsiaTheme="minorHAnsi" w:hAnsi="Times" w:cs="Times"/>
        </w:rPr>
      </w:pPr>
      <w:r w:rsidRPr="00C65A85">
        <w:rPr>
          <w:rStyle w:val="FootnoteReference"/>
        </w:rPr>
        <w:footnoteRef/>
      </w:r>
      <w:r w:rsidRPr="00C65A85">
        <w:t xml:space="preserve"> Feed the future (2016) </w:t>
      </w:r>
    </w:p>
  </w:footnote>
  <w:footnote w:id="170">
    <w:p w14:paraId="44C04DE7" w14:textId="77777777" w:rsidR="00013DC5" w:rsidRPr="00C65A85" w:rsidRDefault="00013DC5" w:rsidP="00C25FA5">
      <w:pPr>
        <w:pStyle w:val="FootnoteRefGenderAssessment"/>
      </w:pPr>
      <w:r w:rsidRPr="00C65A85">
        <w:rPr>
          <w:rStyle w:val="FootnoteReference"/>
        </w:rPr>
        <w:footnoteRef/>
      </w:r>
      <w:r w:rsidRPr="00C65A85">
        <w:t xml:space="preserve"> Feed the future</w:t>
      </w:r>
    </w:p>
  </w:footnote>
  <w:footnote w:id="171">
    <w:p w14:paraId="20795F9A" w14:textId="77777777" w:rsidR="00013DC5" w:rsidRPr="00C65A85" w:rsidRDefault="00013DC5" w:rsidP="00C25FA5">
      <w:pPr>
        <w:pStyle w:val="FootnoteRefGenderAssessment"/>
      </w:pPr>
      <w:r w:rsidRPr="00C65A85">
        <w:rPr>
          <w:rStyle w:val="FootnoteReference"/>
        </w:rPr>
        <w:footnoteRef/>
      </w:r>
      <w:r w:rsidRPr="00C65A85">
        <w:t xml:space="preserve"> </w:t>
      </w:r>
      <w:r>
        <w:t>Sh</w:t>
      </w:r>
      <w:r w:rsidRPr="00C65A85">
        <w:t xml:space="preserve">adow report (2011) </w:t>
      </w:r>
    </w:p>
  </w:footnote>
  <w:footnote w:id="172">
    <w:p w14:paraId="6B5551C3"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Shadow report (2011) </w:t>
      </w:r>
    </w:p>
  </w:footnote>
  <w:footnote w:id="173">
    <w:p w14:paraId="432E963B" w14:textId="77777777" w:rsidR="00013DC5" w:rsidRPr="00C65A85" w:rsidRDefault="00013DC5" w:rsidP="00C25FA5">
      <w:pPr>
        <w:pStyle w:val="FootnoteRefGenderAssessment"/>
        <w:rPr>
          <w:lang w:val="fr-CA"/>
        </w:rPr>
      </w:pPr>
      <w:r>
        <w:rPr>
          <w:rStyle w:val="FootnoteReference"/>
        </w:rPr>
        <w:footnoteRef/>
      </w:r>
      <w:r w:rsidRPr="00E908B7">
        <w:rPr>
          <w:lang w:val="fr-FR"/>
        </w:rPr>
        <w:t xml:space="preserve"> </w:t>
      </w:r>
      <w:r>
        <w:rPr>
          <w:lang w:val="fr-CA"/>
        </w:rPr>
        <w:t>USAID (2016)</w:t>
      </w:r>
    </w:p>
  </w:footnote>
  <w:footnote w:id="174">
    <w:p w14:paraId="6D4640F4"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2014. Politique d’égalité femmes hommes 2014-2034</w:t>
      </w:r>
    </w:p>
  </w:footnote>
  <w:footnote w:id="175">
    <w:p w14:paraId="3B36C395" w14:textId="77777777" w:rsidR="00013DC5" w:rsidRPr="00C65A85" w:rsidRDefault="00013DC5" w:rsidP="00C25FA5">
      <w:pPr>
        <w:pStyle w:val="FootnoteRefGenderAssessment"/>
      </w:pPr>
      <w:r w:rsidRPr="00C65A85">
        <w:rPr>
          <w:rStyle w:val="FootnoteReference"/>
        </w:rPr>
        <w:footnoteRef/>
      </w:r>
      <w:r w:rsidRPr="00C65A85">
        <w:t xml:space="preserve"> USAID (2016)</w:t>
      </w:r>
    </w:p>
  </w:footnote>
  <w:footnote w:id="176">
    <w:p w14:paraId="3EF9F72E" w14:textId="77777777" w:rsidR="00013DC5" w:rsidRPr="00C65A85" w:rsidRDefault="00013DC5" w:rsidP="00C25FA5">
      <w:pPr>
        <w:pStyle w:val="FootnoteRefGenderAssessment"/>
      </w:pPr>
      <w:r w:rsidRPr="00C65A85">
        <w:rPr>
          <w:rStyle w:val="FootnoteReference"/>
        </w:rPr>
        <w:footnoteRef/>
      </w:r>
      <w:r w:rsidRPr="00C65A85">
        <w:t xml:space="preserve"> Oxfam (2012) planting now</w:t>
      </w:r>
    </w:p>
  </w:footnote>
  <w:footnote w:id="177">
    <w:p w14:paraId="168C8790" w14:textId="77777777" w:rsidR="00013DC5" w:rsidRPr="00C65A85" w:rsidRDefault="00013DC5" w:rsidP="00C25FA5">
      <w:pPr>
        <w:pStyle w:val="FootnoteRefGenderAssessment"/>
      </w:pPr>
      <w:r w:rsidRPr="00C65A85">
        <w:rPr>
          <w:rStyle w:val="FootnoteReference"/>
        </w:rPr>
        <w:footnoteRef/>
      </w:r>
      <w:r w:rsidRPr="00C65A85">
        <w:t xml:space="preserve"> Feed the future (2016)</w:t>
      </w:r>
    </w:p>
  </w:footnote>
  <w:footnote w:id="178">
    <w:p w14:paraId="28396FB6" w14:textId="77777777" w:rsidR="00013DC5" w:rsidRPr="002E0AE0" w:rsidRDefault="00013DC5" w:rsidP="00C25FA5">
      <w:pPr>
        <w:pStyle w:val="FootnoteRefGenderAssessment"/>
        <w:rPr>
          <w:lang w:val="es-PA"/>
        </w:rPr>
      </w:pPr>
      <w:r w:rsidRPr="00C65A85">
        <w:rPr>
          <w:rStyle w:val="FootnoteReference"/>
        </w:rPr>
        <w:footnoteRef/>
      </w:r>
      <w:r w:rsidRPr="002E0AE0">
        <w:rPr>
          <w:lang w:val="es-PA"/>
        </w:rPr>
        <w:t xml:space="preserve"> FAO (2010) – FRA</w:t>
      </w:r>
    </w:p>
  </w:footnote>
  <w:footnote w:id="179">
    <w:p w14:paraId="3E7F6F23" w14:textId="77777777" w:rsidR="00013DC5" w:rsidRPr="002E0AE0" w:rsidRDefault="00013DC5" w:rsidP="00C25FA5">
      <w:pPr>
        <w:pStyle w:val="FootnoteRefGenderAssessment"/>
        <w:rPr>
          <w:lang w:val="es-PA"/>
        </w:rPr>
      </w:pPr>
      <w:r w:rsidRPr="00C65A85">
        <w:rPr>
          <w:rStyle w:val="FootnoteReference"/>
        </w:rPr>
        <w:footnoteRef/>
      </w:r>
      <w:r w:rsidRPr="002E0AE0">
        <w:rPr>
          <w:lang w:val="es-PA"/>
        </w:rPr>
        <w:t xml:space="preserve"> FAO (2015) - FRA</w:t>
      </w:r>
    </w:p>
  </w:footnote>
  <w:footnote w:id="180">
    <w:p w14:paraId="39D75946" w14:textId="77777777" w:rsidR="00013DC5" w:rsidRPr="00C65A85" w:rsidRDefault="00013DC5" w:rsidP="00C25FA5">
      <w:pPr>
        <w:pStyle w:val="FootnoteRefGenderAssessment"/>
      </w:pPr>
      <w:r w:rsidRPr="00C65A85">
        <w:rPr>
          <w:rStyle w:val="FootnoteReference"/>
        </w:rPr>
        <w:footnoteRef/>
      </w:r>
      <w:r w:rsidRPr="002E0AE0">
        <w:rPr>
          <w:lang w:val="es-PA"/>
        </w:rPr>
        <w:t xml:space="preserve"> Churches et al. </w:t>
      </w:r>
      <w:r w:rsidRPr="00C65A85">
        <w:t>(2014)</w:t>
      </w:r>
    </w:p>
  </w:footnote>
  <w:footnote w:id="181">
    <w:p w14:paraId="158897D1" w14:textId="77777777" w:rsidR="00013DC5" w:rsidRPr="00C65A85" w:rsidRDefault="00013DC5" w:rsidP="00C25FA5">
      <w:pPr>
        <w:pStyle w:val="FootnoteRefGenderAssessment"/>
      </w:pPr>
      <w:r w:rsidRPr="00C65A85">
        <w:rPr>
          <w:rStyle w:val="FootnoteReference"/>
        </w:rPr>
        <w:footnoteRef/>
      </w:r>
      <w:r w:rsidRPr="00C65A85">
        <w:t xml:space="preserve"> CIAT (2011) – coffee value chains</w:t>
      </w:r>
    </w:p>
  </w:footnote>
  <w:footnote w:id="182">
    <w:p w14:paraId="3434E80C" w14:textId="77777777" w:rsidR="00013DC5" w:rsidRPr="00C65A85" w:rsidRDefault="00013DC5" w:rsidP="00C25FA5">
      <w:pPr>
        <w:pStyle w:val="FootnoteRefGenderAssessment"/>
      </w:pPr>
      <w:r w:rsidRPr="00C65A85">
        <w:rPr>
          <w:rStyle w:val="FootnoteReference"/>
        </w:rPr>
        <w:footnoteRef/>
      </w:r>
      <w:r w:rsidRPr="00C65A85">
        <w:t xml:space="preserve"> EMMUS (2012) – from USAID (2016)</w:t>
      </w:r>
    </w:p>
  </w:footnote>
  <w:footnote w:id="183">
    <w:p w14:paraId="6CB6D3E5" w14:textId="77777777" w:rsidR="00013DC5" w:rsidRPr="00C65A85" w:rsidRDefault="00013DC5" w:rsidP="00C25FA5">
      <w:pPr>
        <w:pStyle w:val="FootnoteRefGenderAssessment"/>
      </w:pPr>
      <w:r w:rsidRPr="00C65A85">
        <w:rPr>
          <w:rStyle w:val="FootnoteReference"/>
        </w:rPr>
        <w:footnoteRef/>
      </w:r>
      <w:r w:rsidRPr="00C65A85">
        <w:t xml:space="preserve"> FAO (from http://www.haitilibre.com/article-17656-haiti-environnement-l-onu-appelle-haiti-aux-bonnes-pratiques-environnementales-et-agricoles.html</w:t>
      </w:r>
    </w:p>
  </w:footnote>
  <w:footnote w:id="184">
    <w:p w14:paraId="3CEBF998" w14:textId="77777777" w:rsidR="00013DC5" w:rsidRPr="00C65A85" w:rsidRDefault="00013DC5" w:rsidP="00C25FA5">
      <w:pPr>
        <w:pStyle w:val="FootnoteRefGenderAssessment"/>
      </w:pPr>
      <w:r w:rsidRPr="00C65A85">
        <w:rPr>
          <w:rStyle w:val="FootnoteReference"/>
        </w:rPr>
        <w:footnoteRef/>
      </w:r>
      <w:r w:rsidRPr="00C65A85">
        <w:t xml:space="preserve"> UNEP (2016) Charcoal report</w:t>
      </w:r>
    </w:p>
  </w:footnote>
  <w:footnote w:id="185">
    <w:p w14:paraId="43D30A5E" w14:textId="77777777" w:rsidR="00013DC5" w:rsidRPr="00C65A85" w:rsidRDefault="00013DC5" w:rsidP="00C25FA5">
      <w:pPr>
        <w:pStyle w:val="FootnoteRefGenderAssessment"/>
      </w:pPr>
      <w:r w:rsidRPr="00C65A85">
        <w:rPr>
          <w:rStyle w:val="FootnoteReference"/>
        </w:rPr>
        <w:footnoteRef/>
      </w:r>
      <w:r w:rsidRPr="00C65A85">
        <w:t xml:space="preserve"> UNEP (2016) – charcoal report</w:t>
      </w:r>
    </w:p>
  </w:footnote>
  <w:footnote w:id="186">
    <w:p w14:paraId="1241A34D" w14:textId="77777777" w:rsidR="00013DC5" w:rsidRPr="00C65A85" w:rsidRDefault="00013DC5" w:rsidP="00C25FA5">
      <w:pPr>
        <w:pStyle w:val="FootnoteRefGenderAssessment"/>
      </w:pPr>
      <w:r w:rsidRPr="00C65A85">
        <w:rPr>
          <w:rStyle w:val="FootnoteReference"/>
        </w:rPr>
        <w:footnoteRef/>
      </w:r>
      <w:r w:rsidRPr="00C65A85">
        <w:t xml:space="preserve"> See: https://haitiliberte.com/charcoal-is-not-the-cause-of-haitis-deforestation/</w:t>
      </w:r>
    </w:p>
  </w:footnote>
  <w:footnote w:id="187">
    <w:p w14:paraId="7B226AB4" w14:textId="77777777" w:rsidR="00013DC5" w:rsidRPr="00C65A85" w:rsidRDefault="00013DC5" w:rsidP="00C25FA5">
      <w:pPr>
        <w:pStyle w:val="FootnoteRefGenderAssessment"/>
      </w:pPr>
      <w:r w:rsidRPr="00C65A85">
        <w:rPr>
          <w:rStyle w:val="FootnoteReference"/>
        </w:rPr>
        <w:footnoteRef/>
      </w:r>
      <w:r w:rsidRPr="00C65A85">
        <w:t xml:space="preserve"> Canada-UNDP (2017)</w:t>
      </w:r>
    </w:p>
  </w:footnote>
  <w:footnote w:id="188">
    <w:p w14:paraId="72648242" w14:textId="77777777" w:rsidR="00013DC5" w:rsidRPr="00C65A85" w:rsidRDefault="00013DC5" w:rsidP="00C25FA5">
      <w:pPr>
        <w:pStyle w:val="FootnoteRefGenderAssessment"/>
      </w:pPr>
      <w:r w:rsidRPr="00C65A85">
        <w:rPr>
          <w:rStyle w:val="FootnoteReference"/>
        </w:rPr>
        <w:footnoteRef/>
      </w:r>
      <w:r w:rsidRPr="00C65A85">
        <w:t xml:space="preserve"> See for example: Tarter (2015)</w:t>
      </w:r>
    </w:p>
  </w:footnote>
  <w:footnote w:id="189">
    <w:p w14:paraId="14E61C62" w14:textId="77777777" w:rsidR="00013DC5" w:rsidRPr="00C65A85" w:rsidRDefault="00013DC5" w:rsidP="00C25FA5">
      <w:pPr>
        <w:pStyle w:val="FootnoteRefGenderAssessment"/>
      </w:pPr>
      <w:r w:rsidRPr="00C65A85">
        <w:rPr>
          <w:rStyle w:val="FootnoteReference"/>
        </w:rPr>
        <w:footnoteRef/>
      </w:r>
      <w:r w:rsidRPr="00C65A85">
        <w:t xml:space="preserve"> USAID (2016) – gender assessment</w:t>
      </w:r>
    </w:p>
  </w:footnote>
  <w:footnote w:id="190">
    <w:p w14:paraId="5ADB9F8F" w14:textId="77777777" w:rsidR="00013DC5" w:rsidRPr="00C65A85" w:rsidRDefault="00013DC5" w:rsidP="00C25FA5">
      <w:pPr>
        <w:pStyle w:val="FootnoteRefGenderAssessment"/>
      </w:pPr>
      <w:r w:rsidRPr="00C65A85">
        <w:rPr>
          <w:rStyle w:val="FootnoteReference"/>
        </w:rPr>
        <w:footnoteRef/>
      </w:r>
      <w:r w:rsidRPr="00C65A85">
        <w:t xml:space="preserve"> UNEP</w:t>
      </w:r>
    </w:p>
  </w:footnote>
  <w:footnote w:id="191">
    <w:p w14:paraId="3685277D" w14:textId="77777777" w:rsidR="00013DC5" w:rsidRPr="00C65A85" w:rsidRDefault="00013DC5" w:rsidP="00C25FA5">
      <w:pPr>
        <w:pStyle w:val="FootnoteRefGenderAssessment"/>
      </w:pPr>
      <w:r w:rsidRPr="00C65A85">
        <w:rPr>
          <w:rStyle w:val="FootnoteReference"/>
        </w:rPr>
        <w:footnoteRef/>
      </w:r>
      <w:r w:rsidRPr="00C65A85">
        <w:t xml:space="preserve"> MCFDF – which one? (Check Ref 91 in this document)</w:t>
      </w:r>
    </w:p>
  </w:footnote>
  <w:footnote w:id="192">
    <w:p w14:paraId="2D48A786" w14:textId="77777777" w:rsidR="00013DC5" w:rsidRPr="00C65A85" w:rsidRDefault="00013DC5" w:rsidP="00C25FA5">
      <w:pPr>
        <w:pStyle w:val="FootnoteRefGenderAssessment"/>
      </w:pPr>
      <w:r w:rsidRPr="00C65A85">
        <w:rPr>
          <w:rStyle w:val="FootnoteReference"/>
        </w:rPr>
        <w:footnoteRef/>
      </w:r>
      <w:r w:rsidRPr="00C65A85">
        <w:t xml:space="preserve"> UNFPA (2017)</w:t>
      </w:r>
    </w:p>
  </w:footnote>
  <w:footnote w:id="193">
    <w:p w14:paraId="574F9399" w14:textId="77777777" w:rsidR="00013DC5" w:rsidRPr="00C65A85" w:rsidRDefault="00013DC5" w:rsidP="00C25FA5">
      <w:pPr>
        <w:pStyle w:val="FootnoteRefGenderAssessment"/>
      </w:pPr>
      <w:r w:rsidRPr="00C65A85">
        <w:rPr>
          <w:rStyle w:val="FootnoteReference"/>
        </w:rPr>
        <w:footnoteRef/>
      </w:r>
      <w:r w:rsidRPr="00C65A85">
        <w:t xml:space="preserve"> FAO (n.d.) – land rights database</w:t>
      </w:r>
    </w:p>
  </w:footnote>
  <w:footnote w:id="194">
    <w:p w14:paraId="22DE3F35" w14:textId="77777777" w:rsidR="00013DC5" w:rsidRPr="00C65A85" w:rsidRDefault="00013DC5" w:rsidP="00C25FA5">
      <w:pPr>
        <w:pStyle w:val="FootnoteRefGenderAssessment"/>
      </w:pPr>
      <w:r w:rsidRPr="00C65A85">
        <w:rPr>
          <w:rStyle w:val="FootnoteReference"/>
        </w:rPr>
        <w:footnoteRef/>
      </w:r>
      <w:r w:rsidRPr="00C65A85">
        <w:t xml:space="preserve"> FAO (n.d.) – landrights database</w:t>
      </w:r>
    </w:p>
  </w:footnote>
  <w:footnote w:id="195">
    <w:p w14:paraId="432B99F0" w14:textId="77777777" w:rsidR="00013DC5" w:rsidRPr="00C65A85" w:rsidRDefault="00013DC5" w:rsidP="00C25FA5">
      <w:pPr>
        <w:pStyle w:val="FootnoteRefGenderAssessment"/>
      </w:pPr>
      <w:r w:rsidRPr="00C65A85">
        <w:rPr>
          <w:rStyle w:val="FootnoteReference"/>
        </w:rPr>
        <w:footnoteRef/>
      </w:r>
      <w:r w:rsidRPr="00C65A85">
        <w:t xml:space="preserve"> USAID (2015) – ICTP report</w:t>
      </w:r>
    </w:p>
  </w:footnote>
  <w:footnote w:id="196">
    <w:p w14:paraId="7ABD632D" w14:textId="77777777" w:rsidR="00013DC5" w:rsidRPr="00C65A85" w:rsidRDefault="00013DC5" w:rsidP="00C25FA5">
      <w:pPr>
        <w:pStyle w:val="FootnoteRefGenderAssessment"/>
      </w:pPr>
      <w:r w:rsidRPr="00C65A85">
        <w:rPr>
          <w:rStyle w:val="FootnoteReference"/>
        </w:rPr>
        <w:footnoteRef/>
      </w:r>
      <w:r w:rsidRPr="00C65A85">
        <w:t xml:space="preserve"> </w:t>
      </w:r>
      <w:r w:rsidRPr="00C65A85">
        <w:rPr>
          <w:rFonts w:eastAsiaTheme="minorHAnsi"/>
        </w:rPr>
        <w:t>Arias, Brearly and Damais (2006) – verify source from CIAT 2011</w:t>
      </w:r>
    </w:p>
  </w:footnote>
  <w:footnote w:id="197">
    <w:p w14:paraId="4E92B121" w14:textId="77777777" w:rsidR="00013DC5" w:rsidRPr="00C65A85" w:rsidRDefault="00013DC5" w:rsidP="00C25FA5">
      <w:pPr>
        <w:pStyle w:val="FootnoteRefGenderAssessment"/>
      </w:pPr>
      <w:r w:rsidRPr="00C65A85">
        <w:rPr>
          <w:rStyle w:val="FootnoteReference"/>
        </w:rPr>
        <w:footnoteRef/>
      </w:r>
      <w:r w:rsidRPr="00C65A85">
        <w:t xml:space="preserve"> CIRAD (2016) </w:t>
      </w:r>
    </w:p>
  </w:footnote>
  <w:footnote w:id="198">
    <w:p w14:paraId="6CA21B86" w14:textId="77777777" w:rsidR="00013DC5" w:rsidRPr="00C65A85" w:rsidRDefault="00013DC5" w:rsidP="00C25FA5">
      <w:pPr>
        <w:pStyle w:val="FootnoteRefGenderAssessment"/>
      </w:pPr>
      <w:r w:rsidRPr="00C65A85">
        <w:rPr>
          <w:rStyle w:val="FootnoteReference"/>
        </w:rPr>
        <w:footnoteRef/>
      </w:r>
      <w:r w:rsidRPr="00C65A85">
        <w:t xml:space="preserve"> FAO (n.d.) – land rights database</w:t>
      </w:r>
    </w:p>
  </w:footnote>
  <w:footnote w:id="199">
    <w:p w14:paraId="2206CA09" w14:textId="77777777" w:rsidR="00013DC5" w:rsidRPr="00C65A85" w:rsidRDefault="00013DC5" w:rsidP="00C25FA5">
      <w:pPr>
        <w:pStyle w:val="FootnoteRefGenderAssessment"/>
      </w:pPr>
      <w:r w:rsidRPr="00C65A85">
        <w:rPr>
          <w:rStyle w:val="FootnoteReference"/>
        </w:rPr>
        <w:footnoteRef/>
      </w:r>
      <w:r w:rsidRPr="00C65A85">
        <w:t xml:space="preserve"> CIRAD (2016) </w:t>
      </w:r>
    </w:p>
  </w:footnote>
  <w:footnote w:id="200">
    <w:p w14:paraId="7981738A" w14:textId="77777777" w:rsidR="00013DC5" w:rsidRPr="00C65A85" w:rsidRDefault="00013DC5" w:rsidP="00C25FA5">
      <w:pPr>
        <w:pStyle w:val="FootnoteRefGenderAssessment"/>
      </w:pPr>
      <w:r w:rsidRPr="00C65A85">
        <w:rPr>
          <w:rStyle w:val="FootnoteReference"/>
        </w:rPr>
        <w:footnoteRef/>
      </w:r>
      <w:r w:rsidRPr="00C65A85">
        <w:t xml:space="preserve"> Gardella (2006) – from USAID (2016)</w:t>
      </w:r>
    </w:p>
  </w:footnote>
  <w:footnote w:id="201">
    <w:p w14:paraId="763A5EC7" w14:textId="77777777" w:rsidR="00013DC5" w:rsidRPr="00C65A85" w:rsidRDefault="00013DC5" w:rsidP="00C25FA5">
      <w:pPr>
        <w:pStyle w:val="FootnoteRefGenderAssessment"/>
      </w:pPr>
      <w:r w:rsidRPr="00C65A85">
        <w:rPr>
          <w:rStyle w:val="FootnoteReference"/>
        </w:rPr>
        <w:footnoteRef/>
      </w:r>
      <w:r w:rsidRPr="00C65A85">
        <w:t xml:space="preserve"> Feed the future (2016) </w:t>
      </w:r>
    </w:p>
  </w:footnote>
  <w:footnote w:id="202">
    <w:p w14:paraId="3852FCFE" w14:textId="77777777" w:rsidR="00013DC5" w:rsidRPr="00C65A85" w:rsidRDefault="00013DC5" w:rsidP="00C25FA5">
      <w:pPr>
        <w:pStyle w:val="FootnoteRefGenderAssessment"/>
      </w:pPr>
      <w:r w:rsidRPr="00C65A85">
        <w:rPr>
          <w:rStyle w:val="FootnoteReference"/>
        </w:rPr>
        <w:footnoteRef/>
      </w:r>
      <w:r w:rsidRPr="00C65A85">
        <w:t xml:space="preserve"> Feed the future (2016) </w:t>
      </w:r>
    </w:p>
  </w:footnote>
  <w:footnote w:id="203">
    <w:p w14:paraId="62C06A1F" w14:textId="77777777" w:rsidR="00013DC5" w:rsidRPr="00C65A85" w:rsidRDefault="00013DC5" w:rsidP="00C25FA5">
      <w:pPr>
        <w:pStyle w:val="FootnoteRefGenderAssessment"/>
      </w:pPr>
      <w:r w:rsidRPr="00C65A85">
        <w:rPr>
          <w:rStyle w:val="FootnoteReference"/>
        </w:rPr>
        <w:footnoteRef/>
      </w:r>
      <w:r w:rsidRPr="00C65A85">
        <w:t xml:space="preserve"> FAO (n.d.) – land rights database</w:t>
      </w:r>
    </w:p>
  </w:footnote>
  <w:footnote w:id="204">
    <w:p w14:paraId="0AB41CE7" w14:textId="77777777" w:rsidR="00013DC5" w:rsidRPr="00C65A85" w:rsidRDefault="00013DC5" w:rsidP="00C25FA5">
      <w:pPr>
        <w:pStyle w:val="FootnoteRefGenderAssessment"/>
      </w:pPr>
      <w:r w:rsidRPr="00C65A85">
        <w:rPr>
          <w:rStyle w:val="FootnoteReference"/>
        </w:rPr>
        <w:footnoteRef/>
      </w:r>
      <w:r w:rsidRPr="00C65A85">
        <w:t xml:space="preserve"> FAO (n.d.) – land rights database</w:t>
      </w:r>
    </w:p>
  </w:footnote>
  <w:footnote w:id="205">
    <w:p w14:paraId="3AC58423" w14:textId="77777777" w:rsidR="00013DC5" w:rsidRPr="00C65A85" w:rsidRDefault="00013DC5" w:rsidP="00C25FA5">
      <w:pPr>
        <w:pStyle w:val="FootnoteRefGenderAssessment"/>
      </w:pPr>
      <w:r w:rsidRPr="00C65A85">
        <w:rPr>
          <w:rStyle w:val="FootnoteReference"/>
        </w:rPr>
        <w:footnoteRef/>
      </w:r>
      <w:r w:rsidRPr="00C65A85">
        <w:t xml:space="preserve"> FAO (n.d.) – land rights database</w:t>
      </w:r>
    </w:p>
  </w:footnote>
  <w:footnote w:id="206">
    <w:p w14:paraId="466B11B9" w14:textId="77777777" w:rsidR="00013DC5" w:rsidRPr="00C65A85" w:rsidRDefault="00013DC5" w:rsidP="00C25FA5">
      <w:pPr>
        <w:pStyle w:val="FootnoteRefGenderAssessment"/>
      </w:pPr>
      <w:r w:rsidRPr="00C65A85">
        <w:rPr>
          <w:rStyle w:val="FootnoteReference"/>
        </w:rPr>
        <w:footnoteRef/>
      </w:r>
      <w:r w:rsidRPr="00C65A85">
        <w:t xml:space="preserve"> Feed the future (2016)</w:t>
      </w:r>
    </w:p>
  </w:footnote>
  <w:footnote w:id="207">
    <w:p w14:paraId="1493CC56" w14:textId="77777777" w:rsidR="00013DC5" w:rsidRPr="00C65A85" w:rsidRDefault="00013DC5" w:rsidP="00C25FA5">
      <w:pPr>
        <w:pStyle w:val="FootnoteRefGenderAssessment"/>
      </w:pPr>
      <w:r w:rsidRPr="00C65A85">
        <w:rPr>
          <w:rStyle w:val="FootnoteReference"/>
        </w:rPr>
        <w:footnoteRef/>
      </w:r>
      <w:r w:rsidRPr="00C65A85">
        <w:t xml:space="preserve"> http://www.rebuildingrespectforwomen.org/haiti.html</w:t>
      </w:r>
    </w:p>
  </w:footnote>
  <w:footnote w:id="208">
    <w:p w14:paraId="0512C8D3" w14:textId="77777777" w:rsidR="00013DC5" w:rsidRPr="00C65A85" w:rsidRDefault="00013DC5" w:rsidP="00C25FA5">
      <w:pPr>
        <w:pStyle w:val="FootnoteRefGenderAssessment"/>
      </w:pPr>
      <w:r w:rsidRPr="00C65A85">
        <w:rPr>
          <w:rStyle w:val="FootnoteReference"/>
        </w:rPr>
        <w:footnoteRef/>
      </w:r>
      <w:r w:rsidRPr="00C65A85">
        <w:t xml:space="preserve"> FAO (n.d.) – land rights database</w:t>
      </w:r>
    </w:p>
  </w:footnote>
  <w:footnote w:id="209">
    <w:p w14:paraId="3CAF085D" w14:textId="77777777" w:rsidR="00013DC5" w:rsidRPr="00C65A85" w:rsidRDefault="00013DC5" w:rsidP="00C25FA5">
      <w:pPr>
        <w:pStyle w:val="FootnoteRefGenderAssessment"/>
      </w:pPr>
      <w:r w:rsidRPr="00C65A85">
        <w:rPr>
          <w:rStyle w:val="FootnoteReference"/>
        </w:rPr>
        <w:footnoteRef/>
      </w:r>
      <w:r w:rsidRPr="00C65A85">
        <w:t xml:space="preserve"> USAID (2016)</w:t>
      </w:r>
    </w:p>
  </w:footnote>
  <w:footnote w:id="210">
    <w:p w14:paraId="21E0BD17" w14:textId="77777777" w:rsidR="00013DC5" w:rsidRPr="00C65A85" w:rsidRDefault="00013DC5" w:rsidP="00C25FA5">
      <w:pPr>
        <w:pStyle w:val="FootnoteRefGenderAssessment"/>
      </w:pPr>
      <w:r w:rsidRPr="00C65A85">
        <w:rPr>
          <w:rStyle w:val="FootnoteReference"/>
        </w:rPr>
        <w:footnoteRef/>
      </w:r>
      <w:r w:rsidRPr="00C65A85">
        <w:t xml:space="preserve"> USAID (2016)</w:t>
      </w:r>
    </w:p>
  </w:footnote>
  <w:footnote w:id="211">
    <w:p w14:paraId="45C2E503" w14:textId="77777777" w:rsidR="00013DC5" w:rsidRPr="00C65A85" w:rsidRDefault="00013DC5" w:rsidP="00C25FA5">
      <w:pPr>
        <w:pStyle w:val="FootnoteRefGenderAssessment"/>
      </w:pPr>
      <w:r w:rsidRPr="00C65A85">
        <w:rPr>
          <w:rStyle w:val="FootnoteReference"/>
        </w:rPr>
        <w:footnoteRef/>
      </w:r>
      <w:r w:rsidRPr="00C65A85">
        <w:t xml:space="preserve"> Shadow report (2011)</w:t>
      </w:r>
    </w:p>
  </w:footnote>
  <w:footnote w:id="212">
    <w:p w14:paraId="60D86CC5" w14:textId="77777777" w:rsidR="00013DC5" w:rsidRPr="00C65A85" w:rsidRDefault="00013DC5" w:rsidP="00C25FA5">
      <w:pPr>
        <w:pStyle w:val="FootnoteRefGenderAssessment"/>
      </w:pPr>
      <w:r w:rsidRPr="00C65A85">
        <w:rPr>
          <w:rStyle w:val="FootnoteReference"/>
        </w:rPr>
        <w:footnoteRef/>
      </w:r>
      <w:r w:rsidRPr="00C65A85">
        <w:t xml:space="preserve"> Shadow report (2011)</w:t>
      </w:r>
    </w:p>
  </w:footnote>
  <w:footnote w:id="213">
    <w:p w14:paraId="69D1A2BF" w14:textId="77777777" w:rsidR="00013DC5" w:rsidRPr="00C65A85" w:rsidRDefault="00013DC5" w:rsidP="00C25FA5">
      <w:pPr>
        <w:pStyle w:val="FootnoteRefGenderAssessment"/>
      </w:pPr>
      <w:r w:rsidRPr="00C65A85">
        <w:rPr>
          <w:rStyle w:val="FootnoteReference"/>
        </w:rPr>
        <w:footnoteRef/>
      </w:r>
      <w:r w:rsidRPr="00C65A85">
        <w:t xml:space="preserve"> Feed the future (2016) – check what their original reference was.</w:t>
      </w:r>
    </w:p>
  </w:footnote>
  <w:footnote w:id="214">
    <w:p w14:paraId="2A5D69C8" w14:textId="77777777" w:rsidR="00013DC5" w:rsidRPr="00E908B7" w:rsidRDefault="00013DC5" w:rsidP="00C25FA5">
      <w:pPr>
        <w:pStyle w:val="FootnoteRefGenderAssessment"/>
        <w:rPr>
          <w:lang w:val="fr-FR"/>
        </w:rPr>
      </w:pPr>
      <w:r w:rsidRPr="00C65A85">
        <w:rPr>
          <w:rStyle w:val="FootnoteReference"/>
        </w:rPr>
        <w:footnoteRef/>
      </w:r>
      <w:r w:rsidRPr="00E908B7">
        <w:rPr>
          <w:lang w:val="fr-FR"/>
        </w:rPr>
        <w:t xml:space="preserve"> The World Bank (2013 </w:t>
      </w:r>
    </w:p>
  </w:footnote>
  <w:footnote w:id="215">
    <w:p w14:paraId="5CAFE2D0"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MCFDF 2014. Politique d’égalité femmes hommes 2014-2034</w:t>
      </w:r>
    </w:p>
  </w:footnote>
  <w:footnote w:id="216">
    <w:p w14:paraId="629D3880" w14:textId="77777777" w:rsidR="00013DC5" w:rsidRPr="00C65A85" w:rsidRDefault="00013DC5" w:rsidP="00C25FA5">
      <w:pPr>
        <w:pStyle w:val="FootnoteRefGenderAssessment"/>
      </w:pPr>
      <w:r w:rsidRPr="00C65A85">
        <w:rPr>
          <w:rStyle w:val="FootnoteReference"/>
        </w:rPr>
        <w:footnoteRef/>
      </w:r>
      <w:r w:rsidRPr="00C65A85">
        <w:t xml:space="preserve"> USAID (2016)</w:t>
      </w:r>
    </w:p>
  </w:footnote>
  <w:footnote w:id="217">
    <w:p w14:paraId="448D78C4" w14:textId="77777777" w:rsidR="00013DC5" w:rsidRPr="00C65A85" w:rsidRDefault="00013DC5" w:rsidP="00C25FA5">
      <w:pPr>
        <w:pStyle w:val="FootnoteRefGenderAssessment"/>
      </w:pPr>
      <w:r w:rsidRPr="00C65A85">
        <w:rPr>
          <w:rStyle w:val="FootnoteReference"/>
        </w:rPr>
        <w:footnoteRef/>
      </w:r>
      <w:r w:rsidRPr="00C65A85">
        <w:t xml:space="preserve"> EMMUS (2012)</w:t>
      </w:r>
    </w:p>
  </w:footnote>
  <w:footnote w:id="218">
    <w:p w14:paraId="025ED11F" w14:textId="77777777" w:rsidR="00013DC5" w:rsidRPr="00C65A85" w:rsidRDefault="00013DC5" w:rsidP="00C25FA5">
      <w:pPr>
        <w:pStyle w:val="FootnoteRefGenderAssessment"/>
      </w:pPr>
      <w:r w:rsidRPr="00C65A85">
        <w:rPr>
          <w:rStyle w:val="FootnoteReference"/>
        </w:rPr>
        <w:footnoteRef/>
      </w:r>
      <w:r w:rsidRPr="00C65A85">
        <w:t xml:space="preserve"> EMMUS (2012)</w:t>
      </w:r>
    </w:p>
  </w:footnote>
  <w:footnote w:id="219">
    <w:p w14:paraId="0A89448B" w14:textId="77777777" w:rsidR="00013DC5" w:rsidRPr="00C65A85" w:rsidRDefault="00013DC5" w:rsidP="00C25FA5">
      <w:pPr>
        <w:pStyle w:val="FootnoteRefGenderAssessment"/>
      </w:pPr>
      <w:r w:rsidRPr="00C65A85">
        <w:rPr>
          <w:rStyle w:val="FootnoteReference"/>
        </w:rPr>
        <w:footnoteRef/>
      </w:r>
      <w:r w:rsidRPr="00C65A85">
        <w:t xml:space="preserve"> EMMUS (2012)</w:t>
      </w:r>
    </w:p>
  </w:footnote>
  <w:footnote w:id="220">
    <w:p w14:paraId="4F173767" w14:textId="77777777" w:rsidR="00013DC5" w:rsidRPr="00C65A85" w:rsidRDefault="00013DC5" w:rsidP="00C25FA5">
      <w:pPr>
        <w:pStyle w:val="FootnoteRefGenderAssessment"/>
      </w:pPr>
      <w:r w:rsidRPr="00C65A85">
        <w:rPr>
          <w:rStyle w:val="FootnoteReference"/>
        </w:rPr>
        <w:footnoteRef/>
      </w:r>
      <w:r w:rsidRPr="00C65A85">
        <w:t xml:space="preserve"> USAID (2016)</w:t>
      </w:r>
    </w:p>
  </w:footnote>
  <w:footnote w:id="221">
    <w:p w14:paraId="48B55003" w14:textId="77777777" w:rsidR="00013DC5" w:rsidRPr="00C65A85" w:rsidRDefault="00013DC5" w:rsidP="00C25FA5">
      <w:pPr>
        <w:pStyle w:val="FootnoteRefGenderAssessment"/>
      </w:pPr>
      <w:r w:rsidRPr="00C65A85">
        <w:rPr>
          <w:rStyle w:val="FootnoteReference"/>
        </w:rPr>
        <w:footnoteRef/>
      </w:r>
      <w:r w:rsidRPr="00C65A85">
        <w:t xml:space="preserve"> Republic of Haiti (2016) – UN report on HR commission</w:t>
      </w:r>
    </w:p>
  </w:footnote>
  <w:footnote w:id="222">
    <w:p w14:paraId="6ECB5954" w14:textId="77777777" w:rsidR="00013DC5" w:rsidRPr="00C65A85" w:rsidRDefault="00013DC5" w:rsidP="00C25FA5">
      <w:pPr>
        <w:pStyle w:val="FootnoteRefGenderAssessment"/>
      </w:pPr>
      <w:r w:rsidRPr="00C65A85">
        <w:rPr>
          <w:rStyle w:val="FootnoteReference"/>
        </w:rPr>
        <w:footnoteRef/>
      </w:r>
      <w:r w:rsidRPr="00C65A85">
        <w:t xml:space="preserve"> FROM PFS GENDER ASSESSMENT: Kay Fanm and SOFA - which mainly receive abused women and girls - Gheskio and Médecins sans Frontières / MSF France</w:t>
      </w:r>
    </w:p>
  </w:footnote>
  <w:footnote w:id="223">
    <w:p w14:paraId="0A2EEE58" w14:textId="77777777" w:rsidR="00013DC5" w:rsidRPr="00C65A85" w:rsidRDefault="00013DC5" w:rsidP="00C25FA5">
      <w:pPr>
        <w:pStyle w:val="FootnoteRefGenderAssessment"/>
      </w:pPr>
      <w:r w:rsidRPr="00C65A85">
        <w:rPr>
          <w:rStyle w:val="FootnoteReference"/>
        </w:rPr>
        <w:footnoteRef/>
      </w:r>
      <w:r w:rsidRPr="00C65A85">
        <w:t xml:space="preserve"> Shadow Report (2011)</w:t>
      </w:r>
    </w:p>
  </w:footnote>
  <w:footnote w:id="224">
    <w:p w14:paraId="457A5F24" w14:textId="77777777" w:rsidR="00013DC5" w:rsidRPr="00C65A85" w:rsidRDefault="00013DC5" w:rsidP="00C25FA5">
      <w:pPr>
        <w:pStyle w:val="FootnoteRefGenderAssessment"/>
      </w:pPr>
      <w:r w:rsidRPr="00C65A85">
        <w:rPr>
          <w:rStyle w:val="FootnoteReference"/>
        </w:rPr>
        <w:footnoteRef/>
      </w:r>
      <w:r w:rsidRPr="00C65A85">
        <w:t xml:space="preserve"> HRW (2018). Accessed May, 2018; updated in 2018; available at: https://www.hrw.org/world-report/2018/country-chapters/haiti</w:t>
      </w:r>
    </w:p>
  </w:footnote>
  <w:footnote w:id="225">
    <w:p w14:paraId="02A0B243"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USAID (2016)</w:t>
      </w:r>
    </w:p>
  </w:footnote>
  <w:footnote w:id="226">
    <w:p w14:paraId="69E36112" w14:textId="77777777"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Shadow report (2011)</w:t>
      </w:r>
    </w:p>
  </w:footnote>
  <w:footnote w:id="227">
    <w:p w14:paraId="530FDA3D" w14:textId="1B5FA648" w:rsidR="00013DC5" w:rsidRPr="00C65A85" w:rsidRDefault="00013DC5" w:rsidP="00C25FA5">
      <w:pPr>
        <w:pStyle w:val="FootnoteRefGenderAssessment"/>
        <w:rPr>
          <w:lang w:val="fr-CA"/>
        </w:rPr>
      </w:pPr>
      <w:r w:rsidRPr="00C65A85">
        <w:rPr>
          <w:rStyle w:val="FootnoteReference"/>
        </w:rPr>
        <w:footnoteRef/>
      </w:r>
      <w:r w:rsidRPr="00C65A85">
        <w:rPr>
          <w:lang w:val="fr-CA"/>
        </w:rPr>
        <w:t xml:space="preserve"> UNDP (2016) - Projet de Renforcement des capacités adaptatives des communautés côtières aux changements climatiques en Haïti (ACC - PNUD/FEM/</w:t>
      </w:r>
      <w:r>
        <w:rPr>
          <w:lang w:val="fr-CA"/>
        </w:rPr>
        <w:t>MOE</w:t>
      </w:r>
      <w:r w:rsidRPr="00C65A85">
        <w:rPr>
          <w:lang w:val="fr-CA"/>
        </w:rPr>
        <w:t xml:space="preserve">) </w:t>
      </w:r>
    </w:p>
  </w:footnote>
  <w:footnote w:id="228">
    <w:p w14:paraId="223439D1" w14:textId="77777777" w:rsidR="00013DC5" w:rsidRPr="00C65A85" w:rsidRDefault="00013DC5" w:rsidP="00C25FA5">
      <w:pPr>
        <w:pStyle w:val="FootnoteRefGenderAssessment"/>
      </w:pPr>
      <w:r w:rsidRPr="00C65A85">
        <w:rPr>
          <w:rStyle w:val="FootnoteReference"/>
        </w:rPr>
        <w:footnoteRef/>
      </w:r>
      <w:r w:rsidRPr="00C65A85">
        <w:t xml:space="preserve"> USAID (2016)</w:t>
      </w:r>
    </w:p>
  </w:footnote>
  <w:footnote w:id="229">
    <w:p w14:paraId="489AD0BB" w14:textId="77777777" w:rsidR="00013DC5" w:rsidRPr="00C65A85" w:rsidRDefault="00013DC5" w:rsidP="00C25FA5">
      <w:pPr>
        <w:pStyle w:val="FootnoteRefGenderAssessment"/>
      </w:pPr>
      <w:r w:rsidRPr="00C65A85">
        <w:rPr>
          <w:rStyle w:val="FootnoteReference"/>
        </w:rPr>
        <w:footnoteRef/>
      </w:r>
      <w:r w:rsidRPr="00C65A85">
        <w:t xml:space="preserve"> Stoa (2017)</w:t>
      </w:r>
    </w:p>
  </w:footnote>
  <w:footnote w:id="230">
    <w:p w14:paraId="76466C8C" w14:textId="77777777" w:rsidR="00013DC5" w:rsidRPr="00C65A85" w:rsidRDefault="00013DC5" w:rsidP="00C25FA5">
      <w:pPr>
        <w:pStyle w:val="FootnoteRefGenderAssessment"/>
      </w:pPr>
      <w:r w:rsidRPr="00C65A85">
        <w:rPr>
          <w:rStyle w:val="FootnoteReference"/>
        </w:rPr>
        <w:footnoteRef/>
      </w:r>
      <w:r w:rsidRPr="00C65A85">
        <w:t xml:space="preserve"> UNDP (2018) – NAP : lessons from Haiti</w:t>
      </w:r>
    </w:p>
  </w:footnote>
  <w:footnote w:id="231">
    <w:p w14:paraId="06BF362B" w14:textId="77777777" w:rsidR="00013DC5" w:rsidRPr="00E908B7" w:rsidRDefault="00013DC5" w:rsidP="00C25FA5">
      <w:pPr>
        <w:pStyle w:val="FootnoteText"/>
        <w:rPr>
          <w:lang w:val="en-GB"/>
        </w:rPr>
      </w:pPr>
      <w:r w:rsidRPr="003477B1">
        <w:rPr>
          <w:rFonts w:asciiTheme="majorHAnsi" w:hAnsiTheme="majorHAnsi"/>
          <w:color w:val="000000" w:themeColor="text1"/>
          <w:sz w:val="16"/>
          <w:szCs w:val="18"/>
        </w:rPr>
        <w:footnoteRef/>
      </w:r>
      <w:r w:rsidRPr="003477B1">
        <w:rPr>
          <w:rFonts w:asciiTheme="majorHAnsi" w:hAnsiTheme="majorHAnsi"/>
          <w:color w:val="000000" w:themeColor="text1"/>
          <w:sz w:val="16"/>
          <w:szCs w:val="18"/>
          <w:vertAlign w:val="superscript"/>
        </w:rPr>
        <w:t xml:space="preserve"> </w:t>
      </w:r>
      <w:r w:rsidRPr="003477B1">
        <w:rPr>
          <w:rFonts w:asciiTheme="majorHAnsi" w:hAnsiTheme="majorHAnsi"/>
          <w:color w:val="000000" w:themeColor="text1"/>
          <w:sz w:val="16"/>
          <w:szCs w:val="18"/>
        </w:rPr>
        <w:t>CIAT (2011), Oxfam (2014), AFD (2017)</w:t>
      </w:r>
    </w:p>
  </w:footnote>
  <w:footnote w:id="232">
    <w:p w14:paraId="708DB41C" w14:textId="77777777" w:rsidR="00013DC5" w:rsidRPr="00401E2F" w:rsidRDefault="00013DC5" w:rsidP="00E91A1B">
      <w:pPr>
        <w:pStyle w:val="FootnoteText"/>
        <w:spacing w:after="0"/>
        <w:rPr>
          <w:rFonts w:asciiTheme="majorHAnsi" w:hAnsiTheme="majorHAnsi" w:cstheme="majorHAnsi"/>
          <w:sz w:val="18"/>
          <w:szCs w:val="18"/>
        </w:rPr>
      </w:pPr>
      <w:r w:rsidRPr="00401E2F">
        <w:rPr>
          <w:rStyle w:val="FootnoteReference"/>
          <w:rFonts w:asciiTheme="majorHAnsi" w:hAnsiTheme="majorHAnsi" w:cstheme="majorHAnsi"/>
          <w:sz w:val="18"/>
          <w:szCs w:val="18"/>
        </w:rPr>
        <w:footnoteRef/>
      </w:r>
      <w:r w:rsidRPr="00401E2F">
        <w:rPr>
          <w:rFonts w:asciiTheme="majorHAnsi" w:hAnsiTheme="majorHAnsi" w:cstheme="majorHAnsi"/>
          <w:sz w:val="18"/>
          <w:szCs w:val="18"/>
        </w:rPr>
        <w:t xml:space="preserve"> Cocoa and total system yields of organic and conventional agroforestry vs. monoculture systems in a long-term field trial in Bolivia. By M. Schneider, C. Andres, G. Trujillo, F. Alcon, P. Amurrio, E. Pérez, F. Weibel and J. Milz. Experimental Agriculture, Volume 53, Issue 3 July 2017, pp. 351-374</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4BA978" w14:textId="77777777" w:rsidR="00013DC5" w:rsidRDefault="00013D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3E86F9" w14:textId="77777777" w:rsidR="00013DC5" w:rsidRDefault="00013DC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FFCA4" w14:textId="77777777" w:rsidR="00013DC5" w:rsidRDefault="00013DC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AD2744" w14:textId="77777777" w:rsidR="00013DC5" w:rsidRDefault="00013DC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7DDBFF" w14:textId="77777777" w:rsidR="00013DC5" w:rsidRDefault="00013DC5">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94D716" w14:textId="77777777" w:rsidR="00013DC5" w:rsidRDefault="00013DC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0F405B" w14:textId="77777777" w:rsidR="00013DC5" w:rsidRDefault="00013DC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3E6068" w14:textId="77777777" w:rsidR="00013DC5" w:rsidRDefault="00013DC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BBD1E0" w14:textId="77777777" w:rsidR="00013DC5" w:rsidRDefault="00013DC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1A66E4" w14:textId="77777777" w:rsidR="00013DC5" w:rsidRDefault="00013DC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D4B986" w14:textId="77777777" w:rsidR="00013DC5" w:rsidRDefault="00013DC5">
    <w:pPr>
      <w:pStyle w:val="HeaderFoot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2BB3E1" w14:textId="77777777" w:rsidR="00013DC5" w:rsidRDefault="00013DC5">
    <w:pPr>
      <w:pStyle w:val="HeaderFoot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0C66AE" w14:textId="77777777" w:rsidR="00013DC5" w:rsidRDefault="00013DC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916DC7" w14:textId="77777777" w:rsidR="00013DC5" w:rsidRDefault="00013DC5">
    <w:pPr>
      <w:pStyle w:val="HeaderFoot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E14852" w14:textId="77777777" w:rsidR="00013DC5" w:rsidRDefault="00013DC5">
    <w:pPr>
      <w:pStyle w:val="HeaderFoot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B8BCB" w14:textId="77777777" w:rsidR="00013DC5" w:rsidRDefault="00013DC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6E2B1B" w14:textId="77777777" w:rsidR="00013DC5" w:rsidRPr="00E91A1B" w:rsidRDefault="00013DC5" w:rsidP="00E91A1B">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B17ABA" w14:textId="77777777" w:rsidR="00013DC5" w:rsidRDefault="00013DC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033ACC" w14:textId="77777777" w:rsidR="00013DC5" w:rsidRDefault="00013DC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979289" w14:textId="77777777" w:rsidR="00013DC5" w:rsidRDefault="00013DC5"/>
  <w:p w14:paraId="73DD52A8" w14:textId="77777777" w:rsidR="00013DC5" w:rsidRDefault="00013DC5"/>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AE6CC9" w14:textId="77777777" w:rsidR="00013DC5" w:rsidRDefault="00013DC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573876" w14:textId="77777777" w:rsidR="00013DC5" w:rsidRDefault="00013DC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3D2DD" w14:textId="77777777" w:rsidR="00013DC5" w:rsidRPr="00590317" w:rsidRDefault="00013DC5" w:rsidP="00590317">
    <w:pPr>
      <w:pStyle w:val="Header"/>
      <w:jc w:val="right"/>
    </w:pPr>
    <w:r>
      <w:t>Additional Annex A: Target Species of Global Conservation Concern</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A8809C" w14:textId="77777777" w:rsidR="00013DC5" w:rsidRDefault="00013DC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3613CE" w14:textId="77777777" w:rsidR="00013DC5" w:rsidRDefault="00013DC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E08389" w14:textId="77777777" w:rsidR="00013DC5" w:rsidRPr="00590317" w:rsidRDefault="00013DC5" w:rsidP="00590317">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4A1CA6" w14:textId="77777777" w:rsidR="00013DC5" w:rsidRDefault="00013DC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B417C6" w14:textId="77777777" w:rsidR="00013DC5" w:rsidRDefault="00013DC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F302D4" w14:textId="77777777" w:rsidR="00013DC5" w:rsidRPr="004C0CCE" w:rsidRDefault="00013DC5" w:rsidP="001C1E07">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7B4A75" w14:textId="77777777" w:rsidR="00013DC5" w:rsidRPr="000C109C" w:rsidRDefault="00013DC5" w:rsidP="001C1E07">
    <w:pPr>
      <w:pStyle w:val="HeaderFooter"/>
      <w:tabs>
        <w:tab w:val="clear" w:pos="9020"/>
        <w:tab w:val="center" w:pos="4749"/>
        <w:tab w:val="right" w:pos="9498"/>
      </w:tabs>
      <w:outlineLvl w:val="0"/>
      <w:rPr>
        <w:lang w:val="en-US"/>
      </w:rPr>
    </w:pPr>
    <w:r>
      <w:rPr>
        <w:rFonts w:ascii="Helvetica Neue" w:eastAsia="Helvetica Neue" w:hAnsi="Helvetica Neue" w:cs="Helvetica Neue"/>
        <w:caps/>
        <w:noProof/>
        <w:color w:val="357CA2"/>
        <w:spacing w:val="3"/>
        <w:sz w:val="18"/>
        <w:szCs w:val="18"/>
        <w:lang w:val="en-US" w:eastAsia="en-US"/>
      </w:rPr>
      <mc:AlternateContent>
        <mc:Choice Requires="wps">
          <w:drawing>
            <wp:anchor distT="152399" distB="152399" distL="152400" distR="152400" simplePos="0" relativeHeight="251666432" behindDoc="1" locked="0" layoutInCell="1" allowOverlap="1" wp14:anchorId="794E7C52" wp14:editId="530452EB">
              <wp:simplePos x="0" y="0"/>
              <wp:positionH relativeFrom="page">
                <wp:posOffset>762000</wp:posOffset>
              </wp:positionH>
              <wp:positionV relativeFrom="page">
                <wp:posOffset>723899</wp:posOffset>
              </wp:positionV>
              <wp:extent cx="6029960" cy="0"/>
              <wp:effectExtent l="0" t="19050" r="8890" b="0"/>
              <wp:wrapNone/>
              <wp:docPr id="5" name="officeArt object"/>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029960" cy="0"/>
                      </a:xfrm>
                      <a:prstGeom prst="line">
                        <a:avLst/>
                      </a:prstGeom>
                      <a:noFill/>
                      <a:ln w="38100" cap="flat">
                        <a:solidFill>
                          <a:schemeClr val="accent1">
                            <a:hueOff val="366345"/>
                            <a:satOff val="11385"/>
                            <a:lumOff val="-23239"/>
                          </a:schemeClr>
                        </a:solidFill>
                        <a:prstDash val="solid"/>
                        <a:miter lim="400000"/>
                      </a:ln>
                      <a:effectLst/>
                    </wps:spPr>
                    <wps:bodyPr/>
                  </wps:wsp>
                </a:graphicData>
              </a:graphic>
              <wp14:sizeRelH relativeFrom="page">
                <wp14:pctWidth>0</wp14:pctWidth>
              </wp14:sizeRelH>
              <wp14:sizeRelV relativeFrom="page">
                <wp14:pctHeight>0</wp14:pctHeight>
              </wp14:sizeRelV>
            </wp:anchor>
          </w:drawing>
        </mc:Choice>
        <mc:Fallback>
          <w:pict>
            <v:line w14:anchorId="2F31F83D" id="officeArt object" o:spid="_x0000_s1026" style="position:absolute;flip:y;z-index:-251650048;visibility:visible;mso-wrap-style:square;mso-width-percent:0;mso-height-percent:0;mso-wrap-distance-left:12pt;mso-wrap-distance-top:4.23331mm;mso-wrap-distance-right:12pt;mso-wrap-distance-bottom:4.23331mm;mso-position-horizontal:absolute;mso-position-horizontal-relative:page;mso-position-vertical:absolute;mso-position-vertical-relative:page;mso-width-percent:0;mso-height-percent:0;mso-width-relative:page;mso-height-relative:page" from="60pt,57pt" to="534.8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" strokecolor="#5b9bd5 [3204]" strokeweight="3pt">
              <v:stroke miterlimit="4" joinstyle="miter"/>
              <o:lock v:ext="edit" shapetype="f"/>
              <w10:wrap anchorx="page" anchory="page"/>
            </v:line>
          </w:pict>
        </mc:Fallback>
      </mc:AlternateContent>
    </w:r>
    <w:r>
      <w:rPr>
        <w:rFonts w:ascii="Helvetica Neue" w:eastAsia="Helvetica Neue" w:hAnsi="Helvetica Neue" w:cs="Helvetica Neue"/>
        <w:caps/>
        <w:noProof/>
        <w:color w:val="357CA2"/>
        <w:spacing w:val="3"/>
        <w:sz w:val="18"/>
        <w:szCs w:val="18"/>
        <w:lang w:val="en-US" w:eastAsia="en-US"/>
      </w:rPr>
      <mc:AlternateContent>
        <mc:Choice Requires="wps">
          <w:drawing>
            <wp:anchor distT="152399" distB="152399" distL="152400" distR="152400" simplePos="0" relativeHeight="251667456" behindDoc="1" locked="0" layoutInCell="1" allowOverlap="1" wp14:anchorId="67EDE865" wp14:editId="2CF96187">
              <wp:simplePos x="0" y="0"/>
              <wp:positionH relativeFrom="page">
                <wp:posOffset>762000</wp:posOffset>
              </wp:positionH>
              <wp:positionV relativeFrom="page">
                <wp:posOffset>9804399</wp:posOffset>
              </wp:positionV>
              <wp:extent cx="6030595" cy="0"/>
              <wp:effectExtent l="0" t="0" r="8255" b="0"/>
              <wp:wrapNone/>
              <wp:docPr id="11" name="officeArt object"/>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030595" cy="0"/>
                      </a:xfrm>
                      <a:prstGeom prst="line">
                        <a:avLst/>
                      </a:prstGeom>
                      <a:noFill/>
                      <a:ln w="12700" cap="flat">
                        <a:solidFill>
                          <a:schemeClr val="accent1">
                            <a:hueOff val="366345"/>
                            <a:satOff val="11385"/>
                            <a:lumOff val="-23239"/>
                          </a:schemeClr>
                        </a:solidFill>
                        <a:prstDash val="solid"/>
                        <a:miter lim="400000"/>
                      </a:ln>
                      <a:effectLst/>
                    </wps:spPr>
                    <wps:bodyPr/>
                  </wps:wsp>
                </a:graphicData>
              </a:graphic>
              <wp14:sizeRelH relativeFrom="page">
                <wp14:pctWidth>0</wp14:pctWidth>
              </wp14:sizeRelH>
              <wp14:sizeRelV relativeFrom="page">
                <wp14:pctHeight>0</wp14:pctHeight>
              </wp14:sizeRelV>
            </wp:anchor>
          </w:drawing>
        </mc:Choice>
        <mc:Fallback>
          <w:pict>
            <v:line w14:anchorId="5F72A7F6" id="officeArt object" o:spid="_x0000_s1026" style="position:absolute;z-index:-251649024;visibility:visible;mso-wrap-style:square;mso-width-percent:0;mso-height-percent:0;mso-wrap-distance-left:12pt;mso-wrap-distance-top:4.23331mm;mso-wrap-distance-right:12pt;mso-wrap-distance-bottom:4.23331mm;mso-position-horizontal:absolute;mso-position-horizontal-relative:page;mso-position-vertical:absolute;mso-position-vertical-relative:page;mso-width-percent:0;mso-height-percent:0;mso-width-relative:page;mso-height-relative:page" from="60pt,772pt" to="534.85pt,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" strokecolor="#5b9bd5 [3204]" strokeweight="1pt">
              <v:stroke miterlimit="4" joinstyle="miter"/>
              <o:lock v:ext="edit" shapetype="f"/>
              <w10:wrap anchorx="page" anchory="page"/>
            </v:line>
          </w:pict>
        </mc:Fallback>
      </mc:AlternateContent>
    </w:r>
    <w:r w:rsidRPr="000C109C">
      <w:rPr>
        <w:lang w:val="en-US"/>
      </w:rPr>
      <w:t>Annex: Gender Strategy for the GEF Project on Sustainable Productive Landscapes</w:t>
    </w:r>
  </w:p>
  <w:p w14:paraId="51E45A25" w14:textId="77777777" w:rsidR="00013DC5" w:rsidRPr="004C0CCE" w:rsidRDefault="00013DC5" w:rsidP="001C1E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3in;height:3in" o:bullet="t"/>
    </w:pict>
  </w:numPicBullet>
  <w:numPicBullet w:numPicBulletId="1">
    <w:pict>
      <v:shape id="_x0000_i1029" type="#_x0000_t75" style="width:3in;height:3in" o:bullet="t"/>
    </w:pict>
  </w:numPicBullet>
  <w:abstractNum w:abstractNumId="0" w15:restartNumberingAfterBreak="0">
    <w:nsid w:val="D8D49EDF"/>
    <w:multiLevelType w:val="hybridMultilevel"/>
    <w:tmpl w:val="B661CF7B"/>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1F12081"/>
    <w:multiLevelType w:val="hybridMultilevel"/>
    <w:tmpl w:val="7B502946"/>
    <w:styleLink w:val="ImportedStyle3"/>
    <w:lvl w:ilvl="0" w:tplc="BAE432A4">
      <w:start w:val="1"/>
      <w:numFmt w:val="decimal"/>
      <w:lvlText w:val="%1."/>
      <w:lvlJc w:val="left"/>
      <w:pPr>
        <w:ind w:left="270" w:hanging="27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6FA6652">
      <w:start w:val="1"/>
      <w:numFmt w:val="lowerLetter"/>
      <w:lvlText w:val="%2."/>
      <w:lvlJc w:val="left"/>
      <w:pPr>
        <w:tabs>
          <w:tab w:val="left" w:pos="270"/>
        </w:tabs>
        <w:ind w:left="10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F965AE2">
      <w:start w:val="1"/>
      <w:numFmt w:val="lowerRoman"/>
      <w:lvlText w:val="%3."/>
      <w:lvlJc w:val="left"/>
      <w:pPr>
        <w:tabs>
          <w:tab w:val="left" w:pos="270"/>
        </w:tabs>
        <w:ind w:left="1800" w:hanging="27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8E67C4E">
      <w:start w:val="1"/>
      <w:numFmt w:val="decimal"/>
      <w:lvlText w:val="%4."/>
      <w:lvlJc w:val="left"/>
      <w:pPr>
        <w:tabs>
          <w:tab w:val="left" w:pos="270"/>
        </w:tabs>
        <w:ind w:left="25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78AB340">
      <w:start w:val="1"/>
      <w:numFmt w:val="lowerLetter"/>
      <w:lvlText w:val="%5."/>
      <w:lvlJc w:val="left"/>
      <w:pPr>
        <w:tabs>
          <w:tab w:val="left" w:pos="270"/>
        </w:tabs>
        <w:ind w:left="32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E2C02C0">
      <w:start w:val="1"/>
      <w:numFmt w:val="lowerRoman"/>
      <w:lvlText w:val="%6."/>
      <w:lvlJc w:val="left"/>
      <w:pPr>
        <w:tabs>
          <w:tab w:val="left" w:pos="270"/>
        </w:tabs>
        <w:ind w:left="3960" w:hanging="27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BFAE43A">
      <w:start w:val="1"/>
      <w:numFmt w:val="decimal"/>
      <w:lvlText w:val="%7."/>
      <w:lvlJc w:val="left"/>
      <w:pPr>
        <w:tabs>
          <w:tab w:val="left" w:pos="270"/>
        </w:tabs>
        <w:ind w:left="46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8DE8D8C">
      <w:start w:val="1"/>
      <w:numFmt w:val="lowerLetter"/>
      <w:lvlText w:val="%8."/>
      <w:lvlJc w:val="left"/>
      <w:pPr>
        <w:tabs>
          <w:tab w:val="left" w:pos="270"/>
        </w:tabs>
        <w:ind w:left="54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396C976">
      <w:start w:val="1"/>
      <w:numFmt w:val="lowerRoman"/>
      <w:lvlText w:val="%9."/>
      <w:lvlJc w:val="left"/>
      <w:pPr>
        <w:tabs>
          <w:tab w:val="left" w:pos="270"/>
        </w:tabs>
        <w:ind w:left="6120" w:hanging="275"/>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02052655"/>
    <w:multiLevelType w:val="hybridMultilevel"/>
    <w:tmpl w:val="E12E2540"/>
    <w:numStyleLink w:val="ImportedStyle47"/>
  </w:abstractNum>
  <w:abstractNum w:abstractNumId="4" w15:restartNumberingAfterBreak="0">
    <w:nsid w:val="021C2D6F"/>
    <w:multiLevelType w:val="hybridMultilevel"/>
    <w:tmpl w:val="8E8CF51C"/>
    <w:styleLink w:val="ImportedStyle23"/>
    <w:lvl w:ilvl="0" w:tplc="E83E3FB4">
      <w:start w:val="1"/>
      <w:numFmt w:val="decimal"/>
      <w:lvlText w:val="%1)"/>
      <w:lvlJc w:val="left"/>
      <w:pPr>
        <w:tabs>
          <w:tab w:val="num" w:pos="360"/>
        </w:tabs>
        <w:ind w:left="426" w:hanging="426"/>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A165166">
      <w:start w:val="1"/>
      <w:numFmt w:val="lowerLetter"/>
      <w:lvlText w:val="%2."/>
      <w:lvlJc w:val="left"/>
      <w:pPr>
        <w:tabs>
          <w:tab w:val="left" w:pos="360"/>
          <w:tab w:val="num" w:pos="1146"/>
        </w:tabs>
        <w:ind w:left="1212" w:hanging="492"/>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D560E6A">
      <w:start w:val="1"/>
      <w:numFmt w:val="lowerRoman"/>
      <w:lvlText w:val="%3."/>
      <w:lvlJc w:val="left"/>
      <w:pPr>
        <w:tabs>
          <w:tab w:val="left" w:pos="360"/>
          <w:tab w:val="num" w:pos="1866"/>
        </w:tabs>
        <w:ind w:left="1932" w:hanging="417"/>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EACCB58">
      <w:start w:val="1"/>
      <w:numFmt w:val="decimal"/>
      <w:lvlText w:val="%4."/>
      <w:lvlJc w:val="left"/>
      <w:pPr>
        <w:tabs>
          <w:tab w:val="left" w:pos="360"/>
          <w:tab w:val="num" w:pos="2586"/>
        </w:tabs>
        <w:ind w:left="2652" w:hanging="492"/>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B14EDCC">
      <w:start w:val="1"/>
      <w:numFmt w:val="lowerLetter"/>
      <w:lvlText w:val="%5."/>
      <w:lvlJc w:val="left"/>
      <w:pPr>
        <w:tabs>
          <w:tab w:val="left" w:pos="360"/>
          <w:tab w:val="num" w:pos="3306"/>
        </w:tabs>
        <w:ind w:left="3372" w:hanging="492"/>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776AA32">
      <w:start w:val="1"/>
      <w:numFmt w:val="lowerRoman"/>
      <w:lvlText w:val="%6."/>
      <w:lvlJc w:val="left"/>
      <w:pPr>
        <w:tabs>
          <w:tab w:val="left" w:pos="360"/>
          <w:tab w:val="num" w:pos="4026"/>
        </w:tabs>
        <w:ind w:left="4092" w:hanging="417"/>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F7620CE">
      <w:start w:val="1"/>
      <w:numFmt w:val="decimal"/>
      <w:lvlText w:val="%7."/>
      <w:lvlJc w:val="left"/>
      <w:pPr>
        <w:tabs>
          <w:tab w:val="left" w:pos="360"/>
          <w:tab w:val="num" w:pos="4746"/>
        </w:tabs>
        <w:ind w:left="4812" w:hanging="492"/>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C60EC22">
      <w:start w:val="1"/>
      <w:numFmt w:val="lowerLetter"/>
      <w:lvlText w:val="%8."/>
      <w:lvlJc w:val="left"/>
      <w:pPr>
        <w:tabs>
          <w:tab w:val="left" w:pos="360"/>
          <w:tab w:val="num" w:pos="5466"/>
        </w:tabs>
        <w:ind w:left="5532" w:hanging="492"/>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E3C3B86">
      <w:start w:val="1"/>
      <w:numFmt w:val="lowerRoman"/>
      <w:lvlText w:val="%9."/>
      <w:lvlJc w:val="left"/>
      <w:pPr>
        <w:tabs>
          <w:tab w:val="left" w:pos="360"/>
          <w:tab w:val="num" w:pos="6186"/>
        </w:tabs>
        <w:ind w:left="6252" w:hanging="417"/>
      </w:pPr>
      <w:rPr>
        <w:rFonts w:hAnsi="Arial Unicode MS"/>
        <w:b/>
        <w:bCs/>
        <w:i/>
        <w:i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02577701"/>
    <w:multiLevelType w:val="hybridMultilevel"/>
    <w:tmpl w:val="34A2863C"/>
    <w:lvl w:ilvl="0" w:tplc="2DB27488">
      <w:start w:val="10"/>
      <w:numFmt w:val="upperRoman"/>
      <w:lvlText w:val="%1."/>
      <w:lvlJc w:val="left"/>
      <w:pPr>
        <w:ind w:left="720" w:hanging="720"/>
      </w:pPr>
      <w:rPr>
        <w:rFonts w:hAnsi="Arial Unicode MS" w:hint="default"/>
        <w:b/>
        <w:bCs/>
        <w:caps w:val="0"/>
        <w:smallCaps w:val="0"/>
        <w:strike w:val="0"/>
        <w:dstrike w:val="0"/>
        <w:color w:val="000000"/>
        <w:spacing w:val="0"/>
        <w:w w:val="100"/>
        <w:kern w:val="0"/>
        <w:position w:val="0"/>
        <w:vertAlign w:val="baseline"/>
      </w:rPr>
    </w:lvl>
    <w:lvl w:ilvl="1" w:tplc="4A0043EE">
      <w:start w:val="1"/>
      <w:numFmt w:val="lowerLetter"/>
      <w:lvlText w:val="%2."/>
      <w:lvlJc w:val="left"/>
      <w:pPr>
        <w:ind w:left="1440" w:hanging="360"/>
      </w:pPr>
      <w:rPr>
        <w:b/>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32A1672"/>
    <w:multiLevelType w:val="hybridMultilevel"/>
    <w:tmpl w:val="3A2E74B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3370C1D"/>
    <w:multiLevelType w:val="hybridMultilevel"/>
    <w:tmpl w:val="C04EF7EA"/>
    <w:styleLink w:val="ImportedStyle16"/>
    <w:lvl w:ilvl="0" w:tplc="6F522A74">
      <w:start w:val="1"/>
      <w:numFmt w:val="decimal"/>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13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9E23A84">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8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45E1E8A">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257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3B6A5AC">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329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768F0D2">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01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088C64E">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73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4902404">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54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9360F54">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17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70CE854">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89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15:restartNumberingAfterBreak="0">
    <w:nsid w:val="03F2036B"/>
    <w:multiLevelType w:val="hybridMultilevel"/>
    <w:tmpl w:val="B22E0BFA"/>
    <w:lvl w:ilvl="0" w:tplc="9008FA9E">
      <w:start w:val="1"/>
      <w:numFmt w:val="bullet"/>
      <w:pStyle w:val="Bullet1G"/>
      <w:lvlText w:val="•"/>
      <w:lvlJc w:val="left"/>
      <w:pPr>
        <w:tabs>
          <w:tab w:val="num" w:pos="1701"/>
        </w:tabs>
        <w:ind w:left="1701" w:hanging="170"/>
      </w:pPr>
      <w:rPr>
        <w:rFonts w:ascii="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6506330"/>
    <w:multiLevelType w:val="hybridMultilevel"/>
    <w:tmpl w:val="009C9A1C"/>
    <w:styleLink w:val="ImportedStyle6"/>
    <w:lvl w:ilvl="0" w:tplc="9EACDB58">
      <w:start w:val="1"/>
      <w:numFmt w:val="decimal"/>
      <w:lvlText w:val="%1."/>
      <w:lvlJc w:val="left"/>
      <w:pPr>
        <w:ind w:left="85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0E85CB2">
      <w:start w:val="1"/>
      <w:numFmt w:val="lowerLetter"/>
      <w:lvlText w:val="%2."/>
      <w:lvlJc w:val="left"/>
      <w:pPr>
        <w:ind w:left="193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38A0860">
      <w:start w:val="1"/>
      <w:numFmt w:val="lowerRoman"/>
      <w:lvlText w:val="%3."/>
      <w:lvlJc w:val="left"/>
      <w:pPr>
        <w:ind w:left="2651" w:hanging="785"/>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4AEF230">
      <w:start w:val="1"/>
      <w:numFmt w:val="decimal"/>
      <w:lvlText w:val="%4."/>
      <w:lvlJc w:val="left"/>
      <w:pPr>
        <w:ind w:left="337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202E778">
      <w:start w:val="1"/>
      <w:numFmt w:val="lowerLetter"/>
      <w:lvlText w:val="%5."/>
      <w:lvlJc w:val="left"/>
      <w:pPr>
        <w:ind w:left="409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5E0B66E">
      <w:start w:val="1"/>
      <w:numFmt w:val="lowerRoman"/>
      <w:lvlText w:val="%6."/>
      <w:lvlJc w:val="left"/>
      <w:pPr>
        <w:ind w:left="4811" w:hanging="785"/>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56C019E">
      <w:start w:val="1"/>
      <w:numFmt w:val="decimal"/>
      <w:lvlText w:val="%7."/>
      <w:lvlJc w:val="left"/>
      <w:pPr>
        <w:ind w:left="553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9CC7D1C">
      <w:start w:val="1"/>
      <w:numFmt w:val="lowerLetter"/>
      <w:lvlText w:val="%8."/>
      <w:lvlJc w:val="left"/>
      <w:pPr>
        <w:ind w:left="6251" w:hanging="851"/>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C24E594">
      <w:start w:val="1"/>
      <w:numFmt w:val="lowerRoman"/>
      <w:lvlText w:val="%9."/>
      <w:lvlJc w:val="left"/>
      <w:pPr>
        <w:ind w:left="6971" w:hanging="785"/>
      </w:pPr>
      <w:rPr>
        <w:rFonts w:ascii="Trebuchet MS" w:eastAsia="Trebuchet MS" w:hAnsi="Trebuchet MS" w:cs="Trebuchet MS"/>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067436C6"/>
    <w:multiLevelType w:val="hybridMultilevel"/>
    <w:tmpl w:val="0450DEB4"/>
    <w:styleLink w:val="ImportedStyle69"/>
    <w:lvl w:ilvl="0" w:tplc="4AD2C02A">
      <w:start w:val="1"/>
      <w:numFmt w:val="decimal"/>
      <w:lvlText w:val="%1."/>
      <w:lvlJc w:val="left"/>
      <w:pPr>
        <w:ind w:left="927"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E80673C">
      <w:start w:val="1"/>
      <w:numFmt w:val="lowerLetter"/>
      <w:lvlText w:val="%2."/>
      <w:lvlJc w:val="left"/>
      <w:pPr>
        <w:ind w:left="1571"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3E234E4">
      <w:start w:val="1"/>
      <w:numFmt w:val="lowerRoman"/>
      <w:lvlText w:val="%3."/>
      <w:lvlJc w:val="left"/>
      <w:pPr>
        <w:ind w:left="2291" w:hanging="84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F767EB0">
      <w:start w:val="1"/>
      <w:numFmt w:val="decimal"/>
      <w:lvlText w:val="%4."/>
      <w:lvlJc w:val="left"/>
      <w:pPr>
        <w:ind w:left="3011"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27C00B6">
      <w:start w:val="1"/>
      <w:numFmt w:val="lowerLetter"/>
      <w:lvlText w:val="%5."/>
      <w:lvlJc w:val="left"/>
      <w:pPr>
        <w:ind w:left="3731"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FA66086">
      <w:start w:val="1"/>
      <w:numFmt w:val="lowerRoman"/>
      <w:lvlText w:val="%6."/>
      <w:lvlJc w:val="left"/>
      <w:pPr>
        <w:ind w:left="4451" w:hanging="84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C323CE2">
      <w:start w:val="1"/>
      <w:numFmt w:val="decimal"/>
      <w:lvlText w:val="%7."/>
      <w:lvlJc w:val="left"/>
      <w:pPr>
        <w:ind w:left="5171"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0922590">
      <w:start w:val="1"/>
      <w:numFmt w:val="lowerLetter"/>
      <w:lvlText w:val="%8."/>
      <w:lvlJc w:val="left"/>
      <w:pPr>
        <w:ind w:left="5891" w:hanging="92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A70B9B0">
      <w:start w:val="1"/>
      <w:numFmt w:val="lowerRoman"/>
      <w:lvlText w:val="%9."/>
      <w:lvlJc w:val="left"/>
      <w:pPr>
        <w:ind w:left="6611" w:hanging="84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 w15:restartNumberingAfterBreak="0">
    <w:nsid w:val="069827F5"/>
    <w:multiLevelType w:val="multilevel"/>
    <w:tmpl w:val="AB265ADE"/>
    <w:styleLink w:val="ImportedStyle29"/>
    <w:lvl w:ilvl="0">
      <w:start w:val="1"/>
      <w:numFmt w:val="decimal"/>
      <w:lvlText w:val="%1."/>
      <w:lvlJc w:val="left"/>
      <w:pPr>
        <w:ind w:left="732" w:hanging="73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732" w:hanging="73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ind w:left="731" w:hanging="73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3.%4."/>
      <w:lvlJc w:val="left"/>
      <w:pPr>
        <w:ind w:left="731" w:hanging="73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3.%4.%5."/>
      <w:lvlJc w:val="left"/>
      <w:pPr>
        <w:ind w:left="731" w:hanging="73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3.%4.%5.%6."/>
      <w:lvlJc w:val="left"/>
      <w:pPr>
        <w:ind w:left="1079" w:hanging="107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3.%4.%5.%6.%7."/>
      <w:lvlJc w:val="left"/>
      <w:pPr>
        <w:ind w:left="1079" w:hanging="107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3.%4.%5.%6.%7.%8."/>
      <w:lvlJc w:val="left"/>
      <w:pPr>
        <w:ind w:left="1439" w:hanging="143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3.%4.%5.%6.%7.%8.%9."/>
      <w:lvlJc w:val="left"/>
      <w:pPr>
        <w:ind w:left="1439" w:hanging="1439"/>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07200172"/>
    <w:multiLevelType w:val="hybridMultilevel"/>
    <w:tmpl w:val="9C40B258"/>
    <w:lvl w:ilvl="0" w:tplc="2B3ACC2E">
      <w:numFmt w:val="bullet"/>
      <w:pStyle w:val="Paragraph"/>
      <w:lvlText w:val="-"/>
      <w:lvlJc w:val="left"/>
      <w:pPr>
        <w:ind w:left="360" w:hanging="360"/>
      </w:pPr>
      <w:rPr>
        <w:rFonts w:ascii="Times New Roman" w:eastAsia="Times New Roman" w:hAnsi="Times New Roman" w:cs="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7451686"/>
    <w:multiLevelType w:val="hybridMultilevel"/>
    <w:tmpl w:val="A65821C0"/>
    <w:styleLink w:val="ImportedStyle15"/>
    <w:lvl w:ilvl="0" w:tplc="44108D1A">
      <w:start w:val="1"/>
      <w:numFmt w:val="decimal"/>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13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A88856E">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8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EA06052">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257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A44FE6E">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329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80862B6">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01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8588A66">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73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A9E3FD0">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54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8284B98">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17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3F40794">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89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 w15:restartNumberingAfterBreak="0">
    <w:nsid w:val="07FA3423"/>
    <w:multiLevelType w:val="hybridMultilevel"/>
    <w:tmpl w:val="8E8CF51C"/>
    <w:numStyleLink w:val="ImportedStyle23"/>
  </w:abstractNum>
  <w:abstractNum w:abstractNumId="15" w15:restartNumberingAfterBreak="0">
    <w:nsid w:val="09D84736"/>
    <w:multiLevelType w:val="hybridMultilevel"/>
    <w:tmpl w:val="53A68CEC"/>
    <w:styleLink w:val="ImportedStyle57"/>
    <w:lvl w:ilvl="0" w:tplc="E6969F56">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A421A0A">
      <w:start w:val="1"/>
      <w:numFmt w:val="bullet"/>
      <w:lvlText w:val="o"/>
      <w:lvlJc w:val="left"/>
      <w:pPr>
        <w:tabs>
          <w:tab w:val="left" w:pos="720"/>
        </w:tabs>
        <w:ind w:left="144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A6C49A0">
      <w:start w:val="1"/>
      <w:numFmt w:val="bullet"/>
      <w:lvlText w:val="▪"/>
      <w:lvlJc w:val="left"/>
      <w:pPr>
        <w:tabs>
          <w:tab w:val="left" w:pos="720"/>
        </w:tabs>
        <w:ind w:left="21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CC264FC">
      <w:start w:val="1"/>
      <w:numFmt w:val="bullet"/>
      <w:lvlText w:val="•"/>
      <w:lvlJc w:val="left"/>
      <w:pPr>
        <w:tabs>
          <w:tab w:val="left" w:pos="720"/>
        </w:tabs>
        <w:ind w:left="28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2DC45A2">
      <w:start w:val="1"/>
      <w:numFmt w:val="bullet"/>
      <w:lvlText w:val="o"/>
      <w:lvlJc w:val="left"/>
      <w:pPr>
        <w:tabs>
          <w:tab w:val="left" w:pos="720"/>
        </w:tabs>
        <w:ind w:left="360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14A875E">
      <w:start w:val="1"/>
      <w:numFmt w:val="bullet"/>
      <w:lvlText w:val="▪"/>
      <w:lvlJc w:val="left"/>
      <w:pPr>
        <w:tabs>
          <w:tab w:val="left" w:pos="720"/>
        </w:tabs>
        <w:ind w:left="43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88E943A">
      <w:start w:val="1"/>
      <w:numFmt w:val="bullet"/>
      <w:lvlText w:val="•"/>
      <w:lvlJc w:val="left"/>
      <w:pPr>
        <w:tabs>
          <w:tab w:val="left" w:pos="720"/>
        </w:tabs>
        <w:ind w:left="504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9344966">
      <w:start w:val="1"/>
      <w:numFmt w:val="bullet"/>
      <w:lvlText w:val="o"/>
      <w:lvlJc w:val="left"/>
      <w:pPr>
        <w:tabs>
          <w:tab w:val="left" w:pos="720"/>
        </w:tabs>
        <w:ind w:left="57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0A20FAA">
      <w:start w:val="1"/>
      <w:numFmt w:val="bullet"/>
      <w:lvlText w:val="▪"/>
      <w:lvlJc w:val="left"/>
      <w:pPr>
        <w:tabs>
          <w:tab w:val="left" w:pos="720"/>
        </w:tabs>
        <w:ind w:left="64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0A8837EA"/>
    <w:multiLevelType w:val="hybridMultilevel"/>
    <w:tmpl w:val="F774CA5E"/>
    <w:lvl w:ilvl="0" w:tplc="8EC0EB92">
      <w:numFmt w:val="bullet"/>
      <w:lvlText w:val="-"/>
      <w:lvlJc w:val="left"/>
      <w:pPr>
        <w:ind w:left="720" w:hanging="360"/>
      </w:pPr>
      <w:rPr>
        <w:rFonts w:ascii="Calibri Light" w:eastAsiaTheme="minorHAnsi" w:hAnsi="Calibri Light" w:cs="Calibri Light" w:hint="default"/>
      </w:rPr>
    </w:lvl>
    <w:lvl w:ilvl="1" w:tplc="20801350">
      <w:numFmt w:val="bullet"/>
      <w:lvlText w:val="•"/>
      <w:lvlJc w:val="left"/>
      <w:pPr>
        <w:ind w:left="1800" w:hanging="720"/>
      </w:pPr>
      <w:rPr>
        <w:rFonts w:ascii="Calibri Light" w:eastAsia="Times New Roman" w:hAnsi="Calibri Light" w:cs="Calibri Light"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A935A3F"/>
    <w:multiLevelType w:val="hybridMultilevel"/>
    <w:tmpl w:val="FBE89B8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0C3E4B59"/>
    <w:multiLevelType w:val="multilevel"/>
    <w:tmpl w:val="BC48AB4A"/>
    <w:lvl w:ilvl="0">
      <w:start w:val="1"/>
      <w:numFmt w:val="decimal"/>
      <w:lvlText w:val="%1"/>
      <w:lvlJc w:val="left"/>
      <w:pPr>
        <w:ind w:left="380" w:hanging="380"/>
      </w:pPr>
      <w:rPr>
        <w:rFonts w:hint="default"/>
      </w:rPr>
    </w:lvl>
    <w:lvl w:ilvl="1">
      <w:start w:val="4"/>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0C486172"/>
    <w:multiLevelType w:val="multilevel"/>
    <w:tmpl w:val="33464CA6"/>
    <w:lvl w:ilvl="0">
      <w:start w:val="2"/>
      <w:numFmt w:val="decimal"/>
      <w:lvlText w:val="%1"/>
      <w:lvlJc w:val="left"/>
      <w:pPr>
        <w:ind w:left="400" w:hanging="400"/>
      </w:pPr>
    </w:lvl>
    <w:lvl w:ilvl="1">
      <w:start w:val="3"/>
      <w:numFmt w:val="decimal"/>
      <w:lvlText w:val="%1.%2"/>
      <w:lvlJc w:val="left"/>
      <w:pPr>
        <w:ind w:left="400" w:hanging="4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720" w:hanging="72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0"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CB937AA"/>
    <w:multiLevelType w:val="hybridMultilevel"/>
    <w:tmpl w:val="4A7C077E"/>
    <w:lvl w:ilvl="0" w:tplc="B0424F44">
      <w:start w:val="1"/>
      <w:numFmt w:val="decimal"/>
      <w:lvlText w:val="1.%1."/>
      <w:lvlJc w:val="left"/>
      <w:pPr>
        <w:ind w:left="36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0D511566"/>
    <w:multiLevelType w:val="hybridMultilevel"/>
    <w:tmpl w:val="A008CC98"/>
    <w:lvl w:ilvl="0" w:tplc="8C844584">
      <w:start w:val="1"/>
      <w:numFmt w:val="decimal"/>
      <w:lvlText w:val="O.%1."/>
      <w:lvlJc w:val="left"/>
      <w:pPr>
        <w:ind w:left="720" w:hanging="360"/>
      </w:pPr>
      <w:rPr>
        <w:rFonts w:asciiTheme="majorHAnsi" w:hAnsiTheme="majorHAnsi" w:cstheme="majorHAnsi" w:hint="default"/>
        <w:b/>
        <w:i w:val="0"/>
        <w:sz w:val="19"/>
        <w:szCs w:val="1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0E5A41E0"/>
    <w:multiLevelType w:val="hybridMultilevel"/>
    <w:tmpl w:val="98B6EB7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0EC07C47"/>
    <w:multiLevelType w:val="hybridMultilevel"/>
    <w:tmpl w:val="059C8484"/>
    <w:lvl w:ilvl="0" w:tplc="D40C4706">
      <w:start w:val="1"/>
      <w:numFmt w:val="decimal"/>
      <w:lvlText w:val="Box %1."/>
      <w:lvlJc w:val="left"/>
      <w:pPr>
        <w:ind w:left="28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0EEE03F6"/>
    <w:multiLevelType w:val="hybridMultilevel"/>
    <w:tmpl w:val="401249EA"/>
    <w:styleLink w:val="ImportedStyle28"/>
    <w:lvl w:ilvl="0" w:tplc="E75C3626">
      <w:start w:val="1"/>
      <w:numFmt w:val="bullet"/>
      <w:lvlText w:val="-"/>
      <w:lvlJc w:val="left"/>
      <w:pPr>
        <w:tabs>
          <w:tab w:val="left" w:pos="360"/>
        </w:tabs>
        <w:ind w:left="7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A3A3AB4">
      <w:start w:val="1"/>
      <w:numFmt w:val="bullet"/>
      <w:lvlText w:val="-"/>
      <w:lvlJc w:val="left"/>
      <w:pPr>
        <w:tabs>
          <w:tab w:val="left" w:pos="360"/>
        </w:tabs>
        <w:ind w:left="10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CBAABD6">
      <w:start w:val="1"/>
      <w:numFmt w:val="bullet"/>
      <w:lvlText w:val="-"/>
      <w:lvlJc w:val="left"/>
      <w:pPr>
        <w:tabs>
          <w:tab w:val="left" w:pos="360"/>
        </w:tabs>
        <w:ind w:left="18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7A2A170">
      <w:start w:val="1"/>
      <w:numFmt w:val="bullet"/>
      <w:lvlText w:val="-"/>
      <w:lvlJc w:val="left"/>
      <w:pPr>
        <w:tabs>
          <w:tab w:val="left" w:pos="360"/>
        </w:tabs>
        <w:ind w:left="25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4BA9F94">
      <w:start w:val="1"/>
      <w:numFmt w:val="bullet"/>
      <w:lvlText w:val="-"/>
      <w:lvlJc w:val="left"/>
      <w:pPr>
        <w:tabs>
          <w:tab w:val="left" w:pos="360"/>
        </w:tabs>
        <w:ind w:left="324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9AC3268">
      <w:start w:val="1"/>
      <w:numFmt w:val="bullet"/>
      <w:lvlText w:val="-"/>
      <w:lvlJc w:val="left"/>
      <w:pPr>
        <w:tabs>
          <w:tab w:val="left" w:pos="360"/>
        </w:tabs>
        <w:ind w:left="396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8AEE43C">
      <w:start w:val="1"/>
      <w:numFmt w:val="bullet"/>
      <w:lvlText w:val="-"/>
      <w:lvlJc w:val="left"/>
      <w:pPr>
        <w:tabs>
          <w:tab w:val="left" w:pos="360"/>
        </w:tabs>
        <w:ind w:left="468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F5898C2">
      <w:start w:val="1"/>
      <w:numFmt w:val="bullet"/>
      <w:lvlText w:val="-"/>
      <w:lvlJc w:val="left"/>
      <w:pPr>
        <w:tabs>
          <w:tab w:val="left" w:pos="360"/>
        </w:tabs>
        <w:ind w:left="540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81C0DDE">
      <w:start w:val="1"/>
      <w:numFmt w:val="bullet"/>
      <w:lvlText w:val="-"/>
      <w:lvlJc w:val="left"/>
      <w:pPr>
        <w:tabs>
          <w:tab w:val="left" w:pos="360"/>
        </w:tabs>
        <w:ind w:left="6120" w:hanging="360"/>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6"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28" w15:restartNumberingAfterBreak="0">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29" w15:restartNumberingAfterBreak="0">
    <w:nsid w:val="13026055"/>
    <w:multiLevelType w:val="hybridMultilevel"/>
    <w:tmpl w:val="F9A4C014"/>
    <w:lvl w:ilvl="0" w:tplc="48B00AB0">
      <w:start w:val="1"/>
      <w:numFmt w:val="upperLetter"/>
      <w:lvlText w:val="Additional Annex %1."/>
      <w:lvlJc w:val="left"/>
      <w:pPr>
        <w:ind w:left="720" w:hanging="360"/>
      </w:pPr>
      <w:rPr>
        <w:rFonts w:hint="default"/>
      </w:rPr>
    </w:lvl>
    <w:lvl w:ilvl="1" w:tplc="B0D0BBE6">
      <w:start w:val="1"/>
      <w:numFmt w:val="upperLetter"/>
      <w:lvlText w:val="Additional Annex %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13C9289B"/>
    <w:multiLevelType w:val="hybridMultilevel"/>
    <w:tmpl w:val="9CD05B3C"/>
    <w:lvl w:ilvl="0" w:tplc="9166610C">
      <w:start w:val="1"/>
      <w:numFmt w:val="lowerLetter"/>
      <w:lvlText w:val="%1)"/>
      <w:lvlJc w:val="left"/>
      <w:pPr>
        <w:ind w:left="610" w:hanging="360"/>
      </w:pPr>
      <w:rPr>
        <w:rFonts w:ascii="Times New Roman" w:hAnsi="Times New Roman" w:cs="Times New Roman" w:hint="default"/>
        <w:i w:val="0"/>
        <w:sz w:val="20"/>
        <w:szCs w:val="20"/>
      </w:rPr>
    </w:lvl>
    <w:lvl w:ilvl="1" w:tplc="04090019" w:tentative="1">
      <w:start w:val="1"/>
      <w:numFmt w:val="lowerLetter"/>
      <w:lvlText w:val="%2."/>
      <w:lvlJc w:val="left"/>
      <w:pPr>
        <w:ind w:left="1330" w:hanging="360"/>
      </w:pPr>
    </w:lvl>
    <w:lvl w:ilvl="2" w:tplc="0409001B" w:tentative="1">
      <w:start w:val="1"/>
      <w:numFmt w:val="lowerRoman"/>
      <w:lvlText w:val="%3."/>
      <w:lvlJc w:val="right"/>
      <w:pPr>
        <w:ind w:left="2050" w:hanging="180"/>
      </w:pPr>
    </w:lvl>
    <w:lvl w:ilvl="3" w:tplc="0409000F" w:tentative="1">
      <w:start w:val="1"/>
      <w:numFmt w:val="decimal"/>
      <w:lvlText w:val="%4."/>
      <w:lvlJc w:val="left"/>
      <w:pPr>
        <w:ind w:left="2770" w:hanging="360"/>
      </w:pPr>
    </w:lvl>
    <w:lvl w:ilvl="4" w:tplc="04090019" w:tentative="1">
      <w:start w:val="1"/>
      <w:numFmt w:val="lowerLetter"/>
      <w:lvlText w:val="%5."/>
      <w:lvlJc w:val="left"/>
      <w:pPr>
        <w:ind w:left="3490" w:hanging="360"/>
      </w:pPr>
    </w:lvl>
    <w:lvl w:ilvl="5" w:tplc="0409001B" w:tentative="1">
      <w:start w:val="1"/>
      <w:numFmt w:val="lowerRoman"/>
      <w:lvlText w:val="%6."/>
      <w:lvlJc w:val="right"/>
      <w:pPr>
        <w:ind w:left="4210" w:hanging="180"/>
      </w:pPr>
    </w:lvl>
    <w:lvl w:ilvl="6" w:tplc="0409000F" w:tentative="1">
      <w:start w:val="1"/>
      <w:numFmt w:val="decimal"/>
      <w:lvlText w:val="%7."/>
      <w:lvlJc w:val="left"/>
      <w:pPr>
        <w:ind w:left="4930" w:hanging="360"/>
      </w:pPr>
    </w:lvl>
    <w:lvl w:ilvl="7" w:tplc="04090019" w:tentative="1">
      <w:start w:val="1"/>
      <w:numFmt w:val="lowerLetter"/>
      <w:lvlText w:val="%8."/>
      <w:lvlJc w:val="left"/>
      <w:pPr>
        <w:ind w:left="5650" w:hanging="360"/>
      </w:pPr>
    </w:lvl>
    <w:lvl w:ilvl="8" w:tplc="0409001B" w:tentative="1">
      <w:start w:val="1"/>
      <w:numFmt w:val="lowerRoman"/>
      <w:lvlText w:val="%9."/>
      <w:lvlJc w:val="right"/>
      <w:pPr>
        <w:ind w:left="6370" w:hanging="180"/>
      </w:pPr>
    </w:lvl>
  </w:abstractNum>
  <w:abstractNum w:abstractNumId="31" w15:restartNumberingAfterBreak="0">
    <w:nsid w:val="14426E6D"/>
    <w:multiLevelType w:val="hybridMultilevel"/>
    <w:tmpl w:val="33745746"/>
    <w:lvl w:ilvl="0" w:tplc="2A3A3C5E">
      <w:start w:val="315"/>
      <w:numFmt w:val="decimal"/>
      <w:lvlText w:val="%1."/>
      <w:lvlJc w:val="left"/>
      <w:pPr>
        <w:tabs>
          <w:tab w:val="num" w:pos="720"/>
        </w:tabs>
        <w:ind w:left="720" w:hanging="360"/>
      </w:pPr>
      <w:rPr>
        <w:rFonts w:asciiTheme="majorHAnsi" w:hAnsiTheme="majorHAnsi" w:cstheme="majorHAnsi" w:hint="default"/>
        <w:b w:val="0"/>
        <w:i w:val="0"/>
        <w:color w:val="auto"/>
        <w:sz w:val="20"/>
        <w:szCs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14467750"/>
    <w:multiLevelType w:val="hybridMultilevel"/>
    <w:tmpl w:val="ABCC374C"/>
    <w:numStyleLink w:val="ImportedStyle36"/>
  </w:abstractNum>
  <w:abstractNum w:abstractNumId="33" w15:restartNumberingAfterBreak="0">
    <w:nsid w:val="153C4F6E"/>
    <w:multiLevelType w:val="multilevel"/>
    <w:tmpl w:val="047092F2"/>
    <w:lvl w:ilvl="0">
      <w:start w:val="1"/>
      <w:numFmt w:val="decimal"/>
      <w:lvlText w:val="%1"/>
      <w:lvlJc w:val="left"/>
      <w:pPr>
        <w:ind w:left="384" w:hanging="384"/>
      </w:pPr>
      <w:rPr>
        <w:rFonts w:hint="default"/>
      </w:rPr>
    </w:lvl>
    <w:lvl w:ilvl="1">
      <w:start w:val="1"/>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15CC6FB8"/>
    <w:multiLevelType w:val="multilevel"/>
    <w:tmpl w:val="604257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6" w15:restartNumberingAfterBreak="0">
    <w:nsid w:val="16B1371A"/>
    <w:multiLevelType w:val="hybridMultilevel"/>
    <w:tmpl w:val="2B86168E"/>
    <w:lvl w:ilvl="0" w:tplc="0409001B">
      <w:start w:val="1"/>
      <w:numFmt w:val="lowerRoman"/>
      <w:lvlText w:val="%1."/>
      <w:lvlJc w:val="righ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7" w15:restartNumberingAfterBreak="0">
    <w:nsid w:val="16B66FB5"/>
    <w:multiLevelType w:val="hybridMultilevel"/>
    <w:tmpl w:val="A55EA8A0"/>
    <w:lvl w:ilvl="0" w:tplc="18D4C5F8">
      <w:start w:val="5"/>
      <w:numFmt w:val="upperRoman"/>
      <w:lvlText w:val="%1."/>
      <w:lvlJc w:val="left"/>
      <w:pPr>
        <w:ind w:left="720" w:hanging="72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8" w15:restartNumberingAfterBreak="0">
    <w:nsid w:val="175A1FFA"/>
    <w:multiLevelType w:val="hybridMultilevel"/>
    <w:tmpl w:val="7B502946"/>
    <w:numStyleLink w:val="ImportedStyle3"/>
  </w:abstractNum>
  <w:abstractNum w:abstractNumId="39" w15:restartNumberingAfterBreak="0">
    <w:nsid w:val="1AD062A4"/>
    <w:multiLevelType w:val="hybridMultilevel"/>
    <w:tmpl w:val="12B2783A"/>
    <w:lvl w:ilvl="0" w:tplc="0809000F">
      <w:start w:val="1"/>
      <w:numFmt w:val="decimal"/>
      <w:lvlText w:val="%1."/>
      <w:lvlJc w:val="left"/>
      <w:pPr>
        <w:ind w:left="360" w:hanging="360"/>
      </w:pPr>
      <w:rPr>
        <w:rFonts w:cs="Times New Roman" w:hint="default"/>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40" w15:restartNumberingAfterBreak="0">
    <w:nsid w:val="1B1F31A0"/>
    <w:multiLevelType w:val="hybridMultilevel"/>
    <w:tmpl w:val="97785768"/>
    <w:lvl w:ilvl="0" w:tplc="78C22722">
      <w:start w:val="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1B415136"/>
    <w:multiLevelType w:val="hybridMultilevel"/>
    <w:tmpl w:val="F36AE866"/>
    <w:lvl w:ilvl="0" w:tplc="1D42BDE4">
      <w:start w:val="1"/>
      <w:numFmt w:val="decimal"/>
      <w:pStyle w:val="BodyText1"/>
      <w:lvlText w:val="%1."/>
      <w:lvlJc w:val="left"/>
      <w:pPr>
        <w:ind w:left="8866"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2" w15:restartNumberingAfterBreak="0">
    <w:nsid w:val="1B776264"/>
    <w:multiLevelType w:val="hybridMultilevel"/>
    <w:tmpl w:val="DC9CD474"/>
    <w:lvl w:ilvl="0" w:tplc="DA64AAE6">
      <w:start w:val="1"/>
      <w:numFmt w:val="decimal"/>
      <w:lvlText w:val="%1)"/>
      <w:lvlJc w:val="left"/>
      <w:pPr>
        <w:ind w:left="720" w:hanging="360"/>
      </w:pPr>
      <w:rPr>
        <w:rFonts w:eastAsia="MS Gothic" w:cstheme="majorHAnsi" w:hint="default"/>
      </w:rPr>
    </w:lvl>
    <w:lvl w:ilvl="1" w:tplc="083667D6">
      <w:start w:val="1"/>
      <w:numFmt w:val="bullet"/>
      <w:pStyle w:val="textetero"/>
      <w:lvlText w:val=""/>
      <w:lvlJc w:val="left"/>
      <w:pPr>
        <w:ind w:left="72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1BAEF0A7"/>
    <w:multiLevelType w:val="hybridMultilevel"/>
    <w:tmpl w:val="B2D1F8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1CAB00A1"/>
    <w:multiLevelType w:val="hybridMultilevel"/>
    <w:tmpl w:val="A39624FA"/>
    <w:styleLink w:val="ImportedStyle31"/>
    <w:lvl w:ilvl="0" w:tplc="DCAAF32E">
      <w:start w:val="1"/>
      <w:numFmt w:val="bullet"/>
      <w:lvlText w:val="-"/>
      <w:lvlJc w:val="left"/>
      <w:pPr>
        <w:tabs>
          <w:tab w:val="left" w:pos="360"/>
        </w:tabs>
        <w:ind w:left="71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C600C82">
      <w:start w:val="1"/>
      <w:numFmt w:val="bullet"/>
      <w:lvlText w:val="o"/>
      <w:lvlJc w:val="left"/>
      <w:pPr>
        <w:tabs>
          <w:tab w:val="left" w:pos="360"/>
        </w:tabs>
        <w:ind w:left="143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8E6323E">
      <w:start w:val="1"/>
      <w:numFmt w:val="bullet"/>
      <w:lvlText w:val="▪"/>
      <w:lvlJc w:val="left"/>
      <w:pPr>
        <w:tabs>
          <w:tab w:val="left" w:pos="360"/>
        </w:tabs>
        <w:ind w:left="215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62894CC">
      <w:start w:val="1"/>
      <w:numFmt w:val="bullet"/>
      <w:lvlText w:val="•"/>
      <w:lvlJc w:val="left"/>
      <w:pPr>
        <w:tabs>
          <w:tab w:val="left" w:pos="360"/>
        </w:tabs>
        <w:ind w:left="287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9DA2172">
      <w:start w:val="1"/>
      <w:numFmt w:val="bullet"/>
      <w:lvlText w:val="o"/>
      <w:lvlJc w:val="left"/>
      <w:pPr>
        <w:tabs>
          <w:tab w:val="left" w:pos="360"/>
        </w:tabs>
        <w:ind w:left="359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66206994">
      <w:start w:val="1"/>
      <w:numFmt w:val="bullet"/>
      <w:lvlText w:val="▪"/>
      <w:lvlJc w:val="left"/>
      <w:pPr>
        <w:tabs>
          <w:tab w:val="left" w:pos="360"/>
        </w:tabs>
        <w:ind w:left="431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7B85920">
      <w:start w:val="1"/>
      <w:numFmt w:val="bullet"/>
      <w:lvlText w:val="•"/>
      <w:lvlJc w:val="left"/>
      <w:pPr>
        <w:tabs>
          <w:tab w:val="left" w:pos="360"/>
        </w:tabs>
        <w:ind w:left="503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DA0A8CC">
      <w:start w:val="1"/>
      <w:numFmt w:val="bullet"/>
      <w:lvlText w:val="o"/>
      <w:lvlJc w:val="left"/>
      <w:pPr>
        <w:tabs>
          <w:tab w:val="left" w:pos="360"/>
        </w:tabs>
        <w:ind w:left="575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8BEAD7A">
      <w:start w:val="1"/>
      <w:numFmt w:val="bullet"/>
      <w:lvlText w:val="▪"/>
      <w:lvlJc w:val="left"/>
      <w:pPr>
        <w:tabs>
          <w:tab w:val="left" w:pos="360"/>
        </w:tabs>
        <w:ind w:left="6474" w:hanging="357"/>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5" w15:restartNumberingAfterBreak="0">
    <w:nsid w:val="1D8827DE"/>
    <w:multiLevelType w:val="hybridMultilevel"/>
    <w:tmpl w:val="3A228D50"/>
    <w:lvl w:ilvl="0" w:tplc="2F986312">
      <w:start w:val="1"/>
      <w:numFmt w:val="lowerLetter"/>
      <w:lvlText w:val="%1)"/>
      <w:lvlJc w:val="left"/>
      <w:pPr>
        <w:ind w:left="792" w:hanging="432"/>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1DAD2265"/>
    <w:multiLevelType w:val="hybridMultilevel"/>
    <w:tmpl w:val="6576B5D8"/>
    <w:lvl w:ilvl="0" w:tplc="59347FF4">
      <w:start w:val="8"/>
      <w:numFmt w:val="upperRoman"/>
      <w:lvlText w:val="%1."/>
      <w:lvlJc w:val="left"/>
      <w:pPr>
        <w:ind w:left="720" w:hanging="72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1DAF749C"/>
    <w:multiLevelType w:val="hybridMultilevel"/>
    <w:tmpl w:val="ABCC374C"/>
    <w:styleLink w:val="ImportedStyle36"/>
    <w:lvl w:ilvl="0" w:tplc="CCE636A8">
      <w:start w:val="1"/>
      <w:numFmt w:val="bullet"/>
      <w:lvlText w:val="-"/>
      <w:lvlJc w:val="left"/>
      <w:pPr>
        <w:ind w:left="56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51CC4A6">
      <w:start w:val="1"/>
      <w:numFmt w:val="bullet"/>
      <w:lvlText w:val="o"/>
      <w:lvlJc w:val="left"/>
      <w:pPr>
        <w:tabs>
          <w:tab w:val="left" w:pos="567"/>
        </w:tabs>
        <w:ind w:left="128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33C91B2">
      <w:start w:val="1"/>
      <w:numFmt w:val="bullet"/>
      <w:lvlText w:val="▪"/>
      <w:lvlJc w:val="left"/>
      <w:pPr>
        <w:tabs>
          <w:tab w:val="left" w:pos="567"/>
        </w:tabs>
        <w:ind w:left="200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660FEBC">
      <w:start w:val="1"/>
      <w:numFmt w:val="bullet"/>
      <w:lvlText w:val="•"/>
      <w:lvlJc w:val="left"/>
      <w:pPr>
        <w:tabs>
          <w:tab w:val="left" w:pos="567"/>
        </w:tabs>
        <w:ind w:left="272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0EEE31F2">
      <w:start w:val="1"/>
      <w:numFmt w:val="bullet"/>
      <w:lvlText w:val="o"/>
      <w:lvlJc w:val="left"/>
      <w:pPr>
        <w:tabs>
          <w:tab w:val="left" w:pos="567"/>
        </w:tabs>
        <w:ind w:left="344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242557E">
      <w:start w:val="1"/>
      <w:numFmt w:val="bullet"/>
      <w:lvlText w:val="▪"/>
      <w:lvlJc w:val="left"/>
      <w:pPr>
        <w:tabs>
          <w:tab w:val="left" w:pos="567"/>
        </w:tabs>
        <w:ind w:left="416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0E0202C">
      <w:start w:val="1"/>
      <w:numFmt w:val="bullet"/>
      <w:lvlText w:val="•"/>
      <w:lvlJc w:val="left"/>
      <w:pPr>
        <w:tabs>
          <w:tab w:val="left" w:pos="567"/>
        </w:tabs>
        <w:ind w:left="488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6F2370C">
      <w:start w:val="1"/>
      <w:numFmt w:val="bullet"/>
      <w:lvlText w:val="o"/>
      <w:lvlJc w:val="left"/>
      <w:pPr>
        <w:tabs>
          <w:tab w:val="left" w:pos="567"/>
        </w:tabs>
        <w:ind w:left="560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FB238BC">
      <w:start w:val="1"/>
      <w:numFmt w:val="bullet"/>
      <w:lvlText w:val="▪"/>
      <w:lvlJc w:val="left"/>
      <w:pPr>
        <w:tabs>
          <w:tab w:val="left" w:pos="567"/>
        </w:tabs>
        <w:ind w:left="6327"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8" w15:restartNumberingAfterBreak="0">
    <w:nsid w:val="1F302C1A"/>
    <w:multiLevelType w:val="hybridMultilevel"/>
    <w:tmpl w:val="26FCDDB4"/>
    <w:styleLink w:val="ImportedStyle10"/>
    <w:lvl w:ilvl="0" w:tplc="C002876E">
      <w:start w:val="1"/>
      <w:numFmt w:val="bullet"/>
      <w:lvlText w:val="-"/>
      <w:lvlJc w:val="left"/>
      <w:pPr>
        <w:ind w:left="56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1AAA9E">
      <w:start w:val="1"/>
      <w:numFmt w:val="bullet"/>
      <w:lvlText w:val="o"/>
      <w:lvlJc w:val="left"/>
      <w:pPr>
        <w:tabs>
          <w:tab w:val="left" w:pos="567"/>
        </w:tabs>
        <w:ind w:left="128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E361CF0">
      <w:start w:val="1"/>
      <w:numFmt w:val="bullet"/>
      <w:lvlText w:val="▪"/>
      <w:lvlJc w:val="left"/>
      <w:pPr>
        <w:tabs>
          <w:tab w:val="left" w:pos="567"/>
        </w:tabs>
        <w:ind w:left="200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75606C0">
      <w:start w:val="1"/>
      <w:numFmt w:val="bullet"/>
      <w:lvlText w:val="•"/>
      <w:lvlJc w:val="left"/>
      <w:pPr>
        <w:tabs>
          <w:tab w:val="left" w:pos="567"/>
        </w:tabs>
        <w:ind w:left="272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A8409B4">
      <w:start w:val="1"/>
      <w:numFmt w:val="bullet"/>
      <w:lvlText w:val="o"/>
      <w:lvlJc w:val="left"/>
      <w:pPr>
        <w:tabs>
          <w:tab w:val="left" w:pos="567"/>
        </w:tabs>
        <w:ind w:left="344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786B6C4">
      <w:start w:val="1"/>
      <w:numFmt w:val="bullet"/>
      <w:lvlText w:val="▪"/>
      <w:lvlJc w:val="left"/>
      <w:pPr>
        <w:tabs>
          <w:tab w:val="left" w:pos="567"/>
        </w:tabs>
        <w:ind w:left="416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8EEBBEE">
      <w:start w:val="1"/>
      <w:numFmt w:val="bullet"/>
      <w:lvlText w:val="•"/>
      <w:lvlJc w:val="left"/>
      <w:pPr>
        <w:tabs>
          <w:tab w:val="left" w:pos="567"/>
        </w:tabs>
        <w:ind w:left="488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4D65C16">
      <w:start w:val="1"/>
      <w:numFmt w:val="bullet"/>
      <w:lvlText w:val="o"/>
      <w:lvlJc w:val="left"/>
      <w:pPr>
        <w:tabs>
          <w:tab w:val="left" w:pos="567"/>
        </w:tabs>
        <w:ind w:left="560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0A4BB66">
      <w:start w:val="1"/>
      <w:numFmt w:val="bullet"/>
      <w:lvlText w:val="▪"/>
      <w:lvlJc w:val="left"/>
      <w:pPr>
        <w:tabs>
          <w:tab w:val="left" w:pos="567"/>
        </w:tabs>
        <w:ind w:left="6327" w:hanging="218"/>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9" w15:restartNumberingAfterBreak="0">
    <w:nsid w:val="1FB94579"/>
    <w:multiLevelType w:val="hybridMultilevel"/>
    <w:tmpl w:val="0DD8817A"/>
    <w:lvl w:ilvl="0" w:tplc="909C5C06">
      <w:start w:val="1"/>
      <w:numFmt w:val="bullet"/>
      <w:lvlText w:val="-"/>
      <w:lvlJc w:val="left"/>
      <w:pPr>
        <w:ind w:left="196" w:hanging="196"/>
      </w:pPr>
      <w:rPr>
        <w:rFonts w:hAnsi="Arial Unicode MS"/>
        <w:i/>
        <w:iCs/>
        <w:caps w:val="0"/>
        <w:smallCaps w:val="0"/>
        <w:strike w:val="0"/>
        <w:dstrike w:val="0"/>
        <w:color w:val="000000"/>
        <w:spacing w:val="0"/>
        <w:w w:val="100"/>
        <w:kern w:val="0"/>
        <w:position w:val="4"/>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06E7346">
      <w:start w:val="1"/>
      <w:numFmt w:val="bullet"/>
      <w:lvlText w:val="-"/>
      <w:lvlJc w:val="left"/>
      <w:pPr>
        <w:ind w:left="436" w:hanging="196"/>
      </w:pPr>
      <w:rPr>
        <w:rFonts w:hAnsi="Arial Unicode MS"/>
        <w:i/>
        <w:iCs/>
        <w:caps w:val="0"/>
        <w:smallCaps w:val="0"/>
        <w:strike w:val="0"/>
        <w:dstrike w:val="0"/>
        <w:color w:val="000000"/>
        <w:spacing w:val="0"/>
        <w:w w:val="100"/>
        <w:kern w:val="0"/>
        <w:position w:val="4"/>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A27C0756">
      <w:start w:val="1"/>
      <w:numFmt w:val="bullet"/>
      <w:lvlText w:val="-"/>
      <w:lvlJc w:val="left"/>
      <w:pPr>
        <w:ind w:left="676" w:hanging="196"/>
      </w:pPr>
      <w:rPr>
        <w:rFonts w:hAnsi="Arial Unicode MS"/>
        <w:i/>
        <w:iCs/>
        <w:caps w:val="0"/>
        <w:smallCaps w:val="0"/>
        <w:strike w:val="0"/>
        <w:dstrike w:val="0"/>
        <w:color w:val="000000"/>
        <w:spacing w:val="0"/>
        <w:w w:val="100"/>
        <w:kern w:val="0"/>
        <w:position w:val="4"/>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7465750">
      <w:start w:val="1"/>
      <w:numFmt w:val="bullet"/>
      <w:lvlText w:val="-"/>
      <w:lvlJc w:val="left"/>
      <w:pPr>
        <w:ind w:left="916" w:hanging="196"/>
      </w:pPr>
      <w:rPr>
        <w:rFonts w:hAnsi="Arial Unicode MS"/>
        <w:i/>
        <w:iCs/>
        <w:caps w:val="0"/>
        <w:smallCaps w:val="0"/>
        <w:strike w:val="0"/>
        <w:dstrike w:val="0"/>
        <w:color w:val="000000"/>
        <w:spacing w:val="0"/>
        <w:w w:val="100"/>
        <w:kern w:val="0"/>
        <w:position w:val="4"/>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3CFA42">
      <w:start w:val="1"/>
      <w:numFmt w:val="bullet"/>
      <w:lvlText w:val="-"/>
      <w:lvlJc w:val="left"/>
      <w:pPr>
        <w:ind w:left="1156" w:hanging="196"/>
      </w:pPr>
      <w:rPr>
        <w:rFonts w:hAnsi="Arial Unicode MS"/>
        <w:i/>
        <w:iCs/>
        <w:caps w:val="0"/>
        <w:smallCaps w:val="0"/>
        <w:strike w:val="0"/>
        <w:dstrike w:val="0"/>
        <w:color w:val="000000"/>
        <w:spacing w:val="0"/>
        <w:w w:val="100"/>
        <w:kern w:val="0"/>
        <w:position w:val="4"/>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32A2002">
      <w:start w:val="1"/>
      <w:numFmt w:val="bullet"/>
      <w:lvlText w:val="-"/>
      <w:lvlJc w:val="left"/>
      <w:pPr>
        <w:ind w:left="1396" w:hanging="196"/>
      </w:pPr>
      <w:rPr>
        <w:rFonts w:hAnsi="Arial Unicode MS"/>
        <w:i/>
        <w:iCs/>
        <w:caps w:val="0"/>
        <w:smallCaps w:val="0"/>
        <w:strike w:val="0"/>
        <w:dstrike w:val="0"/>
        <w:color w:val="000000"/>
        <w:spacing w:val="0"/>
        <w:w w:val="100"/>
        <w:kern w:val="0"/>
        <w:position w:val="4"/>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C44545E">
      <w:start w:val="1"/>
      <w:numFmt w:val="bullet"/>
      <w:lvlText w:val="-"/>
      <w:lvlJc w:val="left"/>
      <w:pPr>
        <w:ind w:left="1636" w:hanging="196"/>
      </w:pPr>
      <w:rPr>
        <w:rFonts w:hAnsi="Arial Unicode MS"/>
        <w:i/>
        <w:iCs/>
        <w:caps w:val="0"/>
        <w:smallCaps w:val="0"/>
        <w:strike w:val="0"/>
        <w:dstrike w:val="0"/>
        <w:color w:val="000000"/>
        <w:spacing w:val="0"/>
        <w:w w:val="100"/>
        <w:kern w:val="0"/>
        <w:position w:val="4"/>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7DCA6F8">
      <w:start w:val="1"/>
      <w:numFmt w:val="bullet"/>
      <w:lvlText w:val="-"/>
      <w:lvlJc w:val="left"/>
      <w:pPr>
        <w:ind w:left="1876" w:hanging="196"/>
      </w:pPr>
      <w:rPr>
        <w:rFonts w:hAnsi="Arial Unicode MS"/>
        <w:i/>
        <w:iCs/>
        <w:caps w:val="0"/>
        <w:smallCaps w:val="0"/>
        <w:strike w:val="0"/>
        <w:dstrike w:val="0"/>
        <w:color w:val="000000"/>
        <w:spacing w:val="0"/>
        <w:w w:val="100"/>
        <w:kern w:val="0"/>
        <w:position w:val="4"/>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B5AC6FE">
      <w:start w:val="1"/>
      <w:numFmt w:val="bullet"/>
      <w:lvlText w:val="-"/>
      <w:lvlJc w:val="left"/>
      <w:pPr>
        <w:ind w:left="2116" w:hanging="196"/>
      </w:pPr>
      <w:rPr>
        <w:rFonts w:hAnsi="Arial Unicode MS"/>
        <w:i/>
        <w:iCs/>
        <w:caps w:val="0"/>
        <w:smallCaps w:val="0"/>
        <w:strike w:val="0"/>
        <w:dstrike w:val="0"/>
        <w:color w:val="000000"/>
        <w:spacing w:val="0"/>
        <w:w w:val="100"/>
        <w:kern w:val="0"/>
        <w:position w:val="4"/>
        <w:sz w:val="22"/>
        <w:szCs w:val="22"/>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0" w15:restartNumberingAfterBreak="0">
    <w:nsid w:val="20906CDF"/>
    <w:multiLevelType w:val="hybridMultilevel"/>
    <w:tmpl w:val="9E244A1C"/>
    <w:lvl w:ilvl="0" w:tplc="A78AD9E8">
      <w:start w:val="1"/>
      <w:numFmt w:val="bullet"/>
      <w:pStyle w:val="ListBullet"/>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32458D3"/>
    <w:multiLevelType w:val="hybridMultilevel"/>
    <w:tmpl w:val="90440DC8"/>
    <w:lvl w:ilvl="0" w:tplc="F48C43C2">
      <w:start w:val="142"/>
      <w:numFmt w:val="bullet"/>
      <w:lvlText w:val="-"/>
      <w:lvlJc w:val="left"/>
      <w:pPr>
        <w:ind w:left="720" w:hanging="360"/>
      </w:pPr>
      <w:rPr>
        <w:rFonts w:ascii="Calibri" w:eastAsiaTheme="minorHAnsi" w:hAnsi="Calibri" w:cstheme="minorBidi" w:hint="default"/>
        <w:lang w:val="en-G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43F3A0C"/>
    <w:multiLevelType w:val="hybridMultilevel"/>
    <w:tmpl w:val="D6DC3164"/>
    <w:lvl w:ilvl="0" w:tplc="CA9443D6">
      <w:start w:val="1"/>
      <w:numFmt w:val="decimal"/>
      <w:lvlText w:val="(%1)"/>
      <w:lvlJc w:val="left"/>
      <w:pPr>
        <w:ind w:left="720" w:hanging="360"/>
      </w:pPr>
      <w:rPr>
        <w:rFonts w:hint="default"/>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15:restartNumberingAfterBreak="0">
    <w:nsid w:val="25114486"/>
    <w:multiLevelType w:val="multilevel"/>
    <w:tmpl w:val="F246058A"/>
    <w:lvl w:ilvl="0">
      <w:start w:val="2"/>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5" w15:restartNumberingAfterBreak="0">
    <w:nsid w:val="259A46ED"/>
    <w:multiLevelType w:val="hybridMultilevel"/>
    <w:tmpl w:val="80DE23E2"/>
    <w:styleLink w:val="ImportedStyle12"/>
    <w:lvl w:ilvl="0" w:tplc="DC14771E">
      <w:start w:val="1"/>
      <w:numFmt w:val="bullet"/>
      <w:lvlText w:val="-"/>
      <w:lvlJc w:val="left"/>
      <w:pPr>
        <w:ind w:left="45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C162080">
      <w:start w:val="1"/>
      <w:numFmt w:val="bullet"/>
      <w:lvlText w:val="o"/>
      <w:lvlJc w:val="left"/>
      <w:pPr>
        <w:ind w:left="117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48E8C02">
      <w:start w:val="1"/>
      <w:numFmt w:val="bullet"/>
      <w:lvlText w:val="▪"/>
      <w:lvlJc w:val="left"/>
      <w:pPr>
        <w:ind w:left="189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EC2ED50">
      <w:start w:val="1"/>
      <w:numFmt w:val="bullet"/>
      <w:lvlText w:val="•"/>
      <w:lvlJc w:val="left"/>
      <w:pPr>
        <w:ind w:left="261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62C414C">
      <w:start w:val="1"/>
      <w:numFmt w:val="bullet"/>
      <w:lvlText w:val="o"/>
      <w:lvlJc w:val="left"/>
      <w:pPr>
        <w:ind w:left="333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69C0B92">
      <w:start w:val="1"/>
      <w:numFmt w:val="bullet"/>
      <w:lvlText w:val="▪"/>
      <w:lvlJc w:val="left"/>
      <w:pPr>
        <w:ind w:left="405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41AA762">
      <w:start w:val="1"/>
      <w:numFmt w:val="bullet"/>
      <w:lvlText w:val="•"/>
      <w:lvlJc w:val="left"/>
      <w:pPr>
        <w:ind w:left="477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2788CD8">
      <w:start w:val="1"/>
      <w:numFmt w:val="bullet"/>
      <w:lvlText w:val="o"/>
      <w:lvlJc w:val="left"/>
      <w:pPr>
        <w:ind w:left="549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724136E">
      <w:start w:val="1"/>
      <w:numFmt w:val="bullet"/>
      <w:lvlText w:val="▪"/>
      <w:lvlJc w:val="left"/>
      <w:pPr>
        <w:ind w:left="6210" w:hanging="245"/>
      </w:pPr>
      <w:rPr>
        <w:rFonts w:ascii="Times New Roman" w:eastAsia="Times New Roman" w:hAnsi="Times New Roman" w:cs="Times New Roman"/>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6" w15:restartNumberingAfterBreak="0">
    <w:nsid w:val="2620535E"/>
    <w:multiLevelType w:val="hybridMultilevel"/>
    <w:tmpl w:val="4D422B98"/>
    <w:lvl w:ilvl="0" w:tplc="DA64AAE6">
      <w:start w:val="1"/>
      <w:numFmt w:val="decimal"/>
      <w:lvlText w:val="%1)"/>
      <w:lvlJc w:val="left"/>
      <w:pPr>
        <w:ind w:left="720" w:hanging="360"/>
      </w:pPr>
      <w:rPr>
        <w:rFonts w:eastAsia="MS Gothic" w:cstheme="majorHAnsi" w:hint="default"/>
      </w:rPr>
    </w:lvl>
    <w:lvl w:ilvl="1" w:tplc="BB30BB20">
      <w:start w:val="3"/>
      <w:numFmt w:val="bullet"/>
      <w:lvlText w:val="-"/>
      <w:lvlJc w:val="left"/>
      <w:pPr>
        <w:ind w:left="1440" w:hanging="360"/>
      </w:pPr>
      <w:rPr>
        <w:rFonts w:ascii="Calibri Light" w:eastAsia="Times New Roman" w:hAnsi="Calibri Light" w:cs="Calibri Light"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65E204A"/>
    <w:multiLevelType w:val="hybridMultilevel"/>
    <w:tmpl w:val="CA940F90"/>
    <w:lvl w:ilvl="0" w:tplc="BB30BB20">
      <w:start w:val="3"/>
      <w:numFmt w:val="bullet"/>
      <w:lvlText w:val="-"/>
      <w:lvlJc w:val="left"/>
      <w:pPr>
        <w:ind w:left="720" w:hanging="360"/>
      </w:pPr>
      <w:rPr>
        <w:rFonts w:ascii="Calibri Light" w:eastAsia="Times New Roman" w:hAnsi="Calibri Light" w:cs="Calibri Ligh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27A0F79B"/>
    <w:multiLevelType w:val="hybridMultilevel"/>
    <w:tmpl w:val="E8FAEDA1"/>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27F2236C"/>
    <w:multiLevelType w:val="hybridMultilevel"/>
    <w:tmpl w:val="81FC078A"/>
    <w:lvl w:ilvl="0" w:tplc="AAFE5DE4">
      <w:start w:val="3"/>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2ACF7429"/>
    <w:multiLevelType w:val="multilevel"/>
    <w:tmpl w:val="20B40CFA"/>
    <w:lvl w:ilvl="0">
      <w:start w:val="1"/>
      <w:numFmt w:val="decimal"/>
      <w:lvlText w:val="%1"/>
      <w:lvlJc w:val="left"/>
      <w:pPr>
        <w:ind w:left="360" w:hanging="360"/>
      </w:pPr>
      <w:rPr>
        <w:rFonts w:asciiTheme="majorHAnsi" w:hAnsiTheme="majorHAnsi" w:cstheme="majorHAnsi" w:hint="default"/>
      </w:rPr>
    </w:lvl>
    <w:lvl w:ilvl="1">
      <w:start w:val="1"/>
      <w:numFmt w:val="decimal"/>
      <w:lvlText w:val="%1.%2"/>
      <w:lvlJc w:val="left"/>
      <w:pPr>
        <w:ind w:left="360" w:hanging="360"/>
      </w:pPr>
      <w:rPr>
        <w:rFonts w:asciiTheme="majorHAnsi" w:hAnsiTheme="majorHAnsi" w:cstheme="majorHAnsi" w:hint="default"/>
      </w:rPr>
    </w:lvl>
    <w:lvl w:ilvl="2">
      <w:start w:val="1"/>
      <w:numFmt w:val="decimal"/>
      <w:lvlText w:val="%1.%2.%3"/>
      <w:lvlJc w:val="left"/>
      <w:pPr>
        <w:ind w:left="360" w:hanging="360"/>
      </w:pPr>
      <w:rPr>
        <w:rFonts w:asciiTheme="majorHAnsi" w:hAnsiTheme="majorHAnsi" w:cstheme="majorHAnsi" w:hint="default"/>
      </w:rPr>
    </w:lvl>
    <w:lvl w:ilvl="3">
      <w:start w:val="1"/>
      <w:numFmt w:val="decimal"/>
      <w:lvlText w:val="%1.%2.%3.%4"/>
      <w:lvlJc w:val="left"/>
      <w:pPr>
        <w:ind w:left="720" w:hanging="720"/>
      </w:pPr>
      <w:rPr>
        <w:rFonts w:asciiTheme="majorHAnsi" w:hAnsiTheme="majorHAnsi" w:cstheme="majorHAnsi" w:hint="default"/>
      </w:rPr>
    </w:lvl>
    <w:lvl w:ilvl="4">
      <w:start w:val="1"/>
      <w:numFmt w:val="decimal"/>
      <w:lvlText w:val="%1.%2.%3.%4.%5"/>
      <w:lvlJc w:val="left"/>
      <w:pPr>
        <w:ind w:left="720" w:hanging="720"/>
      </w:pPr>
      <w:rPr>
        <w:rFonts w:asciiTheme="majorHAnsi" w:hAnsiTheme="majorHAnsi" w:cstheme="majorHAnsi" w:hint="default"/>
      </w:rPr>
    </w:lvl>
    <w:lvl w:ilvl="5">
      <w:start w:val="1"/>
      <w:numFmt w:val="decimal"/>
      <w:lvlText w:val="%1.%2.%3.%4.%5.%6"/>
      <w:lvlJc w:val="left"/>
      <w:pPr>
        <w:ind w:left="1080" w:hanging="1080"/>
      </w:pPr>
      <w:rPr>
        <w:rFonts w:asciiTheme="majorHAnsi" w:hAnsiTheme="majorHAnsi" w:cstheme="majorHAnsi" w:hint="default"/>
      </w:rPr>
    </w:lvl>
    <w:lvl w:ilvl="6">
      <w:start w:val="1"/>
      <w:numFmt w:val="decimal"/>
      <w:lvlText w:val="%1.%2.%3.%4.%5.%6.%7"/>
      <w:lvlJc w:val="left"/>
      <w:pPr>
        <w:ind w:left="1080" w:hanging="1080"/>
      </w:pPr>
      <w:rPr>
        <w:rFonts w:asciiTheme="majorHAnsi" w:hAnsiTheme="majorHAnsi" w:cstheme="majorHAnsi" w:hint="default"/>
      </w:rPr>
    </w:lvl>
    <w:lvl w:ilvl="7">
      <w:start w:val="1"/>
      <w:numFmt w:val="decimal"/>
      <w:lvlText w:val="%1.%2.%3.%4.%5.%6.%7.%8"/>
      <w:lvlJc w:val="left"/>
      <w:pPr>
        <w:ind w:left="1080" w:hanging="1080"/>
      </w:pPr>
      <w:rPr>
        <w:rFonts w:asciiTheme="majorHAnsi" w:hAnsiTheme="majorHAnsi" w:cstheme="majorHAnsi" w:hint="default"/>
      </w:rPr>
    </w:lvl>
    <w:lvl w:ilvl="8">
      <w:start w:val="1"/>
      <w:numFmt w:val="decimal"/>
      <w:lvlText w:val="%1.%2.%3.%4.%5.%6.%7.%8.%9"/>
      <w:lvlJc w:val="left"/>
      <w:pPr>
        <w:ind w:left="1440" w:hanging="1440"/>
      </w:pPr>
      <w:rPr>
        <w:rFonts w:asciiTheme="majorHAnsi" w:hAnsiTheme="majorHAnsi" w:cstheme="majorHAnsi" w:hint="default"/>
      </w:rPr>
    </w:lvl>
  </w:abstractNum>
  <w:abstractNum w:abstractNumId="62" w15:restartNumberingAfterBreak="0">
    <w:nsid w:val="2B301E5A"/>
    <w:multiLevelType w:val="hybridMultilevel"/>
    <w:tmpl w:val="ACDC15BA"/>
    <w:lvl w:ilvl="0" w:tplc="DF7C2276">
      <w:start w:val="12"/>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2B4479C1"/>
    <w:multiLevelType w:val="hybridMultilevel"/>
    <w:tmpl w:val="7CAA20A6"/>
    <w:styleLink w:val="ImportedStyle17"/>
    <w:lvl w:ilvl="0" w:tplc="F692C9D0">
      <w:start w:val="1"/>
      <w:numFmt w:val="decimal"/>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13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BA6C4C0">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8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8ACE958C">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257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F8681A">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329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63AD706">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01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8D6E1BA">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73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534C0B6">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54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9C851B8">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17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7FA4F40">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89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4" w15:restartNumberingAfterBreak="0">
    <w:nsid w:val="2E9E12EF"/>
    <w:multiLevelType w:val="hybridMultilevel"/>
    <w:tmpl w:val="3E6622A0"/>
    <w:styleLink w:val="Bullet"/>
    <w:lvl w:ilvl="0" w:tplc="D8826E2E">
      <w:start w:val="1"/>
      <w:numFmt w:val="bullet"/>
      <w:lvlText w:val="•"/>
      <w:lvlJc w:val="left"/>
      <w:pPr>
        <w:ind w:left="216" w:hanging="216"/>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BC4E74">
      <w:start w:val="1"/>
      <w:numFmt w:val="bullet"/>
      <w:lvlText w:val="•"/>
      <w:lvlJc w:val="left"/>
      <w:pPr>
        <w:ind w:left="44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126F202">
      <w:start w:val="1"/>
      <w:numFmt w:val="bullet"/>
      <w:lvlText w:val="•"/>
      <w:lvlJc w:val="left"/>
      <w:pPr>
        <w:ind w:left="66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1A8C026">
      <w:start w:val="1"/>
      <w:numFmt w:val="bullet"/>
      <w:lvlText w:val="•"/>
      <w:lvlJc w:val="left"/>
      <w:pPr>
        <w:ind w:left="88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6501062">
      <w:start w:val="1"/>
      <w:numFmt w:val="bullet"/>
      <w:lvlText w:val="•"/>
      <w:lvlJc w:val="left"/>
      <w:pPr>
        <w:ind w:left="110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596877E">
      <w:start w:val="1"/>
      <w:numFmt w:val="bullet"/>
      <w:lvlText w:val="•"/>
      <w:lvlJc w:val="left"/>
      <w:pPr>
        <w:ind w:left="132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6D41B42">
      <w:start w:val="1"/>
      <w:numFmt w:val="bullet"/>
      <w:lvlText w:val="•"/>
      <w:lvlJc w:val="left"/>
      <w:pPr>
        <w:ind w:left="154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91A4C9E">
      <w:start w:val="1"/>
      <w:numFmt w:val="bullet"/>
      <w:lvlText w:val="•"/>
      <w:lvlJc w:val="left"/>
      <w:pPr>
        <w:ind w:left="176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F220382">
      <w:start w:val="1"/>
      <w:numFmt w:val="bullet"/>
      <w:lvlText w:val="•"/>
      <w:lvlJc w:val="left"/>
      <w:pPr>
        <w:ind w:left="1980" w:hanging="220"/>
      </w:pPr>
      <w:rPr>
        <w:rFonts w:hAnsi="Arial Unicode MS"/>
        <w:caps w:val="0"/>
        <w:smallCaps w:val="0"/>
        <w:strike w:val="0"/>
        <w:dstrike w:val="0"/>
        <w:color w:val="7F8685"/>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5" w15:restartNumberingAfterBreak="0">
    <w:nsid w:val="30AC61FD"/>
    <w:multiLevelType w:val="hybridMultilevel"/>
    <w:tmpl w:val="BFC8FB28"/>
    <w:lvl w:ilvl="0" w:tplc="040C0013">
      <w:start w:val="1"/>
      <w:numFmt w:val="upperRoman"/>
      <w:lvlText w:val="%1."/>
      <w:lvlJc w:val="righ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15:restartNumberingAfterBreak="0">
    <w:nsid w:val="30AF6260"/>
    <w:multiLevelType w:val="hybridMultilevel"/>
    <w:tmpl w:val="7C58A8AC"/>
    <w:styleLink w:val="ImportedStyle14"/>
    <w:lvl w:ilvl="0" w:tplc="41248660">
      <w:start w:val="1"/>
      <w:numFmt w:val="bullet"/>
      <w:lvlText w:val="•"/>
      <w:lvlJc w:val="left"/>
      <w:pPr>
        <w:ind w:left="71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6B053E8">
      <w:start w:val="1"/>
      <w:numFmt w:val="bullet"/>
      <w:lvlText w:val="o"/>
      <w:lvlJc w:val="left"/>
      <w:pPr>
        <w:ind w:left="143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BDC6738">
      <w:start w:val="1"/>
      <w:numFmt w:val="bullet"/>
      <w:lvlText w:val="▪"/>
      <w:lvlJc w:val="left"/>
      <w:pPr>
        <w:ind w:left="215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F4AB0F6">
      <w:start w:val="1"/>
      <w:numFmt w:val="bullet"/>
      <w:lvlText w:val="•"/>
      <w:lvlJc w:val="left"/>
      <w:pPr>
        <w:ind w:left="287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F0E3980">
      <w:start w:val="1"/>
      <w:numFmt w:val="bullet"/>
      <w:lvlText w:val="o"/>
      <w:lvlJc w:val="left"/>
      <w:pPr>
        <w:ind w:left="359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24806F0">
      <w:start w:val="1"/>
      <w:numFmt w:val="bullet"/>
      <w:lvlText w:val="▪"/>
      <w:lvlJc w:val="left"/>
      <w:pPr>
        <w:ind w:left="431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086273E">
      <w:start w:val="1"/>
      <w:numFmt w:val="bullet"/>
      <w:lvlText w:val="•"/>
      <w:lvlJc w:val="left"/>
      <w:pPr>
        <w:ind w:left="5034" w:hanging="357"/>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D726D28">
      <w:start w:val="1"/>
      <w:numFmt w:val="bullet"/>
      <w:lvlText w:val="o"/>
      <w:lvlJc w:val="left"/>
      <w:pPr>
        <w:ind w:left="575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62EF5EE">
      <w:start w:val="1"/>
      <w:numFmt w:val="bullet"/>
      <w:lvlText w:val="▪"/>
      <w:lvlJc w:val="left"/>
      <w:pPr>
        <w:ind w:left="6474" w:hanging="357"/>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7" w15:restartNumberingAfterBreak="0">
    <w:nsid w:val="32952D0B"/>
    <w:multiLevelType w:val="hybridMultilevel"/>
    <w:tmpl w:val="CA968A04"/>
    <w:lvl w:ilvl="0" w:tplc="44A27842">
      <w:start w:val="1"/>
      <w:numFmt w:val="decimal"/>
      <w:lvlText w:val="Table %1."/>
      <w:lvlJc w:val="left"/>
      <w:pPr>
        <w:ind w:left="3763" w:hanging="360"/>
      </w:pPr>
      <w:rPr>
        <w:rFonts w:asciiTheme="majorHAnsi" w:eastAsia="Trebuchet MS" w:hAnsiTheme="majorHAnsi" w:cstheme="majorHAnsi" w:hint="default"/>
        <w:b/>
        <w:bCs w:val="0"/>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8" w15:restartNumberingAfterBreak="0">
    <w:nsid w:val="331A3927"/>
    <w:multiLevelType w:val="hybridMultilevel"/>
    <w:tmpl w:val="87BE0816"/>
    <w:lvl w:ilvl="0" w:tplc="8E306844">
      <w:start w:val="316"/>
      <w:numFmt w:val="decimal"/>
      <w:lvlText w:val="%1."/>
      <w:lvlJc w:val="left"/>
      <w:pPr>
        <w:tabs>
          <w:tab w:val="num" w:pos="360"/>
        </w:tabs>
        <w:ind w:left="360" w:hanging="360"/>
      </w:pPr>
      <w:rPr>
        <w:rFonts w:asciiTheme="majorHAnsi" w:hAnsiTheme="majorHAnsi" w:cstheme="majorHAnsi" w:hint="default"/>
        <w:b w:val="0"/>
        <w:i w:val="0"/>
        <w:color w:val="auto"/>
        <w:sz w:val="20"/>
        <w:szCs w:val="2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9" w15:restartNumberingAfterBreak="0">
    <w:nsid w:val="332F4999"/>
    <w:multiLevelType w:val="hybridMultilevel"/>
    <w:tmpl w:val="332C7E04"/>
    <w:lvl w:ilvl="0" w:tplc="FD1A7AFE">
      <w:start w:val="18"/>
      <w:numFmt w:val="bullet"/>
      <w:lvlText w:val="-"/>
      <w:lvlJc w:val="left"/>
      <w:pPr>
        <w:ind w:left="720" w:hanging="360"/>
      </w:pPr>
      <w:rPr>
        <w:rFonts w:ascii="Times New Roman" w:eastAsia="Times New Roman" w:hAnsi="Times New Roman" w:cs="Times New Roman" w:hint="default"/>
        <w:b w:val="0"/>
        <w:u w:val="no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0" w15:restartNumberingAfterBreak="0">
    <w:nsid w:val="33690049"/>
    <w:multiLevelType w:val="hybridMultilevel"/>
    <w:tmpl w:val="2E862CD4"/>
    <w:lvl w:ilvl="0" w:tplc="274E2D9C">
      <w:start w:val="1"/>
      <w:numFmt w:val="decimal"/>
      <w:lvlText w:val="%1."/>
      <w:lvlJc w:val="left"/>
      <w:pPr>
        <w:ind w:left="720" w:hanging="360"/>
      </w:pPr>
      <w:rPr>
        <w:rFonts w:ascii="Calibri" w:hAnsi="Calibr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34956ACD"/>
    <w:multiLevelType w:val="hybridMultilevel"/>
    <w:tmpl w:val="C0AADA00"/>
    <w:lvl w:ilvl="0" w:tplc="0409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2" w15:restartNumberingAfterBreak="0">
    <w:nsid w:val="34E32406"/>
    <w:multiLevelType w:val="hybridMultilevel"/>
    <w:tmpl w:val="66CE8E22"/>
    <w:lvl w:ilvl="0" w:tplc="50CAD2E6">
      <w:start w:val="4"/>
      <w:numFmt w:val="upperRoman"/>
      <w:lvlText w:val="%1."/>
      <w:lvlJc w:val="left"/>
      <w:pPr>
        <w:ind w:left="720" w:hanging="72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3" w15:restartNumberingAfterBreak="0">
    <w:nsid w:val="37F5003D"/>
    <w:multiLevelType w:val="hybridMultilevel"/>
    <w:tmpl w:val="9D58C1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4" w15:restartNumberingAfterBreak="0">
    <w:nsid w:val="38C10C38"/>
    <w:multiLevelType w:val="hybridMultilevel"/>
    <w:tmpl w:val="814A641A"/>
    <w:lvl w:ilvl="0" w:tplc="4F248E6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5" w15:restartNumberingAfterBreak="0">
    <w:nsid w:val="39844985"/>
    <w:multiLevelType w:val="hybridMultilevel"/>
    <w:tmpl w:val="8ED886F4"/>
    <w:lvl w:ilvl="0" w:tplc="C1CC4B60">
      <w:start w:val="1"/>
      <w:numFmt w:val="bullet"/>
      <w:lvlText w:val="-"/>
      <w:lvlJc w:val="left"/>
      <w:pPr>
        <w:ind w:left="7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1">
      <w:start w:val="1"/>
      <w:numFmt w:val="bullet"/>
      <w:lvlText w:val=""/>
      <w:lvlJc w:val="left"/>
      <w:pPr>
        <w:tabs>
          <w:tab w:val="left" w:pos="720"/>
        </w:tabs>
        <w:ind w:left="1440" w:hanging="360"/>
      </w:pPr>
      <w:rPr>
        <w:rFonts w:ascii="Symbol" w:hAnsi="Symbol" w:hint="default"/>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CAF25BD4">
      <w:start w:val="1"/>
      <w:numFmt w:val="bullet"/>
      <w:lvlText w:val="▪"/>
      <w:lvlJc w:val="left"/>
      <w:pPr>
        <w:tabs>
          <w:tab w:val="left" w:pos="720"/>
        </w:tabs>
        <w:ind w:left="21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A74EBA8">
      <w:start w:val="1"/>
      <w:numFmt w:val="bullet"/>
      <w:lvlText w:val="•"/>
      <w:lvlJc w:val="left"/>
      <w:pPr>
        <w:tabs>
          <w:tab w:val="left" w:pos="720"/>
        </w:tabs>
        <w:ind w:left="28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4B6043C">
      <w:start w:val="1"/>
      <w:numFmt w:val="bullet"/>
      <w:lvlText w:val="o"/>
      <w:lvlJc w:val="left"/>
      <w:pPr>
        <w:tabs>
          <w:tab w:val="left" w:pos="720"/>
        </w:tabs>
        <w:ind w:left="360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63AF73C">
      <w:start w:val="1"/>
      <w:numFmt w:val="bullet"/>
      <w:lvlText w:val="▪"/>
      <w:lvlJc w:val="left"/>
      <w:pPr>
        <w:tabs>
          <w:tab w:val="left" w:pos="720"/>
        </w:tabs>
        <w:ind w:left="432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444285C">
      <w:start w:val="1"/>
      <w:numFmt w:val="bullet"/>
      <w:lvlText w:val="•"/>
      <w:lvlJc w:val="left"/>
      <w:pPr>
        <w:tabs>
          <w:tab w:val="left" w:pos="720"/>
        </w:tabs>
        <w:ind w:left="504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93611B0">
      <w:start w:val="1"/>
      <w:numFmt w:val="bullet"/>
      <w:lvlText w:val="o"/>
      <w:lvlJc w:val="left"/>
      <w:pPr>
        <w:tabs>
          <w:tab w:val="left" w:pos="720"/>
        </w:tabs>
        <w:ind w:left="576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B727BA4">
      <w:start w:val="1"/>
      <w:numFmt w:val="bullet"/>
      <w:lvlText w:val="▪"/>
      <w:lvlJc w:val="left"/>
      <w:pPr>
        <w:tabs>
          <w:tab w:val="left" w:pos="720"/>
        </w:tabs>
        <w:ind w:left="6480" w:hanging="360"/>
      </w:pPr>
      <w:rPr>
        <w:rFonts w:ascii="Arial" w:eastAsia="Arial" w:hAnsi="Arial" w:cs="Aria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6" w15:restartNumberingAfterBreak="0">
    <w:nsid w:val="3AD52F9A"/>
    <w:multiLevelType w:val="multilevel"/>
    <w:tmpl w:val="854C2CE0"/>
    <w:lvl w:ilvl="0">
      <w:start w:val="2"/>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7" w15:restartNumberingAfterBreak="0">
    <w:nsid w:val="3AF8025B"/>
    <w:multiLevelType w:val="hybridMultilevel"/>
    <w:tmpl w:val="FC169320"/>
    <w:lvl w:ilvl="0" w:tplc="D9B6B37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15:restartNumberingAfterBreak="0">
    <w:nsid w:val="3B4F7EBD"/>
    <w:multiLevelType w:val="hybridMultilevel"/>
    <w:tmpl w:val="8A36D990"/>
    <w:lvl w:ilvl="0" w:tplc="2564B51C">
      <w:start w:val="4"/>
      <w:numFmt w:val="lowerLetter"/>
      <w:lvlText w:val="%1)"/>
      <w:lvlJc w:val="left"/>
      <w:pPr>
        <w:ind w:left="432" w:hanging="360"/>
      </w:pPr>
      <w:rPr>
        <w:rFonts w:hint="default"/>
      </w:rPr>
    </w:lvl>
    <w:lvl w:ilvl="1" w:tplc="08090019" w:tentative="1">
      <w:start w:val="1"/>
      <w:numFmt w:val="lowerLetter"/>
      <w:lvlText w:val="%2."/>
      <w:lvlJc w:val="left"/>
      <w:pPr>
        <w:ind w:left="1152" w:hanging="360"/>
      </w:pPr>
    </w:lvl>
    <w:lvl w:ilvl="2" w:tplc="0809001B" w:tentative="1">
      <w:start w:val="1"/>
      <w:numFmt w:val="lowerRoman"/>
      <w:lvlText w:val="%3."/>
      <w:lvlJc w:val="right"/>
      <w:pPr>
        <w:ind w:left="1872" w:hanging="180"/>
      </w:pPr>
    </w:lvl>
    <w:lvl w:ilvl="3" w:tplc="0809000F" w:tentative="1">
      <w:start w:val="1"/>
      <w:numFmt w:val="decimal"/>
      <w:lvlText w:val="%4."/>
      <w:lvlJc w:val="left"/>
      <w:pPr>
        <w:ind w:left="2592" w:hanging="360"/>
      </w:pPr>
    </w:lvl>
    <w:lvl w:ilvl="4" w:tplc="08090019" w:tentative="1">
      <w:start w:val="1"/>
      <w:numFmt w:val="lowerLetter"/>
      <w:lvlText w:val="%5."/>
      <w:lvlJc w:val="left"/>
      <w:pPr>
        <w:ind w:left="3312" w:hanging="360"/>
      </w:pPr>
    </w:lvl>
    <w:lvl w:ilvl="5" w:tplc="0809001B" w:tentative="1">
      <w:start w:val="1"/>
      <w:numFmt w:val="lowerRoman"/>
      <w:lvlText w:val="%6."/>
      <w:lvlJc w:val="right"/>
      <w:pPr>
        <w:ind w:left="4032" w:hanging="180"/>
      </w:pPr>
    </w:lvl>
    <w:lvl w:ilvl="6" w:tplc="0809000F" w:tentative="1">
      <w:start w:val="1"/>
      <w:numFmt w:val="decimal"/>
      <w:lvlText w:val="%7."/>
      <w:lvlJc w:val="left"/>
      <w:pPr>
        <w:ind w:left="4752" w:hanging="360"/>
      </w:pPr>
    </w:lvl>
    <w:lvl w:ilvl="7" w:tplc="08090019" w:tentative="1">
      <w:start w:val="1"/>
      <w:numFmt w:val="lowerLetter"/>
      <w:lvlText w:val="%8."/>
      <w:lvlJc w:val="left"/>
      <w:pPr>
        <w:ind w:left="5472" w:hanging="360"/>
      </w:pPr>
    </w:lvl>
    <w:lvl w:ilvl="8" w:tplc="0809001B" w:tentative="1">
      <w:start w:val="1"/>
      <w:numFmt w:val="lowerRoman"/>
      <w:lvlText w:val="%9."/>
      <w:lvlJc w:val="right"/>
      <w:pPr>
        <w:ind w:left="6192" w:hanging="180"/>
      </w:pPr>
    </w:lvl>
  </w:abstractNum>
  <w:abstractNum w:abstractNumId="79" w15:restartNumberingAfterBreak="0">
    <w:nsid w:val="3B67250A"/>
    <w:multiLevelType w:val="hybridMultilevel"/>
    <w:tmpl w:val="05609B54"/>
    <w:lvl w:ilvl="0" w:tplc="599632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3B8D5B0D"/>
    <w:multiLevelType w:val="hybridMultilevel"/>
    <w:tmpl w:val="AAF64B70"/>
    <w:styleLink w:val="ImportedStyle46"/>
    <w:lvl w:ilvl="0" w:tplc="8584B63C">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9249CB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A18F7D4">
      <w:start w:val="1"/>
      <w:numFmt w:val="lowerRoman"/>
      <w:lvlText w:val="%3."/>
      <w:lvlJc w:val="left"/>
      <w:pPr>
        <w:ind w:left="216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AC472F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FCCDD7A">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FD29246">
      <w:start w:val="1"/>
      <w:numFmt w:val="lowerRoman"/>
      <w:lvlText w:val="%6."/>
      <w:lvlJc w:val="left"/>
      <w:pPr>
        <w:ind w:left="432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5F694A6">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26B2DF96">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73CFF70">
      <w:start w:val="1"/>
      <w:numFmt w:val="lowerRoman"/>
      <w:lvlText w:val="%9."/>
      <w:lvlJc w:val="left"/>
      <w:pPr>
        <w:ind w:left="648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1" w15:restartNumberingAfterBreak="0">
    <w:nsid w:val="3BAA299B"/>
    <w:multiLevelType w:val="hybridMultilevel"/>
    <w:tmpl w:val="659EE84A"/>
    <w:lvl w:ilvl="0" w:tplc="AF62E1B2">
      <w:start w:val="1"/>
      <w:numFmt w:val="decimal"/>
      <w:lvlText w:val="%1."/>
      <w:lvlJc w:val="left"/>
      <w:pPr>
        <w:tabs>
          <w:tab w:val="num" w:pos="720"/>
        </w:tabs>
        <w:ind w:left="720" w:hanging="360"/>
      </w:pPr>
      <w:rPr>
        <w:rFonts w:asciiTheme="majorHAnsi" w:hAnsiTheme="majorHAnsi" w:cstheme="majorHAnsi" w:hint="default"/>
        <w:b w:val="0"/>
        <w:i w:val="0"/>
        <w:color w:val="auto"/>
        <w:sz w:val="20"/>
        <w:szCs w:val="20"/>
        <w:lang w:val="en-GB"/>
      </w:rPr>
    </w:lvl>
    <w:lvl w:ilvl="1" w:tplc="04090001">
      <w:start w:val="1"/>
      <w:numFmt w:val="bullet"/>
      <w:lvlText w:val=""/>
      <w:lvlJc w:val="left"/>
      <w:pPr>
        <w:tabs>
          <w:tab w:val="num" w:pos="1440"/>
        </w:tabs>
        <w:ind w:left="1440" w:hanging="360"/>
      </w:pPr>
      <w:rPr>
        <w:rFonts w:ascii="Symbol" w:hAnsi="Symbol" w:hint="default"/>
        <w:sz w:val="22"/>
        <w:szCs w:val="22"/>
      </w:rPr>
    </w:lvl>
    <w:lvl w:ilvl="2" w:tplc="4B2A0CC2">
      <w:start w:val="1"/>
      <w:numFmt w:val="decimal"/>
      <w:lvlText w:val="Table %3."/>
      <w:lvlJc w:val="left"/>
      <w:pPr>
        <w:tabs>
          <w:tab w:val="num" w:pos="2340"/>
        </w:tabs>
        <w:ind w:left="2340" w:hanging="360"/>
      </w:pPr>
      <w:rPr>
        <w:b/>
        <w:i w:val="0"/>
        <w:color w:val="auto"/>
        <w:sz w:val="21"/>
        <w:szCs w:val="21"/>
        <w:lang w:val="en-US"/>
      </w:rPr>
    </w:lvl>
    <w:lvl w:ilvl="3" w:tplc="A90A728A">
      <w:start w:val="1"/>
      <w:numFmt w:val="decimal"/>
      <w:lvlText w:val="Table %4."/>
      <w:lvlJc w:val="left"/>
      <w:pPr>
        <w:tabs>
          <w:tab w:val="num" w:pos="2880"/>
        </w:tabs>
        <w:ind w:left="2880" w:hanging="360"/>
      </w:pPr>
      <w:rPr>
        <w:rFonts w:hint="default"/>
      </w:r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E3D4017C">
      <w:start w:val="1"/>
      <w:numFmt w:val="decimal"/>
      <w:lvlText w:val="Figure %7."/>
      <w:lvlJc w:val="left"/>
      <w:pPr>
        <w:tabs>
          <w:tab w:val="num" w:pos="5040"/>
        </w:tabs>
        <w:ind w:left="5040" w:hanging="360"/>
      </w:pPr>
      <w:rPr>
        <w:rFonts w:hint="default"/>
      </w:r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82" w15:restartNumberingAfterBreak="0">
    <w:nsid w:val="3DF65319"/>
    <w:multiLevelType w:val="hybridMultilevel"/>
    <w:tmpl w:val="C7A2488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BAC0D5F6">
      <w:start w:val="1"/>
      <w:numFmt w:val="lowerLetter"/>
      <w:lvlText w:val="%3)"/>
      <w:lvlJc w:val="left"/>
      <w:pPr>
        <w:ind w:left="2340" w:hanging="360"/>
      </w:pPr>
      <w:rPr>
        <w:rFonts w:hint="default"/>
      </w:rPr>
    </w:lvl>
    <w:lvl w:ilvl="3" w:tplc="48B00AB0">
      <w:start w:val="1"/>
      <w:numFmt w:val="upperLetter"/>
      <w:lvlText w:val="Additional Annex %4."/>
      <w:lvlJc w:val="left"/>
      <w:pPr>
        <w:ind w:left="2880" w:hanging="360"/>
      </w:pPr>
      <w:rPr>
        <w:rFonts w:hint="default"/>
      </w:rPr>
    </w:lvl>
    <w:lvl w:ilvl="4" w:tplc="579ECCAA">
      <w:start w:val="1"/>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3E630F86"/>
    <w:multiLevelType w:val="hybridMultilevel"/>
    <w:tmpl w:val="0D749A60"/>
    <w:lvl w:ilvl="0" w:tplc="85D4C03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3FE7101B"/>
    <w:multiLevelType w:val="hybridMultilevel"/>
    <w:tmpl w:val="44693EE6"/>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5" w15:restartNumberingAfterBreak="0">
    <w:nsid w:val="41703112"/>
    <w:multiLevelType w:val="hybridMultilevel"/>
    <w:tmpl w:val="B0E6E3A0"/>
    <w:lvl w:ilvl="0" w:tplc="8C844584">
      <w:start w:val="1"/>
      <w:numFmt w:val="decimal"/>
      <w:lvlText w:val="O.%1."/>
      <w:lvlJc w:val="left"/>
      <w:pPr>
        <w:ind w:left="284" w:hanging="284"/>
      </w:pPr>
      <w:rPr>
        <w:rFonts w:asciiTheme="majorHAnsi" w:hAnsiTheme="majorHAnsi" w:cstheme="majorHAnsi" w:hint="default"/>
        <w:b/>
        <w:bCs w:val="0"/>
        <w:i w:val="0"/>
        <w:iCs w:val="0"/>
        <w:caps w:val="0"/>
        <w:smallCaps w:val="0"/>
        <w:strike w:val="0"/>
        <w:dstrike w:val="0"/>
        <w:color w:val="000000"/>
        <w:spacing w:val="0"/>
        <w:w w:val="100"/>
        <w:kern w:val="0"/>
        <w:position w:val="0"/>
        <w:sz w:val="19"/>
        <w:szCs w:val="19"/>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2CC81C8">
      <w:start w:val="1"/>
      <w:numFmt w:val="lowerLetter"/>
      <w:lvlText w:val="%2."/>
      <w:lvlJc w:val="left"/>
      <w:pPr>
        <w:ind w:left="750" w:hanging="75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A047B76">
      <w:start w:val="1"/>
      <w:numFmt w:val="lowerRoman"/>
      <w:lvlText w:val="%3."/>
      <w:lvlJc w:val="left"/>
      <w:pPr>
        <w:tabs>
          <w:tab w:val="left" w:pos="228"/>
        </w:tabs>
        <w:ind w:left="1331" w:hanging="6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CF048EE">
      <w:start w:val="1"/>
      <w:numFmt w:val="decimal"/>
      <w:lvlText w:val="%4."/>
      <w:lvlJc w:val="left"/>
      <w:pPr>
        <w:tabs>
          <w:tab w:val="left" w:pos="228"/>
        </w:tabs>
        <w:ind w:left="2046" w:hanging="75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7E61C72">
      <w:start w:val="1"/>
      <w:numFmt w:val="lowerLetter"/>
      <w:lvlText w:val="%5."/>
      <w:lvlJc w:val="left"/>
      <w:pPr>
        <w:tabs>
          <w:tab w:val="left" w:pos="228"/>
        </w:tabs>
        <w:ind w:left="2766" w:hanging="75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0C68D9E">
      <w:start w:val="1"/>
      <w:numFmt w:val="lowerRoman"/>
      <w:lvlText w:val="%6."/>
      <w:lvlJc w:val="left"/>
      <w:pPr>
        <w:tabs>
          <w:tab w:val="left" w:pos="228"/>
        </w:tabs>
        <w:ind w:left="3491" w:hanging="6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F30F7E4">
      <w:start w:val="1"/>
      <w:numFmt w:val="decimal"/>
      <w:lvlText w:val="%7."/>
      <w:lvlJc w:val="left"/>
      <w:pPr>
        <w:tabs>
          <w:tab w:val="left" w:pos="228"/>
        </w:tabs>
        <w:ind w:left="4206" w:hanging="75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E02360">
      <w:start w:val="1"/>
      <w:numFmt w:val="lowerLetter"/>
      <w:lvlText w:val="%8."/>
      <w:lvlJc w:val="left"/>
      <w:pPr>
        <w:tabs>
          <w:tab w:val="left" w:pos="228"/>
        </w:tabs>
        <w:ind w:left="4926" w:hanging="75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ADEFB16">
      <w:start w:val="1"/>
      <w:numFmt w:val="lowerRoman"/>
      <w:lvlText w:val="%9."/>
      <w:lvlJc w:val="left"/>
      <w:pPr>
        <w:tabs>
          <w:tab w:val="left" w:pos="228"/>
        </w:tabs>
        <w:ind w:left="5651" w:hanging="6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6" w15:restartNumberingAfterBreak="0">
    <w:nsid w:val="41841F3E"/>
    <w:multiLevelType w:val="multilevel"/>
    <w:tmpl w:val="67523DB4"/>
    <w:lvl w:ilvl="0">
      <w:start w:val="3"/>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7" w15:restartNumberingAfterBreak="0">
    <w:nsid w:val="419C50E0"/>
    <w:multiLevelType w:val="multilevel"/>
    <w:tmpl w:val="B8CC1C62"/>
    <w:lvl w:ilvl="0">
      <w:start w:val="1"/>
      <w:numFmt w:val="lowerLetter"/>
      <w:lvlText w:val="%1)"/>
      <w:lvlJc w:val="left"/>
      <w:pPr>
        <w:tabs>
          <w:tab w:val="num" w:pos="360"/>
        </w:tabs>
        <w:ind w:left="360" w:hanging="360"/>
      </w:pPr>
      <w:rPr>
        <w:rFonts w:cs="Times New Roman" w:hint="default"/>
        <w:sz w:val="20"/>
      </w:rPr>
    </w:lvl>
    <w:lvl w:ilvl="1">
      <w:start w:val="1"/>
      <w:numFmt w:val="bullet"/>
      <w:lvlText w:val=""/>
      <w:lvlJc w:val="left"/>
      <w:pPr>
        <w:tabs>
          <w:tab w:val="num" w:pos="360"/>
        </w:tabs>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1DA0932"/>
    <w:multiLevelType w:val="hybridMultilevel"/>
    <w:tmpl w:val="D572F9A6"/>
    <w:styleLink w:val="ImportedStyle5"/>
    <w:lvl w:ilvl="0" w:tplc="1A882788">
      <w:start w:val="1"/>
      <w:numFmt w:val="bullet"/>
      <w:lvlText w:val="-"/>
      <w:lvlJc w:val="left"/>
      <w:pPr>
        <w:ind w:left="71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153A9B80">
      <w:start w:val="1"/>
      <w:numFmt w:val="bullet"/>
      <w:lvlText w:val="o"/>
      <w:lvlJc w:val="left"/>
      <w:pPr>
        <w:ind w:left="143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3F6DB8E">
      <w:start w:val="1"/>
      <w:numFmt w:val="bullet"/>
      <w:lvlText w:val="▪"/>
      <w:lvlJc w:val="left"/>
      <w:pPr>
        <w:ind w:left="215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9C0C59C">
      <w:start w:val="1"/>
      <w:numFmt w:val="bullet"/>
      <w:lvlText w:val="•"/>
      <w:lvlJc w:val="left"/>
      <w:pPr>
        <w:ind w:left="287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9525ADE">
      <w:start w:val="1"/>
      <w:numFmt w:val="bullet"/>
      <w:lvlText w:val="o"/>
      <w:lvlJc w:val="left"/>
      <w:pPr>
        <w:ind w:left="359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6C42DA4">
      <w:start w:val="1"/>
      <w:numFmt w:val="bullet"/>
      <w:lvlText w:val="▪"/>
      <w:lvlJc w:val="left"/>
      <w:pPr>
        <w:ind w:left="431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737267D4">
      <w:start w:val="1"/>
      <w:numFmt w:val="bullet"/>
      <w:lvlText w:val="•"/>
      <w:lvlJc w:val="left"/>
      <w:pPr>
        <w:ind w:left="503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13A71E0">
      <w:start w:val="1"/>
      <w:numFmt w:val="bullet"/>
      <w:lvlText w:val="o"/>
      <w:lvlJc w:val="left"/>
      <w:pPr>
        <w:ind w:left="575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80CEEC2">
      <w:start w:val="1"/>
      <w:numFmt w:val="bullet"/>
      <w:lvlText w:val="▪"/>
      <w:lvlJc w:val="left"/>
      <w:pPr>
        <w:ind w:left="6474" w:hanging="357"/>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9" w15:restartNumberingAfterBreak="0">
    <w:nsid w:val="422539C2"/>
    <w:multiLevelType w:val="hybridMultilevel"/>
    <w:tmpl w:val="246A6E3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0" w15:restartNumberingAfterBreak="0">
    <w:nsid w:val="4251580B"/>
    <w:multiLevelType w:val="hybridMultilevel"/>
    <w:tmpl w:val="C47681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4262792A"/>
    <w:multiLevelType w:val="hybridMultilevel"/>
    <w:tmpl w:val="0C80CB74"/>
    <w:lvl w:ilvl="0" w:tplc="08090001">
      <w:start w:val="1"/>
      <w:numFmt w:val="bullet"/>
      <w:lvlText w:val=""/>
      <w:lvlJc w:val="left"/>
      <w:pPr>
        <w:ind w:left="720" w:hanging="360"/>
      </w:pPr>
      <w:rPr>
        <w:rFonts w:ascii="Symbol" w:hAnsi="Symbol" w:hint="default"/>
        <w:lang w:val="en-G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2" w15:restartNumberingAfterBreak="0">
    <w:nsid w:val="44E95A48"/>
    <w:multiLevelType w:val="multilevel"/>
    <w:tmpl w:val="E198364C"/>
    <w:lvl w:ilvl="0">
      <w:start w:val="1"/>
      <w:numFmt w:val="decimal"/>
      <w:lvlText w:val="%1"/>
      <w:lvlJc w:val="left"/>
      <w:pPr>
        <w:ind w:left="384" w:hanging="384"/>
      </w:pPr>
      <w:rPr>
        <w:rFonts w:hint="default"/>
      </w:rPr>
    </w:lvl>
    <w:lvl w:ilvl="1">
      <w:start w:val="3"/>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3" w15:restartNumberingAfterBreak="0">
    <w:nsid w:val="44F82AC5"/>
    <w:multiLevelType w:val="hybridMultilevel"/>
    <w:tmpl w:val="9B20991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4" w15:restartNumberingAfterBreak="0">
    <w:nsid w:val="45297196"/>
    <w:multiLevelType w:val="hybridMultilevel"/>
    <w:tmpl w:val="B6D45398"/>
    <w:styleLink w:val="ImportedStyle18"/>
    <w:lvl w:ilvl="0" w:tplc="604CC1B8">
      <w:start w:val="1"/>
      <w:numFmt w:val="decimal"/>
      <w:lvlText w:val="%1."/>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13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B223E96">
      <w:start w:val="1"/>
      <w:numFmt w:val="lowerLetter"/>
      <w:lvlText w:val="%2."/>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18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CD0F738">
      <w:start w:val="1"/>
      <w:numFmt w:val="lowerRoman"/>
      <w:lvlText w:val="%3."/>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257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A0EC1B14">
      <w:start w:val="1"/>
      <w:numFmt w:val="decimal"/>
      <w:lvlText w:val="%4."/>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329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6D830E2">
      <w:start w:val="1"/>
      <w:numFmt w:val="lowerLetter"/>
      <w:lvlText w:val="%5."/>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01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99F6014C">
      <w:start w:val="1"/>
      <w:numFmt w:val="lowerRoman"/>
      <w:lvlText w:val="%6."/>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473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42C3098">
      <w:start w:val="1"/>
      <w:numFmt w:val="decimal"/>
      <w:lvlText w:val="%7."/>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545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2BEBE52">
      <w:start w:val="1"/>
      <w:numFmt w:val="lowerLetter"/>
      <w:lvlText w:val="%8."/>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174" w:hanging="42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58622E0">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ind w:left="6894" w:hanging="36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5" w15:restartNumberingAfterBreak="0">
    <w:nsid w:val="453B398A"/>
    <w:multiLevelType w:val="hybridMultilevel"/>
    <w:tmpl w:val="336E59BE"/>
    <w:lvl w:ilvl="0" w:tplc="0E3C5606">
      <w:start w:val="9"/>
      <w:numFmt w:val="upperRoman"/>
      <w:lvlText w:val="%1."/>
      <w:lvlJc w:val="left"/>
      <w:pPr>
        <w:ind w:left="720" w:hanging="72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6" w15:restartNumberingAfterBreak="0">
    <w:nsid w:val="467C41A0"/>
    <w:multiLevelType w:val="hybridMultilevel"/>
    <w:tmpl w:val="CFF8E104"/>
    <w:styleLink w:val="Numbered"/>
    <w:lvl w:ilvl="0" w:tplc="0B44959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4361676">
      <w:start w:val="1"/>
      <w:numFmt w:val="decimal"/>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B5CC7F2">
      <w:start w:val="1"/>
      <w:numFmt w:val="decimal"/>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076C36C">
      <w:start w:val="1"/>
      <w:numFmt w:val="decimal"/>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8EB4A0">
      <w:start w:val="1"/>
      <w:numFmt w:val="decimal"/>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4282C08">
      <w:start w:val="1"/>
      <w:numFmt w:val="decimal"/>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762D370">
      <w:start w:val="1"/>
      <w:numFmt w:val="decimal"/>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9EE61A4">
      <w:start w:val="1"/>
      <w:numFmt w:val="decimal"/>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976F444">
      <w:start w:val="1"/>
      <w:numFmt w:val="decimal"/>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97" w15:restartNumberingAfterBreak="0">
    <w:nsid w:val="48E130B6"/>
    <w:multiLevelType w:val="hybridMultilevel"/>
    <w:tmpl w:val="EE46A13A"/>
    <w:lvl w:ilvl="0" w:tplc="1F94EFD8">
      <w:start w:val="1"/>
      <w:numFmt w:val="decimal"/>
      <w:lvlText w:val="Table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8" w15:restartNumberingAfterBreak="0">
    <w:nsid w:val="493B283C"/>
    <w:multiLevelType w:val="hybridMultilevel"/>
    <w:tmpl w:val="C69AA268"/>
    <w:lvl w:ilvl="0" w:tplc="853A7B5A">
      <w:start w:val="1"/>
      <w:numFmt w:val="decimal"/>
      <w:lvlText w:val="%1."/>
      <w:lvlJc w:val="left"/>
      <w:pPr>
        <w:ind w:left="720" w:hanging="360"/>
      </w:pPr>
      <w:rPr>
        <w:rFonts w:eastAsia="Times New Roman"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9" w15:restartNumberingAfterBreak="0">
    <w:nsid w:val="493C3C7D"/>
    <w:multiLevelType w:val="hybridMultilevel"/>
    <w:tmpl w:val="510E0C28"/>
    <w:lvl w:ilvl="0" w:tplc="01CEBA7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0" w15:restartNumberingAfterBreak="0">
    <w:nsid w:val="4A3A5865"/>
    <w:multiLevelType w:val="hybridMultilevel"/>
    <w:tmpl w:val="DE90B7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4A7248A4"/>
    <w:multiLevelType w:val="hybridMultilevel"/>
    <w:tmpl w:val="6E622698"/>
    <w:lvl w:ilvl="0" w:tplc="668CA38A">
      <w:start w:val="1"/>
      <w:numFmt w:val="decimal"/>
      <w:lvlText w:val="Figure %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start w:val="1"/>
      <w:numFmt w:val="lowerRoman"/>
      <w:lvlText w:val="%6."/>
      <w:lvlJc w:val="right"/>
      <w:pPr>
        <w:ind w:left="4320" w:hanging="180"/>
      </w:pPr>
    </w:lvl>
    <w:lvl w:ilvl="6" w:tplc="5024F778">
      <w:start w:val="1"/>
      <w:numFmt w:val="decimal"/>
      <w:lvlText w:val="Figure %7."/>
      <w:lvlJc w:val="left"/>
      <w:pPr>
        <w:ind w:left="5040" w:hanging="360"/>
      </w:pPr>
      <w:rPr>
        <w:rFonts w:hint="default"/>
      </w:r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2" w15:restartNumberingAfterBreak="0">
    <w:nsid w:val="4A903A58"/>
    <w:multiLevelType w:val="multilevel"/>
    <w:tmpl w:val="E198364C"/>
    <w:lvl w:ilvl="0">
      <w:start w:val="1"/>
      <w:numFmt w:val="decimal"/>
      <w:lvlText w:val="%1"/>
      <w:lvlJc w:val="left"/>
      <w:pPr>
        <w:ind w:left="384" w:hanging="384"/>
      </w:pPr>
      <w:rPr>
        <w:rFonts w:hint="default"/>
      </w:rPr>
    </w:lvl>
    <w:lvl w:ilvl="1">
      <w:start w:val="2"/>
      <w:numFmt w:val="decimal"/>
      <w:lvlText w:val="%1.%2"/>
      <w:lvlJc w:val="left"/>
      <w:pPr>
        <w:ind w:left="384" w:hanging="38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3" w15:restartNumberingAfterBreak="0">
    <w:nsid w:val="4B4277B8"/>
    <w:multiLevelType w:val="hybridMultilevel"/>
    <w:tmpl w:val="53A68CEC"/>
    <w:numStyleLink w:val="ImportedStyle57"/>
  </w:abstractNum>
  <w:abstractNum w:abstractNumId="104" w15:restartNumberingAfterBreak="0">
    <w:nsid w:val="4B9A0F22"/>
    <w:multiLevelType w:val="hybridMultilevel"/>
    <w:tmpl w:val="6C962698"/>
    <w:lvl w:ilvl="0" w:tplc="9438B6F6">
      <w:start w:val="1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4C90756A"/>
    <w:multiLevelType w:val="multilevel"/>
    <w:tmpl w:val="6C7EB5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6" w15:restartNumberingAfterBreak="0">
    <w:nsid w:val="4DF74ACF"/>
    <w:multiLevelType w:val="hybridMultilevel"/>
    <w:tmpl w:val="6F8249AA"/>
    <w:lvl w:ilvl="0" w:tplc="79C85E86">
      <w:start w:val="3"/>
      <w:numFmt w:val="upperRoman"/>
      <w:lvlText w:val="%1."/>
      <w:lvlJc w:val="left"/>
      <w:pPr>
        <w:ind w:left="1080" w:hanging="72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7" w15:restartNumberingAfterBreak="0">
    <w:nsid w:val="4FC2147B"/>
    <w:multiLevelType w:val="hybridMultilevel"/>
    <w:tmpl w:val="076E6D00"/>
    <w:lvl w:ilvl="0" w:tplc="FBCC88FA">
      <w:start w:val="1"/>
      <w:numFmt w:val="lowerRoman"/>
      <w:lvlText w:val="%1)"/>
      <w:lvlJc w:val="left"/>
      <w:pPr>
        <w:ind w:left="1080" w:hanging="72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8" w15:restartNumberingAfterBreak="0">
    <w:nsid w:val="51B72EC6"/>
    <w:multiLevelType w:val="hybridMultilevel"/>
    <w:tmpl w:val="3508C2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9" w15:restartNumberingAfterBreak="0">
    <w:nsid w:val="52A12734"/>
    <w:multiLevelType w:val="hybridMultilevel"/>
    <w:tmpl w:val="965E1F3E"/>
    <w:lvl w:ilvl="0" w:tplc="04090017">
      <w:start w:val="1"/>
      <w:numFmt w:val="lowerLetter"/>
      <w:lvlText w:val="%1)"/>
      <w:lvlJc w:val="left"/>
      <w:pPr>
        <w:ind w:left="720" w:hanging="360"/>
      </w:pPr>
      <w:rPr>
        <w:rFonts w:hint="default"/>
      </w:rPr>
    </w:lvl>
    <w:lvl w:ilvl="1" w:tplc="CD26BAB2">
      <w:start w:val="1"/>
      <w:numFmt w:val="upperRoman"/>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15:restartNumberingAfterBreak="0">
    <w:nsid w:val="54CE19F2"/>
    <w:multiLevelType w:val="hybridMultilevel"/>
    <w:tmpl w:val="631EDB76"/>
    <w:lvl w:ilvl="0" w:tplc="52F60384">
      <w:start w:val="1"/>
      <w:numFmt w:val="upperRoman"/>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B704204">
      <w:start w:val="1"/>
      <w:numFmt w:val="upperRoman"/>
      <w:lvlText w:val="%2."/>
      <w:lvlJc w:val="left"/>
      <w:pPr>
        <w:ind w:left="1440" w:hanging="517"/>
      </w:pPr>
      <w:rPr>
        <w:rFonts w:asciiTheme="majorHAnsi" w:hAnsiTheme="majorHAnsi" w:cstheme="majorHAnsi" w:hint="default"/>
        <w:b/>
        <w:bCs/>
        <w:caps w:val="0"/>
        <w:smallCaps w:val="0"/>
        <w:strike w:val="0"/>
        <w:dstrike w:val="0"/>
        <w:color w:val="000000"/>
        <w:spacing w:val="0"/>
        <w:w w:val="100"/>
        <w:kern w:val="0"/>
        <w:position w:val="0"/>
        <w:sz w:val="20"/>
        <w:szCs w:val="2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84A566E">
      <w:start w:val="1"/>
      <w:numFmt w:val="lowerRoman"/>
      <w:lvlText w:val="%3."/>
      <w:lvlJc w:val="left"/>
      <w:pPr>
        <w:ind w:left="2160" w:hanging="3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9992FF3E">
      <w:start w:val="1"/>
      <w:numFmt w:val="decimal"/>
      <w:lvlText w:val="Table %4."/>
      <w:lvlJc w:val="left"/>
      <w:pPr>
        <w:ind w:left="2880" w:hanging="360"/>
      </w:pPr>
      <w:rPr>
        <w:rFonts w:hint="default"/>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59661AB8">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872AD5E4">
      <w:start w:val="1"/>
      <w:numFmt w:val="lowerRoman"/>
      <w:lvlText w:val="%6."/>
      <w:lvlJc w:val="left"/>
      <w:pPr>
        <w:ind w:left="4320" w:hanging="3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0700A8A">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26A4470">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114CF97C">
      <w:start w:val="1"/>
      <w:numFmt w:val="lowerRoman"/>
      <w:lvlText w:val="%9."/>
      <w:lvlJc w:val="left"/>
      <w:pPr>
        <w:ind w:left="6480" w:hanging="3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11" w15:restartNumberingAfterBreak="0">
    <w:nsid w:val="55293FCD"/>
    <w:multiLevelType w:val="multilevel"/>
    <w:tmpl w:val="B09A8364"/>
    <w:lvl w:ilvl="0">
      <w:start w:val="1"/>
      <w:numFmt w:val="decimal"/>
      <w:lvlText w:val="%1"/>
      <w:lvlJc w:val="left"/>
      <w:pPr>
        <w:ind w:left="480" w:hanging="480"/>
      </w:pPr>
      <w:rPr>
        <w:rFonts w:ascii="Times New Roman" w:hAnsi="Times New Roman" w:cs="Arial" w:hint="default"/>
        <w:sz w:val="24"/>
      </w:rPr>
    </w:lvl>
    <w:lvl w:ilvl="1">
      <w:start w:val="1"/>
      <w:numFmt w:val="decimal"/>
      <w:lvlText w:val="%1.%2"/>
      <w:lvlJc w:val="left"/>
      <w:pPr>
        <w:ind w:left="480" w:hanging="480"/>
      </w:pPr>
      <w:rPr>
        <w:rFonts w:ascii="Times New Roman" w:hAnsi="Times New Roman" w:cs="Arial" w:hint="default"/>
        <w:sz w:val="24"/>
      </w:rPr>
    </w:lvl>
    <w:lvl w:ilvl="2">
      <w:start w:val="1"/>
      <w:numFmt w:val="decimal"/>
      <w:lvlText w:val="%1.%2.%3"/>
      <w:lvlJc w:val="left"/>
      <w:pPr>
        <w:ind w:left="720" w:hanging="720"/>
      </w:pPr>
      <w:rPr>
        <w:rFonts w:ascii="Times New Roman" w:hAnsi="Times New Roman" w:cs="Arial" w:hint="default"/>
        <w:sz w:val="24"/>
      </w:rPr>
    </w:lvl>
    <w:lvl w:ilvl="3">
      <w:start w:val="1"/>
      <w:numFmt w:val="decimal"/>
      <w:lvlText w:val="%1.%2.%3.%4"/>
      <w:lvlJc w:val="left"/>
      <w:pPr>
        <w:ind w:left="720" w:hanging="720"/>
      </w:pPr>
      <w:rPr>
        <w:rFonts w:ascii="Times New Roman" w:hAnsi="Times New Roman" w:cs="Arial" w:hint="default"/>
        <w:sz w:val="24"/>
      </w:rPr>
    </w:lvl>
    <w:lvl w:ilvl="4">
      <w:start w:val="1"/>
      <w:numFmt w:val="decimal"/>
      <w:lvlText w:val="%1.%2.%3.%4.%5"/>
      <w:lvlJc w:val="left"/>
      <w:pPr>
        <w:ind w:left="720" w:hanging="720"/>
      </w:pPr>
      <w:rPr>
        <w:rFonts w:ascii="Times New Roman" w:hAnsi="Times New Roman" w:cs="Arial" w:hint="default"/>
        <w:sz w:val="24"/>
      </w:rPr>
    </w:lvl>
    <w:lvl w:ilvl="5">
      <w:start w:val="1"/>
      <w:numFmt w:val="decimal"/>
      <w:lvlText w:val="%1.%2.%3.%4.%5.%6"/>
      <w:lvlJc w:val="left"/>
      <w:pPr>
        <w:ind w:left="1080" w:hanging="1080"/>
      </w:pPr>
      <w:rPr>
        <w:rFonts w:ascii="Times New Roman" w:hAnsi="Times New Roman" w:cs="Arial" w:hint="default"/>
        <w:sz w:val="24"/>
      </w:rPr>
    </w:lvl>
    <w:lvl w:ilvl="6">
      <w:start w:val="1"/>
      <w:numFmt w:val="decimal"/>
      <w:lvlText w:val="%1.%2.%3.%4.%5.%6.%7"/>
      <w:lvlJc w:val="left"/>
      <w:pPr>
        <w:ind w:left="1080" w:hanging="1080"/>
      </w:pPr>
      <w:rPr>
        <w:rFonts w:ascii="Times New Roman" w:hAnsi="Times New Roman" w:cs="Arial" w:hint="default"/>
        <w:sz w:val="24"/>
      </w:rPr>
    </w:lvl>
    <w:lvl w:ilvl="7">
      <w:start w:val="1"/>
      <w:numFmt w:val="decimal"/>
      <w:lvlText w:val="%1.%2.%3.%4.%5.%6.%7.%8"/>
      <w:lvlJc w:val="left"/>
      <w:pPr>
        <w:ind w:left="1440" w:hanging="1440"/>
      </w:pPr>
      <w:rPr>
        <w:rFonts w:ascii="Times New Roman" w:hAnsi="Times New Roman" w:cs="Arial" w:hint="default"/>
        <w:sz w:val="24"/>
      </w:rPr>
    </w:lvl>
    <w:lvl w:ilvl="8">
      <w:start w:val="1"/>
      <w:numFmt w:val="decimal"/>
      <w:lvlText w:val="%1.%2.%3.%4.%5.%6.%7.%8.%9"/>
      <w:lvlJc w:val="left"/>
      <w:pPr>
        <w:ind w:left="1440" w:hanging="1440"/>
      </w:pPr>
      <w:rPr>
        <w:rFonts w:ascii="Times New Roman" w:hAnsi="Times New Roman" w:cs="Arial" w:hint="default"/>
        <w:sz w:val="24"/>
      </w:rPr>
    </w:lvl>
  </w:abstractNum>
  <w:abstractNum w:abstractNumId="112" w15:restartNumberingAfterBreak="0">
    <w:nsid w:val="55573AE6"/>
    <w:multiLevelType w:val="hybridMultilevel"/>
    <w:tmpl w:val="8A8ECBEC"/>
    <w:lvl w:ilvl="0" w:tplc="03BEF280">
      <w:start w:val="7"/>
      <w:numFmt w:val="upperRoman"/>
      <w:lvlText w:val="%1."/>
      <w:lvlJc w:val="left"/>
      <w:pPr>
        <w:ind w:left="720" w:hanging="72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3" w15:restartNumberingAfterBreak="0">
    <w:nsid w:val="561F2901"/>
    <w:multiLevelType w:val="hybridMultilevel"/>
    <w:tmpl w:val="776E4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570358AC"/>
    <w:multiLevelType w:val="multilevel"/>
    <w:tmpl w:val="208CEE70"/>
    <w:lvl w:ilvl="0">
      <w:start w:val="1"/>
      <w:numFmt w:val="decimal"/>
      <w:lvlText w:val="%1"/>
      <w:lvlJc w:val="left"/>
      <w:pPr>
        <w:ind w:left="420" w:hanging="420"/>
      </w:pPr>
      <w:rPr>
        <w:rFonts w:hint="default"/>
      </w:rPr>
    </w:lvl>
    <w:lvl w:ilvl="1">
      <w:start w:val="2"/>
      <w:numFmt w:val="decimal"/>
      <w:lvlText w:val="%1.%2"/>
      <w:lvlJc w:val="left"/>
      <w:pPr>
        <w:ind w:left="420" w:hanging="4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5" w15:restartNumberingAfterBreak="0">
    <w:nsid w:val="575B08D4"/>
    <w:multiLevelType w:val="multilevel"/>
    <w:tmpl w:val="D7A08E06"/>
    <w:lvl w:ilvl="0">
      <w:start w:val="1"/>
      <w:numFmt w:val="decimal"/>
      <w:lvlText w:val="%1"/>
      <w:lvlJc w:val="left"/>
      <w:pPr>
        <w:ind w:left="380" w:hanging="380"/>
      </w:pPr>
      <w:rPr>
        <w:rFonts w:hint="default"/>
      </w:rPr>
    </w:lvl>
    <w:lvl w:ilvl="1">
      <w:start w:val="2"/>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6" w15:restartNumberingAfterBreak="0">
    <w:nsid w:val="57C029A5"/>
    <w:multiLevelType w:val="multilevel"/>
    <w:tmpl w:val="B8FC33D0"/>
    <w:lvl w:ilvl="0">
      <w:start w:val="1"/>
      <w:numFmt w:val="decimal"/>
      <w:lvlText w:val="%1"/>
      <w:lvlJc w:val="left"/>
      <w:pPr>
        <w:ind w:left="380" w:hanging="380"/>
      </w:pPr>
      <w:rPr>
        <w:rFonts w:hint="default"/>
      </w:rPr>
    </w:lvl>
    <w:lvl w:ilvl="1">
      <w:start w:val="3"/>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7" w15:restartNumberingAfterBreak="0">
    <w:nsid w:val="59526123"/>
    <w:multiLevelType w:val="hybridMultilevel"/>
    <w:tmpl w:val="8112F356"/>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18" w15:restartNumberingAfterBreak="0">
    <w:nsid w:val="599C6D1B"/>
    <w:multiLevelType w:val="hybridMultilevel"/>
    <w:tmpl w:val="315270D0"/>
    <w:lvl w:ilvl="0" w:tplc="7D36FC6A">
      <w:start w:val="1"/>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9"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15:restartNumberingAfterBreak="0">
    <w:nsid w:val="5B8A7972"/>
    <w:multiLevelType w:val="multilevel"/>
    <w:tmpl w:val="9676AAF8"/>
    <w:lvl w:ilvl="0">
      <w:start w:val="3"/>
      <w:numFmt w:val="decimal"/>
      <w:lvlText w:val="%1"/>
      <w:lvlJc w:val="left"/>
      <w:pPr>
        <w:ind w:left="380" w:hanging="380"/>
      </w:pPr>
      <w:rPr>
        <w:rFonts w:hint="default"/>
      </w:rPr>
    </w:lvl>
    <w:lvl w:ilvl="1">
      <w:start w:val="2"/>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1" w15:restartNumberingAfterBreak="0">
    <w:nsid w:val="5C0155EA"/>
    <w:multiLevelType w:val="hybridMultilevel"/>
    <w:tmpl w:val="96AE3F78"/>
    <w:lvl w:ilvl="0" w:tplc="F8C41A84">
      <w:start w:val="6"/>
      <w:numFmt w:val="upperRoman"/>
      <w:lvlText w:val="%1."/>
      <w:lvlJc w:val="left"/>
      <w:pPr>
        <w:ind w:left="720" w:hanging="720"/>
      </w:pPr>
      <w:rPr>
        <w:rFonts w:hAnsi="Arial Unicode MS" w:hint="default"/>
        <w:b/>
        <w:bCs/>
        <w:caps w:val="0"/>
        <w:smallCaps w:val="0"/>
        <w:strike w:val="0"/>
        <w:dstrike w:val="0"/>
        <w:color w:val="000000"/>
        <w:spacing w:val="0"/>
        <w:w w:val="100"/>
        <w:kern w:val="0"/>
        <w:position w:val="0"/>
        <w:vertAlign w:val="base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2"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3" w15:restartNumberingAfterBreak="0">
    <w:nsid w:val="5DA3071A"/>
    <w:multiLevelType w:val="hybridMultilevel"/>
    <w:tmpl w:val="5B78A2E2"/>
    <w:styleLink w:val="ImportedStyle71"/>
    <w:lvl w:ilvl="0" w:tplc="3F24D32C">
      <w:start w:val="1"/>
      <w:numFmt w:val="decimal"/>
      <w:lvlText w:val="%1."/>
      <w:lvlJc w:val="left"/>
      <w:pPr>
        <w:ind w:left="42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C7E7A56">
      <w:start w:val="1"/>
      <w:numFmt w:val="lowerLetter"/>
      <w:lvlText w:val="%2."/>
      <w:lvlJc w:val="left"/>
      <w:pPr>
        <w:ind w:left="114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F20B936">
      <w:start w:val="1"/>
      <w:numFmt w:val="lowerRoman"/>
      <w:lvlText w:val="%3."/>
      <w:lvlJc w:val="left"/>
      <w:pPr>
        <w:ind w:left="1866"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ED3CA74A">
      <w:start w:val="1"/>
      <w:numFmt w:val="decimal"/>
      <w:lvlText w:val="%4."/>
      <w:lvlJc w:val="left"/>
      <w:pPr>
        <w:ind w:left="258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0425086">
      <w:start w:val="1"/>
      <w:numFmt w:val="lowerLetter"/>
      <w:lvlText w:val="%5."/>
      <w:lvlJc w:val="left"/>
      <w:pPr>
        <w:ind w:left="330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2C97FA">
      <w:start w:val="1"/>
      <w:numFmt w:val="lowerRoman"/>
      <w:lvlText w:val="%6."/>
      <w:lvlJc w:val="left"/>
      <w:pPr>
        <w:ind w:left="4026"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BA22110">
      <w:start w:val="1"/>
      <w:numFmt w:val="decimal"/>
      <w:lvlText w:val="%7."/>
      <w:lvlJc w:val="left"/>
      <w:pPr>
        <w:ind w:left="474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CFE1810">
      <w:start w:val="1"/>
      <w:numFmt w:val="lowerLetter"/>
      <w:lvlText w:val="%8."/>
      <w:lvlJc w:val="left"/>
      <w:pPr>
        <w:ind w:left="5466"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70DAFA68">
      <w:start w:val="1"/>
      <w:numFmt w:val="lowerRoman"/>
      <w:lvlText w:val="%9."/>
      <w:lvlJc w:val="left"/>
      <w:pPr>
        <w:ind w:left="6186"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4"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5" w15:restartNumberingAfterBreak="0">
    <w:nsid w:val="64002C2D"/>
    <w:multiLevelType w:val="hybridMultilevel"/>
    <w:tmpl w:val="DC44D912"/>
    <w:styleLink w:val="Lettered"/>
    <w:lvl w:ilvl="0" w:tplc="247296B8">
      <w:start w:val="1"/>
      <w:numFmt w:val="lowerLetter"/>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B9EE6D44">
      <w:start w:val="1"/>
      <w:numFmt w:val="lowerLetter"/>
      <w:lvlText w:val="%2)"/>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192AA80">
      <w:start w:val="1"/>
      <w:numFmt w:val="lowerLetter"/>
      <w:lvlText w:val="%3)"/>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86A2CF8">
      <w:start w:val="1"/>
      <w:numFmt w:val="lowerLetter"/>
      <w:lvlText w:val="%4)"/>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E448926">
      <w:start w:val="1"/>
      <w:numFmt w:val="lowerLetter"/>
      <w:lvlText w:val="%5)"/>
      <w:lvlJc w:val="left"/>
      <w:pPr>
        <w:ind w:left="18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0DCE0262">
      <w:start w:val="1"/>
      <w:numFmt w:val="lowerLetter"/>
      <w:lvlText w:val="%6)"/>
      <w:lvlJc w:val="left"/>
      <w:pPr>
        <w:ind w:left="21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8FCE122">
      <w:start w:val="1"/>
      <w:numFmt w:val="lowerLetter"/>
      <w:lvlText w:val="%7)"/>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76E25628">
      <w:start w:val="1"/>
      <w:numFmt w:val="lowerLetter"/>
      <w:lvlText w:val="%8)"/>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EEA9BE6">
      <w:start w:val="1"/>
      <w:numFmt w:val="lowerLetter"/>
      <w:lvlText w:val="%9)"/>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6" w15:restartNumberingAfterBreak="0">
    <w:nsid w:val="644033A5"/>
    <w:multiLevelType w:val="hybridMultilevel"/>
    <w:tmpl w:val="106AFD50"/>
    <w:styleLink w:val="ImportedStyle33"/>
    <w:lvl w:ilvl="0" w:tplc="7A9A03AC">
      <w:start w:val="1"/>
      <w:numFmt w:val="decimal"/>
      <w:lvlText w:val="%1)"/>
      <w:lvlJc w:val="left"/>
      <w:pPr>
        <w:ind w:left="72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2E6CB04">
      <w:start w:val="1"/>
      <w:numFmt w:val="lowerLetter"/>
      <w:lvlText w:val="%2."/>
      <w:lvlJc w:val="left"/>
      <w:pPr>
        <w:ind w:left="14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9B06500">
      <w:start w:val="1"/>
      <w:numFmt w:val="lowerRoman"/>
      <w:lvlText w:val="%3."/>
      <w:lvlJc w:val="left"/>
      <w:pPr>
        <w:ind w:left="2160" w:hanging="269"/>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EA2E0AA">
      <w:start w:val="1"/>
      <w:numFmt w:val="decimal"/>
      <w:lvlText w:val="%4."/>
      <w:lvlJc w:val="left"/>
      <w:pPr>
        <w:ind w:left="288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5C43A5C">
      <w:start w:val="1"/>
      <w:numFmt w:val="lowerLetter"/>
      <w:lvlText w:val="%5."/>
      <w:lvlJc w:val="left"/>
      <w:pPr>
        <w:ind w:left="360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4DAF466">
      <w:start w:val="1"/>
      <w:numFmt w:val="lowerRoman"/>
      <w:lvlText w:val="%6."/>
      <w:lvlJc w:val="left"/>
      <w:pPr>
        <w:ind w:left="4320" w:hanging="269"/>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AC4F140">
      <w:start w:val="1"/>
      <w:numFmt w:val="decimal"/>
      <w:lvlText w:val="%7."/>
      <w:lvlJc w:val="left"/>
      <w:pPr>
        <w:ind w:left="504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98EA2B6">
      <w:start w:val="1"/>
      <w:numFmt w:val="lowerLetter"/>
      <w:lvlText w:val="%8."/>
      <w:lvlJc w:val="left"/>
      <w:pPr>
        <w:ind w:left="5760" w:hanging="360"/>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EE036DA">
      <w:start w:val="1"/>
      <w:numFmt w:val="lowerRoman"/>
      <w:lvlText w:val="%9."/>
      <w:lvlJc w:val="left"/>
      <w:pPr>
        <w:ind w:left="6480" w:hanging="269"/>
      </w:pPr>
      <w:rPr>
        <w:rFonts w:ascii="Trebuchet MS" w:eastAsia="Trebuchet MS" w:hAnsi="Trebuchet MS" w:cs="Trebuchet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7" w15:restartNumberingAfterBreak="0">
    <w:nsid w:val="64747AAC"/>
    <w:multiLevelType w:val="hybridMultilevel"/>
    <w:tmpl w:val="C360AEA8"/>
    <w:styleLink w:val="ImportedStyle70"/>
    <w:lvl w:ilvl="0" w:tplc="FE4440A8">
      <w:start w:val="1"/>
      <w:numFmt w:val="lowerLetter"/>
      <w:lvlText w:val="%1)"/>
      <w:lvlJc w:val="left"/>
      <w:pPr>
        <w:ind w:left="3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8A6C74">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D3ACD6E">
      <w:start w:val="1"/>
      <w:numFmt w:val="lowerRoman"/>
      <w:lvlText w:val="%3."/>
      <w:lvlJc w:val="left"/>
      <w:pPr>
        <w:ind w:left="180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5F48AFC">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91DAE830">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836C16C">
      <w:start w:val="1"/>
      <w:numFmt w:val="lowerRoman"/>
      <w:lvlText w:val="%6."/>
      <w:lvlJc w:val="left"/>
      <w:pPr>
        <w:ind w:left="396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30E6CEC">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670E940">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A7C5108">
      <w:start w:val="1"/>
      <w:numFmt w:val="lowerRoman"/>
      <w:lvlText w:val="%9."/>
      <w:lvlJc w:val="left"/>
      <w:pPr>
        <w:ind w:left="612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8" w15:restartNumberingAfterBreak="0">
    <w:nsid w:val="64863E11"/>
    <w:multiLevelType w:val="multilevel"/>
    <w:tmpl w:val="CCE4F974"/>
    <w:lvl w:ilvl="0">
      <w:start w:val="1"/>
      <w:numFmt w:val="decimal"/>
      <w:lvlText w:val="%1"/>
      <w:lvlJc w:val="left"/>
      <w:pPr>
        <w:ind w:left="480" w:hanging="480"/>
      </w:pPr>
      <w:rPr>
        <w:rFonts w:ascii="Times New Roman" w:hAnsi="Times New Roman" w:cs="Arial" w:hint="default"/>
        <w:sz w:val="24"/>
      </w:rPr>
    </w:lvl>
    <w:lvl w:ilvl="1">
      <w:start w:val="1"/>
      <w:numFmt w:val="decimal"/>
      <w:lvlText w:val="%1.%2"/>
      <w:lvlJc w:val="left"/>
      <w:pPr>
        <w:ind w:left="480" w:hanging="480"/>
      </w:pPr>
      <w:rPr>
        <w:rFonts w:ascii="Times New Roman" w:hAnsi="Times New Roman" w:cs="Arial" w:hint="default"/>
        <w:sz w:val="24"/>
      </w:rPr>
    </w:lvl>
    <w:lvl w:ilvl="2">
      <w:start w:val="1"/>
      <w:numFmt w:val="decimal"/>
      <w:lvlText w:val="%1.%2.%3"/>
      <w:lvlJc w:val="left"/>
      <w:pPr>
        <w:ind w:left="720" w:hanging="720"/>
      </w:pPr>
      <w:rPr>
        <w:rFonts w:asciiTheme="majorHAnsi" w:hAnsiTheme="majorHAnsi" w:cs="Arial" w:hint="default"/>
        <w:sz w:val="18"/>
      </w:rPr>
    </w:lvl>
    <w:lvl w:ilvl="3">
      <w:start w:val="1"/>
      <w:numFmt w:val="decimal"/>
      <w:lvlText w:val="%1.%2.%3.%4"/>
      <w:lvlJc w:val="left"/>
      <w:pPr>
        <w:ind w:left="720" w:hanging="720"/>
      </w:pPr>
      <w:rPr>
        <w:rFonts w:ascii="Times New Roman" w:hAnsi="Times New Roman" w:cs="Arial" w:hint="default"/>
        <w:sz w:val="24"/>
      </w:rPr>
    </w:lvl>
    <w:lvl w:ilvl="4">
      <w:start w:val="1"/>
      <w:numFmt w:val="decimal"/>
      <w:lvlText w:val="%1.%2.%3.%4.%5"/>
      <w:lvlJc w:val="left"/>
      <w:pPr>
        <w:ind w:left="720" w:hanging="720"/>
      </w:pPr>
      <w:rPr>
        <w:rFonts w:ascii="Times New Roman" w:hAnsi="Times New Roman" w:cs="Arial" w:hint="default"/>
        <w:sz w:val="24"/>
      </w:rPr>
    </w:lvl>
    <w:lvl w:ilvl="5">
      <w:start w:val="1"/>
      <w:numFmt w:val="decimal"/>
      <w:lvlText w:val="%1.%2.%3.%4.%5.%6"/>
      <w:lvlJc w:val="left"/>
      <w:pPr>
        <w:ind w:left="1080" w:hanging="1080"/>
      </w:pPr>
      <w:rPr>
        <w:rFonts w:ascii="Times New Roman" w:hAnsi="Times New Roman" w:cs="Arial" w:hint="default"/>
        <w:sz w:val="24"/>
      </w:rPr>
    </w:lvl>
    <w:lvl w:ilvl="6">
      <w:start w:val="1"/>
      <w:numFmt w:val="decimal"/>
      <w:lvlText w:val="%1.%2.%3.%4.%5.%6.%7"/>
      <w:lvlJc w:val="left"/>
      <w:pPr>
        <w:ind w:left="1080" w:hanging="1080"/>
      </w:pPr>
      <w:rPr>
        <w:rFonts w:ascii="Times New Roman" w:hAnsi="Times New Roman" w:cs="Arial" w:hint="default"/>
        <w:sz w:val="24"/>
      </w:rPr>
    </w:lvl>
    <w:lvl w:ilvl="7">
      <w:start w:val="1"/>
      <w:numFmt w:val="decimal"/>
      <w:lvlText w:val="%1.%2.%3.%4.%5.%6.%7.%8"/>
      <w:lvlJc w:val="left"/>
      <w:pPr>
        <w:ind w:left="1440" w:hanging="1440"/>
      </w:pPr>
      <w:rPr>
        <w:rFonts w:ascii="Times New Roman" w:hAnsi="Times New Roman" w:cs="Arial" w:hint="default"/>
        <w:sz w:val="24"/>
      </w:rPr>
    </w:lvl>
    <w:lvl w:ilvl="8">
      <w:start w:val="1"/>
      <w:numFmt w:val="decimal"/>
      <w:lvlText w:val="%1.%2.%3.%4.%5.%6.%7.%8.%9"/>
      <w:lvlJc w:val="left"/>
      <w:pPr>
        <w:ind w:left="1440" w:hanging="1440"/>
      </w:pPr>
      <w:rPr>
        <w:rFonts w:ascii="Times New Roman" w:hAnsi="Times New Roman" w:cs="Arial" w:hint="default"/>
        <w:sz w:val="24"/>
      </w:rPr>
    </w:lvl>
  </w:abstractNum>
  <w:abstractNum w:abstractNumId="129" w15:restartNumberingAfterBreak="0">
    <w:nsid w:val="65203A6D"/>
    <w:multiLevelType w:val="hybridMultilevel"/>
    <w:tmpl w:val="3FBA1312"/>
    <w:lvl w:ilvl="0" w:tplc="50484CAA">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657F0845"/>
    <w:multiLevelType w:val="hybridMultilevel"/>
    <w:tmpl w:val="64625D8A"/>
    <w:lvl w:ilvl="0" w:tplc="EE1A161A">
      <w:start w:val="6"/>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1" w15:restartNumberingAfterBreak="0">
    <w:nsid w:val="6790554D"/>
    <w:multiLevelType w:val="hybridMultilevel"/>
    <w:tmpl w:val="6406DA1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2" w15:restartNumberingAfterBreak="0">
    <w:nsid w:val="679453FF"/>
    <w:multiLevelType w:val="multilevel"/>
    <w:tmpl w:val="68A88F40"/>
    <w:lvl w:ilvl="0">
      <w:start w:val="2"/>
      <w:numFmt w:val="decimal"/>
      <w:lvlText w:val="%1"/>
      <w:lvlJc w:val="left"/>
      <w:pPr>
        <w:ind w:left="380" w:hanging="380"/>
      </w:pPr>
      <w:rPr>
        <w:rFonts w:hint="default"/>
      </w:rPr>
    </w:lvl>
    <w:lvl w:ilvl="1">
      <w:start w:val="1"/>
      <w:numFmt w:val="decimal"/>
      <w:lvlText w:val="%1.%2"/>
      <w:lvlJc w:val="left"/>
      <w:pPr>
        <w:ind w:left="380" w:hanging="3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3" w15:restartNumberingAfterBreak="0">
    <w:nsid w:val="683E57A2"/>
    <w:multiLevelType w:val="multilevel"/>
    <w:tmpl w:val="46545F0A"/>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34" w15:restartNumberingAfterBreak="0">
    <w:nsid w:val="685B4328"/>
    <w:multiLevelType w:val="multilevel"/>
    <w:tmpl w:val="F7505792"/>
    <w:lvl w:ilvl="0">
      <w:numFmt w:val="bullet"/>
      <w:lvlText w:val="-"/>
      <w:lvlJc w:val="left"/>
      <w:pPr>
        <w:tabs>
          <w:tab w:val="num" w:pos="720"/>
        </w:tabs>
        <w:ind w:left="720" w:hanging="360"/>
      </w:pPr>
      <w:rPr>
        <w:rFonts w:ascii="Calibri" w:eastAsiaTheme="minorHAnsi" w:hAnsi="Calibri" w:cs="Calibri"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PicBulletId w:val="1"/>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6AC66DA5"/>
    <w:multiLevelType w:val="hybridMultilevel"/>
    <w:tmpl w:val="4A6A55AA"/>
    <w:styleLink w:val="ImportedStyle13"/>
    <w:lvl w:ilvl="0" w:tplc="AD529234">
      <w:start w:val="1"/>
      <w:numFmt w:val="decimal"/>
      <w:lvlText w:val="%1)"/>
      <w:lvlJc w:val="left"/>
      <w:pPr>
        <w:tabs>
          <w:tab w:val="left" w:pos="270"/>
        </w:tabs>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63442AC">
      <w:start w:val="1"/>
      <w:numFmt w:val="lowerLetter"/>
      <w:lvlText w:val="%2."/>
      <w:lvlJc w:val="left"/>
      <w:pPr>
        <w:tabs>
          <w:tab w:val="left" w:pos="270"/>
        </w:tabs>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FB64CA6">
      <w:start w:val="1"/>
      <w:numFmt w:val="lowerRoman"/>
      <w:lvlText w:val="%3."/>
      <w:lvlJc w:val="left"/>
      <w:pPr>
        <w:tabs>
          <w:tab w:val="left" w:pos="270"/>
        </w:tabs>
        <w:ind w:left="216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C428A94">
      <w:start w:val="1"/>
      <w:numFmt w:val="decimal"/>
      <w:lvlText w:val="%4."/>
      <w:lvlJc w:val="left"/>
      <w:pPr>
        <w:tabs>
          <w:tab w:val="left" w:pos="270"/>
        </w:tabs>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B43E229A">
      <w:start w:val="1"/>
      <w:numFmt w:val="lowerLetter"/>
      <w:lvlText w:val="%5."/>
      <w:lvlJc w:val="left"/>
      <w:pPr>
        <w:tabs>
          <w:tab w:val="left" w:pos="270"/>
        </w:tabs>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0F4B912">
      <w:start w:val="1"/>
      <w:numFmt w:val="lowerRoman"/>
      <w:lvlText w:val="%6."/>
      <w:lvlJc w:val="left"/>
      <w:pPr>
        <w:tabs>
          <w:tab w:val="left" w:pos="270"/>
        </w:tabs>
        <w:ind w:left="432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6AB8AAFA">
      <w:start w:val="1"/>
      <w:numFmt w:val="decimal"/>
      <w:lvlText w:val="%7."/>
      <w:lvlJc w:val="left"/>
      <w:pPr>
        <w:tabs>
          <w:tab w:val="left" w:pos="270"/>
        </w:tabs>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C7BC07F6">
      <w:start w:val="1"/>
      <w:numFmt w:val="lowerLetter"/>
      <w:lvlText w:val="%8."/>
      <w:lvlJc w:val="left"/>
      <w:pPr>
        <w:tabs>
          <w:tab w:val="left" w:pos="270"/>
        </w:tabs>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B68E05A">
      <w:start w:val="1"/>
      <w:numFmt w:val="lowerRoman"/>
      <w:lvlText w:val="%9."/>
      <w:lvlJc w:val="left"/>
      <w:pPr>
        <w:tabs>
          <w:tab w:val="left" w:pos="270"/>
        </w:tabs>
        <w:ind w:left="6480" w:hanging="26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6" w15:restartNumberingAfterBreak="0">
    <w:nsid w:val="6C2A551E"/>
    <w:multiLevelType w:val="hybridMultilevel"/>
    <w:tmpl w:val="5F2A5CA4"/>
    <w:lvl w:ilvl="0" w:tplc="5BBC987E">
      <w:start w:val="1"/>
      <w:numFmt w:val="bullet"/>
      <w:lvlText w:val=""/>
      <w:lvlJc w:val="left"/>
      <w:pPr>
        <w:ind w:left="720" w:hanging="360"/>
      </w:pPr>
      <w:rPr>
        <w:rFonts w:ascii="Symbol" w:hAnsi="Symbol" w:hint="default"/>
        <w:color w:val="808080" w:themeColor="background1" w:themeShade="80"/>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6C607EF5"/>
    <w:multiLevelType w:val="hybridMultilevel"/>
    <w:tmpl w:val="2FC62EF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8" w15:restartNumberingAfterBreak="0">
    <w:nsid w:val="6C79391A"/>
    <w:multiLevelType w:val="hybridMultilevel"/>
    <w:tmpl w:val="59D25742"/>
    <w:lvl w:ilvl="0" w:tplc="FA7C332A">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9" w15:restartNumberingAfterBreak="0">
    <w:nsid w:val="6CFD78C9"/>
    <w:multiLevelType w:val="hybridMultilevel"/>
    <w:tmpl w:val="358CA34A"/>
    <w:styleLink w:val="ImportedStyle1"/>
    <w:lvl w:ilvl="0" w:tplc="E612C132">
      <w:start w:val="1"/>
      <w:numFmt w:val="upperRoman"/>
      <w:lvlText w:val="%1."/>
      <w:lvlJc w:val="left"/>
      <w:pPr>
        <w:ind w:left="72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C842AEE">
      <w:start w:val="1"/>
      <w:numFmt w:val="upperRoman"/>
      <w:lvlText w:val="%2."/>
      <w:lvlJc w:val="left"/>
      <w:pPr>
        <w:ind w:left="1440" w:hanging="51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38229A6">
      <w:start w:val="1"/>
      <w:numFmt w:val="lowerRoman"/>
      <w:lvlText w:val="%3."/>
      <w:lvlJc w:val="left"/>
      <w:pPr>
        <w:ind w:left="2160" w:hanging="3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2340EF0">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56443AE">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4FC85EA">
      <w:start w:val="1"/>
      <w:numFmt w:val="lowerRoman"/>
      <w:lvlText w:val="%6."/>
      <w:lvlJc w:val="left"/>
      <w:pPr>
        <w:ind w:left="4320" w:hanging="3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2B2E1D6">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8B4DC06">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2E23E62">
      <w:start w:val="1"/>
      <w:numFmt w:val="lowerRoman"/>
      <w:lvlText w:val="%9."/>
      <w:lvlJc w:val="left"/>
      <w:pPr>
        <w:ind w:left="6480" w:hanging="3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0" w15:restartNumberingAfterBreak="0">
    <w:nsid w:val="6D4415B1"/>
    <w:multiLevelType w:val="hybridMultilevel"/>
    <w:tmpl w:val="924013E2"/>
    <w:lvl w:ilvl="0" w:tplc="AF1C3636">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1" w15:restartNumberingAfterBreak="0">
    <w:nsid w:val="6D7A34CC"/>
    <w:multiLevelType w:val="multilevel"/>
    <w:tmpl w:val="766ED0CE"/>
    <w:lvl w:ilvl="0">
      <w:start w:val="1"/>
      <w:numFmt w:val="decimal"/>
      <w:lvlText w:val="%1"/>
      <w:lvlJc w:val="left"/>
      <w:pPr>
        <w:ind w:left="360" w:hanging="360"/>
      </w:pPr>
      <w:rPr>
        <w:rFonts w:eastAsiaTheme="minorHAnsi" w:hint="default"/>
      </w:rPr>
    </w:lvl>
    <w:lvl w:ilvl="1">
      <w:start w:val="1"/>
      <w:numFmt w:val="decimal"/>
      <w:lvlText w:val="%1.%2"/>
      <w:lvlJc w:val="left"/>
      <w:pPr>
        <w:ind w:left="720" w:hanging="36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720" w:hanging="72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080" w:hanging="108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440" w:hanging="1440"/>
      </w:pPr>
      <w:rPr>
        <w:rFonts w:eastAsiaTheme="minorHAnsi" w:hint="default"/>
      </w:rPr>
    </w:lvl>
  </w:abstractNum>
  <w:abstractNum w:abstractNumId="142" w15:restartNumberingAfterBreak="0">
    <w:nsid w:val="6F2E7DFA"/>
    <w:multiLevelType w:val="multilevel"/>
    <w:tmpl w:val="F788E1AE"/>
    <w:lvl w:ilvl="0">
      <w:start w:val="1"/>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3" w15:restartNumberingAfterBreak="0">
    <w:nsid w:val="6F874E06"/>
    <w:multiLevelType w:val="hybridMultilevel"/>
    <w:tmpl w:val="689EE66C"/>
    <w:lvl w:ilvl="0" w:tplc="99CCCE9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6FD809EC"/>
    <w:multiLevelType w:val="multilevel"/>
    <w:tmpl w:val="A1EC7B0A"/>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Theme="majorHAnsi" w:hAnsiTheme="majorHAnsi" w:cstheme="majorHAnsi" w:hint="default"/>
        <w:sz w:val="19"/>
        <w:szCs w:val="19"/>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5"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6" w15:restartNumberingAfterBreak="0">
    <w:nsid w:val="73DC1ABA"/>
    <w:multiLevelType w:val="multilevel"/>
    <w:tmpl w:val="CE843C48"/>
    <w:styleLink w:val="ImportedStyle32"/>
    <w:lvl w:ilvl="0">
      <w:start w:val="1"/>
      <w:numFmt w:val="upperRoman"/>
      <w:lvlText w:val="%1."/>
      <w:lvlJc w:val="left"/>
      <w:pPr>
        <w:ind w:left="1080" w:hanging="72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840" w:hanging="48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3."/>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3.%4."/>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3.%4.%5."/>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3.%4.%5.%6."/>
      <w:lvlJc w:val="left"/>
      <w:pPr>
        <w:tabs>
          <w:tab w:val="left" w:pos="567"/>
        </w:tabs>
        <w:ind w:left="3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3.%4.%5.%6.%7."/>
      <w:lvlJc w:val="left"/>
      <w:pPr>
        <w:tabs>
          <w:tab w:val="left" w:pos="567"/>
        </w:tabs>
        <w:ind w:left="3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3.%4.%5.%6.%7.%8."/>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3.%4.%5.%6.%7.%8.%9."/>
      <w:lvlJc w:val="left"/>
      <w:pPr>
        <w:ind w:left="567" w:hanging="567"/>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47" w15:restartNumberingAfterBreak="0">
    <w:nsid w:val="74081541"/>
    <w:multiLevelType w:val="hybridMultilevel"/>
    <w:tmpl w:val="7B82C1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Times New Roman"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Times New Roman"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Times New Roman" w:hint="default"/>
      </w:rPr>
    </w:lvl>
    <w:lvl w:ilvl="8" w:tplc="04090005">
      <w:start w:val="1"/>
      <w:numFmt w:val="bullet"/>
      <w:lvlText w:val=""/>
      <w:lvlJc w:val="left"/>
      <w:pPr>
        <w:ind w:left="6120" w:hanging="360"/>
      </w:pPr>
      <w:rPr>
        <w:rFonts w:ascii="Wingdings" w:hAnsi="Wingdings" w:hint="default"/>
      </w:rPr>
    </w:lvl>
  </w:abstractNum>
  <w:abstractNum w:abstractNumId="148"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9" w15:restartNumberingAfterBreak="0">
    <w:nsid w:val="75B276DA"/>
    <w:multiLevelType w:val="hybridMultilevel"/>
    <w:tmpl w:val="6680D3E2"/>
    <w:lvl w:ilvl="0" w:tplc="5A8AB43E">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0" w15:restartNumberingAfterBreak="0">
    <w:nsid w:val="763817A4"/>
    <w:multiLevelType w:val="hybridMultilevel"/>
    <w:tmpl w:val="5F280FAA"/>
    <w:lvl w:ilvl="0" w:tplc="27F8CE32">
      <w:start w:val="2"/>
      <w:numFmt w:val="upperRoman"/>
      <w:lvlText w:val="%1."/>
      <w:lvlJc w:val="right"/>
      <w:pPr>
        <w:ind w:left="720" w:hanging="360"/>
      </w:pPr>
      <w:rPr>
        <w:rFonts w:hint="default"/>
      </w:rPr>
    </w:lvl>
    <w:lvl w:ilvl="1" w:tplc="BCC8E1EA">
      <w:start w:val="2"/>
      <w:numFmt w:val="upperRoman"/>
      <w:lvlText w:val="%2."/>
      <w:lvlJc w:val="righ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1" w15:restartNumberingAfterBreak="0">
    <w:nsid w:val="764D3672"/>
    <w:multiLevelType w:val="hybridMultilevel"/>
    <w:tmpl w:val="7214F02E"/>
    <w:lvl w:ilvl="0" w:tplc="ECD435FC">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2" w15:restartNumberingAfterBreak="0">
    <w:nsid w:val="769F00AF"/>
    <w:multiLevelType w:val="hybridMultilevel"/>
    <w:tmpl w:val="CBB44B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3" w15:restartNumberingAfterBreak="0">
    <w:nsid w:val="776071FC"/>
    <w:multiLevelType w:val="hybridMultilevel"/>
    <w:tmpl w:val="646868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4"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15:restartNumberingAfterBreak="0">
    <w:nsid w:val="79D24C72"/>
    <w:multiLevelType w:val="hybridMultilevel"/>
    <w:tmpl w:val="E12E2540"/>
    <w:styleLink w:val="ImportedStyle47"/>
    <w:lvl w:ilvl="0" w:tplc="93F839FA">
      <w:start w:val="1"/>
      <w:numFmt w:val="upperLetter"/>
      <w:lvlText w:val="%1."/>
      <w:lvlJc w:val="left"/>
      <w:pPr>
        <w:ind w:left="72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2FAF63E">
      <w:start w:val="1"/>
      <w:numFmt w:val="lowerLetter"/>
      <w:lvlText w:val="%2."/>
      <w:lvlJc w:val="left"/>
      <w:pPr>
        <w:ind w:left="14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15CA230">
      <w:start w:val="1"/>
      <w:numFmt w:val="lowerRoman"/>
      <w:lvlText w:val="%3."/>
      <w:lvlJc w:val="left"/>
      <w:pPr>
        <w:ind w:left="2160" w:hanging="27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98C4CBC">
      <w:start w:val="1"/>
      <w:numFmt w:val="decimal"/>
      <w:lvlText w:val="%4."/>
      <w:lvlJc w:val="left"/>
      <w:pPr>
        <w:ind w:left="288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3AC610C6">
      <w:start w:val="1"/>
      <w:numFmt w:val="lowerLetter"/>
      <w:lvlText w:val="%5."/>
      <w:lvlJc w:val="left"/>
      <w:pPr>
        <w:ind w:left="360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F33031BE">
      <w:start w:val="1"/>
      <w:numFmt w:val="lowerRoman"/>
      <w:lvlText w:val="%6."/>
      <w:lvlJc w:val="left"/>
      <w:pPr>
        <w:ind w:left="4320" w:hanging="27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C7B8511A">
      <w:start w:val="1"/>
      <w:numFmt w:val="decimal"/>
      <w:lvlText w:val="%7."/>
      <w:lvlJc w:val="left"/>
      <w:pPr>
        <w:ind w:left="504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8EC606E">
      <w:start w:val="1"/>
      <w:numFmt w:val="lowerLetter"/>
      <w:lvlText w:val="%8."/>
      <w:lvlJc w:val="left"/>
      <w:pPr>
        <w:ind w:left="57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218046E">
      <w:start w:val="1"/>
      <w:numFmt w:val="lowerRoman"/>
      <w:lvlText w:val="%9."/>
      <w:lvlJc w:val="left"/>
      <w:pPr>
        <w:ind w:left="6480" w:hanging="27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56" w15:restartNumberingAfterBreak="0">
    <w:nsid w:val="79F337CD"/>
    <w:multiLevelType w:val="hybridMultilevel"/>
    <w:tmpl w:val="AAF64B70"/>
    <w:numStyleLink w:val="ImportedStyle46"/>
  </w:abstractNum>
  <w:abstractNum w:abstractNumId="157" w15:restartNumberingAfterBreak="0">
    <w:nsid w:val="7A4624E8"/>
    <w:multiLevelType w:val="multilevel"/>
    <w:tmpl w:val="6EB4593E"/>
    <w:lvl w:ilvl="0">
      <w:start w:val="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8" w15:restartNumberingAfterBreak="0">
    <w:nsid w:val="7B5008E6"/>
    <w:multiLevelType w:val="hybridMultilevel"/>
    <w:tmpl w:val="01C67BE2"/>
    <w:lvl w:ilvl="0" w:tplc="040C0013">
      <w:start w:val="1"/>
      <w:numFmt w:val="upperRoman"/>
      <w:lvlText w:val="%1."/>
      <w:lvlJc w:val="right"/>
      <w:pPr>
        <w:ind w:left="720" w:hanging="360"/>
      </w:pPr>
    </w:lvl>
    <w:lvl w:ilvl="1" w:tplc="040C0013">
      <w:start w:val="1"/>
      <w:numFmt w:val="upperRoman"/>
      <w:lvlText w:val="%2."/>
      <w:lvlJc w:val="righ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9" w15:restartNumberingAfterBreak="0">
    <w:nsid w:val="7DC25564"/>
    <w:multiLevelType w:val="hybridMultilevel"/>
    <w:tmpl w:val="298E80D2"/>
    <w:lvl w:ilvl="0" w:tplc="579ECCAA">
      <w:start w:val="1"/>
      <w:numFmt w:val="decimal"/>
      <w:lvlText w:val="%1)"/>
      <w:lvlJc w:val="left"/>
      <w:pPr>
        <w:ind w:left="360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0" w15:restartNumberingAfterBreak="0">
    <w:nsid w:val="7F2A3533"/>
    <w:multiLevelType w:val="multilevel"/>
    <w:tmpl w:val="D6B0D54A"/>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1" w15:restartNumberingAfterBreak="0">
    <w:nsid w:val="7FC031B9"/>
    <w:multiLevelType w:val="hybridMultilevel"/>
    <w:tmpl w:val="7A28CE60"/>
    <w:styleLink w:val="ImportedStyle4"/>
    <w:lvl w:ilvl="0" w:tplc="B8A402C8">
      <w:start w:val="1"/>
      <w:numFmt w:val="decimal"/>
      <w:lvlText w:val="%1."/>
      <w:lvlJc w:val="left"/>
      <w:pPr>
        <w:ind w:left="85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D5C6574">
      <w:start w:val="1"/>
      <w:numFmt w:val="lowerLetter"/>
      <w:lvlText w:val="%2."/>
      <w:lvlJc w:val="left"/>
      <w:pPr>
        <w:ind w:left="157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B1049406">
      <w:start w:val="1"/>
      <w:numFmt w:val="lowerRoman"/>
      <w:lvlText w:val="%3."/>
      <w:lvlJc w:val="left"/>
      <w:pPr>
        <w:ind w:left="2291" w:hanging="76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F427CEC">
      <w:start w:val="1"/>
      <w:numFmt w:val="decimal"/>
      <w:lvlText w:val="%4."/>
      <w:lvlJc w:val="left"/>
      <w:pPr>
        <w:ind w:left="301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B0484D0">
      <w:start w:val="1"/>
      <w:numFmt w:val="lowerLetter"/>
      <w:lvlText w:val="%5."/>
      <w:lvlJc w:val="left"/>
      <w:pPr>
        <w:ind w:left="373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28E4A20">
      <w:start w:val="1"/>
      <w:numFmt w:val="lowerRoman"/>
      <w:lvlText w:val="%6."/>
      <w:lvlJc w:val="left"/>
      <w:pPr>
        <w:ind w:left="4451" w:hanging="76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FD788A66">
      <w:start w:val="1"/>
      <w:numFmt w:val="decimal"/>
      <w:lvlText w:val="%7."/>
      <w:lvlJc w:val="left"/>
      <w:pPr>
        <w:ind w:left="517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CDC11C6">
      <w:start w:val="1"/>
      <w:numFmt w:val="lowerLetter"/>
      <w:lvlText w:val="%8."/>
      <w:lvlJc w:val="left"/>
      <w:pPr>
        <w:ind w:left="5891" w:hanging="851"/>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5484E576">
      <w:start w:val="1"/>
      <w:numFmt w:val="lowerRoman"/>
      <w:lvlText w:val="%9."/>
      <w:lvlJc w:val="left"/>
      <w:pPr>
        <w:ind w:left="6611" w:hanging="76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39"/>
  </w:num>
  <w:num w:numId="2">
    <w:abstractNumId w:val="2"/>
  </w:num>
  <w:num w:numId="3">
    <w:abstractNumId w:val="38"/>
    <w:lvlOverride w:ilvl="0">
      <w:lvl w:ilvl="0" w:tplc="CE40E6A2">
        <w:start w:val="1"/>
        <w:numFmt w:val="decimal"/>
        <w:lvlText w:val="%1."/>
        <w:lvlJc w:val="left"/>
        <w:pPr>
          <w:ind w:left="270" w:hanging="270"/>
        </w:pPr>
        <w:rPr>
          <w:rFonts w:asciiTheme="majorHAnsi" w:eastAsia="Trebuchet MS" w:hAnsiTheme="majorHAnsi" w:cstheme="majorHAnsi"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lvlOverride w:ilvl="1">
      <w:lvl w:ilvl="1" w:tplc="800CCBE0">
        <w:start w:val="1"/>
        <w:numFmt w:val="lowerLetter"/>
        <w:lvlText w:val="%2."/>
        <w:lvlJc w:val="left"/>
        <w:pPr>
          <w:ind w:left="1440" w:hanging="360"/>
        </w:pPr>
      </w:lvl>
    </w:lvlOverride>
    <w:lvlOverride w:ilvl="2">
      <w:lvl w:ilvl="2" w:tplc="02A4B4E8" w:tentative="1">
        <w:start w:val="1"/>
        <w:numFmt w:val="lowerRoman"/>
        <w:lvlText w:val="%3."/>
        <w:lvlJc w:val="right"/>
        <w:pPr>
          <w:ind w:left="2160" w:hanging="180"/>
        </w:pPr>
      </w:lvl>
    </w:lvlOverride>
    <w:lvlOverride w:ilvl="3">
      <w:lvl w:ilvl="3" w:tplc="A26A5918" w:tentative="1">
        <w:start w:val="1"/>
        <w:numFmt w:val="decimal"/>
        <w:lvlText w:val="%4."/>
        <w:lvlJc w:val="left"/>
        <w:pPr>
          <w:ind w:left="2880" w:hanging="360"/>
        </w:pPr>
      </w:lvl>
    </w:lvlOverride>
    <w:lvlOverride w:ilvl="4">
      <w:lvl w:ilvl="4" w:tplc="5E1E2D12" w:tentative="1">
        <w:start w:val="1"/>
        <w:numFmt w:val="lowerLetter"/>
        <w:lvlText w:val="%5."/>
        <w:lvlJc w:val="left"/>
        <w:pPr>
          <w:ind w:left="3600" w:hanging="360"/>
        </w:pPr>
      </w:lvl>
    </w:lvlOverride>
    <w:lvlOverride w:ilvl="5">
      <w:lvl w:ilvl="5" w:tplc="85E294E8" w:tentative="1">
        <w:start w:val="1"/>
        <w:numFmt w:val="lowerRoman"/>
        <w:lvlText w:val="%6."/>
        <w:lvlJc w:val="right"/>
        <w:pPr>
          <w:ind w:left="4320" w:hanging="180"/>
        </w:pPr>
      </w:lvl>
    </w:lvlOverride>
    <w:lvlOverride w:ilvl="6">
      <w:lvl w:ilvl="6" w:tplc="1C066B1A" w:tentative="1">
        <w:start w:val="1"/>
        <w:numFmt w:val="decimal"/>
        <w:lvlText w:val="%7."/>
        <w:lvlJc w:val="left"/>
        <w:pPr>
          <w:ind w:left="5040" w:hanging="360"/>
        </w:pPr>
      </w:lvl>
    </w:lvlOverride>
    <w:lvlOverride w:ilvl="7">
      <w:lvl w:ilvl="7" w:tplc="4B125AAE" w:tentative="1">
        <w:start w:val="1"/>
        <w:numFmt w:val="lowerLetter"/>
        <w:lvlText w:val="%8."/>
        <w:lvlJc w:val="left"/>
        <w:pPr>
          <w:ind w:left="5760" w:hanging="360"/>
        </w:pPr>
      </w:lvl>
    </w:lvlOverride>
    <w:lvlOverride w:ilvl="8">
      <w:lvl w:ilvl="8" w:tplc="188ABB24" w:tentative="1">
        <w:start w:val="1"/>
        <w:numFmt w:val="lowerRoman"/>
        <w:lvlText w:val="%9."/>
        <w:lvlJc w:val="right"/>
        <w:pPr>
          <w:ind w:left="6480" w:hanging="180"/>
        </w:pPr>
      </w:lvl>
    </w:lvlOverride>
  </w:num>
  <w:num w:numId="4">
    <w:abstractNumId w:val="161"/>
  </w:num>
  <w:num w:numId="5">
    <w:abstractNumId w:val="88"/>
  </w:num>
  <w:num w:numId="6">
    <w:abstractNumId w:val="9"/>
  </w:num>
  <w:num w:numId="7">
    <w:abstractNumId w:val="55"/>
  </w:num>
  <w:num w:numId="8">
    <w:abstractNumId w:val="135"/>
  </w:num>
  <w:num w:numId="9">
    <w:abstractNumId w:val="66"/>
  </w:num>
  <w:num w:numId="10">
    <w:abstractNumId w:val="4"/>
  </w:num>
  <w:num w:numId="11">
    <w:abstractNumId w:val="14"/>
  </w:num>
  <w:num w:numId="12">
    <w:abstractNumId w:val="14"/>
    <w:lvlOverride w:ilvl="0">
      <w:startOverride w:val="2"/>
    </w:lvlOverride>
  </w:num>
  <w:num w:numId="13">
    <w:abstractNumId w:val="14"/>
    <w:lvlOverride w:ilvl="0">
      <w:startOverride w:val="4"/>
    </w:lvlOverride>
  </w:num>
  <w:num w:numId="14">
    <w:abstractNumId w:val="14"/>
    <w:lvlOverride w:ilvl="0">
      <w:startOverride w:val="5"/>
    </w:lvlOverride>
  </w:num>
  <w:num w:numId="15">
    <w:abstractNumId w:val="48"/>
  </w:num>
  <w:num w:numId="16">
    <w:abstractNumId w:val="25"/>
  </w:num>
  <w:num w:numId="17">
    <w:abstractNumId w:val="11"/>
  </w:num>
  <w:num w:numId="18">
    <w:abstractNumId w:val="44"/>
  </w:num>
  <w:num w:numId="19">
    <w:abstractNumId w:val="146"/>
  </w:num>
  <w:num w:numId="20">
    <w:abstractNumId w:val="126"/>
  </w:num>
  <w:num w:numId="21">
    <w:abstractNumId w:val="47"/>
  </w:num>
  <w:num w:numId="22">
    <w:abstractNumId w:val="32"/>
    <w:lvlOverride w:ilvl="0">
      <w:lvl w:ilvl="0" w:tplc="83966FB2">
        <w:start w:val="1"/>
        <w:numFmt w:val="bullet"/>
        <w:lvlText w:val="-"/>
        <w:lvlJc w:val="left"/>
        <w:pPr>
          <w:ind w:left="709"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690E9E62">
        <w:start w:val="1"/>
        <w:numFmt w:val="bullet"/>
        <w:lvlText w:val="o"/>
        <w:lvlJc w:val="left"/>
        <w:pPr>
          <w:ind w:left="1429"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ABEE36FC">
        <w:start w:val="1"/>
        <w:numFmt w:val="bullet"/>
        <w:lvlText w:val="▪"/>
        <w:lvlJc w:val="left"/>
        <w:pPr>
          <w:ind w:left="2149"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D39EE4DE">
        <w:start w:val="1"/>
        <w:numFmt w:val="bullet"/>
        <w:lvlText w:val="•"/>
        <w:lvlJc w:val="left"/>
        <w:pPr>
          <w:ind w:left="2869"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25C27B6">
        <w:start w:val="1"/>
        <w:numFmt w:val="bullet"/>
        <w:lvlText w:val="o"/>
        <w:lvlJc w:val="left"/>
        <w:pPr>
          <w:ind w:left="3589"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BA943C26">
        <w:start w:val="1"/>
        <w:numFmt w:val="bullet"/>
        <w:lvlText w:val="▪"/>
        <w:lvlJc w:val="left"/>
        <w:pPr>
          <w:ind w:left="4309"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0B6471F0">
        <w:start w:val="1"/>
        <w:numFmt w:val="bullet"/>
        <w:lvlText w:val="•"/>
        <w:lvlJc w:val="left"/>
        <w:pPr>
          <w:ind w:left="5029"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12C8502">
        <w:start w:val="1"/>
        <w:numFmt w:val="bullet"/>
        <w:lvlText w:val="o"/>
        <w:lvlJc w:val="left"/>
        <w:pPr>
          <w:ind w:left="5749"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37C023CA">
        <w:start w:val="1"/>
        <w:numFmt w:val="bullet"/>
        <w:lvlText w:val="▪"/>
        <w:lvlJc w:val="left"/>
        <w:pPr>
          <w:ind w:left="6469" w:hanging="360"/>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3">
    <w:abstractNumId w:val="32"/>
    <w:lvlOverride w:ilvl="0">
      <w:lvl w:ilvl="0" w:tplc="83966FB2">
        <w:start w:val="1"/>
        <w:numFmt w:val="bullet"/>
        <w:lvlText w:val="-"/>
        <w:lvlJc w:val="left"/>
        <w:pPr>
          <w:ind w:left="709" w:hanging="357"/>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tplc="690E9E62">
        <w:start w:val="1"/>
        <w:numFmt w:val="bullet"/>
        <w:lvlText w:val="o"/>
        <w:lvlJc w:val="left"/>
        <w:pPr>
          <w:ind w:left="1429" w:hanging="357"/>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tplc="ABEE36FC">
        <w:start w:val="1"/>
        <w:numFmt w:val="bullet"/>
        <w:lvlText w:val="▪"/>
        <w:lvlJc w:val="left"/>
        <w:pPr>
          <w:ind w:left="2149" w:hanging="357"/>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tplc="D39EE4DE">
        <w:start w:val="1"/>
        <w:numFmt w:val="bullet"/>
        <w:lvlText w:val="•"/>
        <w:lvlJc w:val="left"/>
        <w:pPr>
          <w:ind w:left="2869" w:hanging="357"/>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tplc="A25C27B6">
        <w:start w:val="1"/>
        <w:numFmt w:val="bullet"/>
        <w:lvlText w:val="o"/>
        <w:lvlJc w:val="left"/>
        <w:pPr>
          <w:ind w:left="3589" w:hanging="357"/>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tplc="BA943C26">
        <w:start w:val="1"/>
        <w:numFmt w:val="bullet"/>
        <w:lvlText w:val="▪"/>
        <w:lvlJc w:val="left"/>
        <w:pPr>
          <w:ind w:left="4309" w:hanging="357"/>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tplc="0B6471F0">
        <w:start w:val="1"/>
        <w:numFmt w:val="bullet"/>
        <w:lvlText w:val="•"/>
        <w:lvlJc w:val="left"/>
        <w:pPr>
          <w:ind w:left="5029" w:hanging="357"/>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tplc="A12C8502">
        <w:start w:val="1"/>
        <w:numFmt w:val="bullet"/>
        <w:lvlText w:val="o"/>
        <w:lvlJc w:val="left"/>
        <w:pPr>
          <w:ind w:left="5749" w:hanging="357"/>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tplc="37C023CA">
        <w:start w:val="1"/>
        <w:numFmt w:val="bullet"/>
        <w:lvlText w:val="▪"/>
        <w:lvlJc w:val="left"/>
        <w:pPr>
          <w:ind w:left="6469" w:hanging="357"/>
        </w:pPr>
        <w:rPr>
          <w:rFonts w:ascii="Trebuchet MS" w:eastAsia="Trebuchet MS" w:hAnsi="Trebuchet MS" w:cs="Trebuchet MS"/>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24">
    <w:abstractNumId w:val="80"/>
  </w:num>
  <w:num w:numId="25">
    <w:abstractNumId w:val="156"/>
  </w:num>
  <w:num w:numId="26">
    <w:abstractNumId w:val="156"/>
    <w:lvlOverride w:ilvl="0">
      <w:lvl w:ilvl="0" w:tplc="C43E29C0">
        <w:start w:val="1"/>
        <w:numFmt w:val="decimal"/>
        <w:lvlText w:val="%1)"/>
        <w:lvlJc w:val="left"/>
        <w:pPr>
          <w:ind w:left="714"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410049E">
        <w:start w:val="1"/>
        <w:numFmt w:val="lowerLetter"/>
        <w:lvlText w:val="%2."/>
        <w:lvlJc w:val="left"/>
        <w:pPr>
          <w:ind w:left="1434"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685ABD58">
        <w:start w:val="1"/>
        <w:numFmt w:val="lowerRoman"/>
        <w:lvlText w:val="%3."/>
        <w:lvlJc w:val="left"/>
        <w:pPr>
          <w:ind w:left="2154" w:hanging="2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66D22216">
        <w:start w:val="1"/>
        <w:numFmt w:val="decimal"/>
        <w:lvlText w:val="%4."/>
        <w:lvlJc w:val="left"/>
        <w:pPr>
          <w:ind w:left="2874"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F4B2E8D4">
        <w:start w:val="1"/>
        <w:numFmt w:val="lowerLetter"/>
        <w:lvlText w:val="%5."/>
        <w:lvlJc w:val="left"/>
        <w:pPr>
          <w:ind w:left="3594"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AC6AD212">
        <w:start w:val="1"/>
        <w:numFmt w:val="lowerRoman"/>
        <w:lvlText w:val="%6."/>
        <w:lvlJc w:val="left"/>
        <w:pPr>
          <w:ind w:left="4314" w:hanging="266"/>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808E33C4">
        <w:start w:val="1"/>
        <w:numFmt w:val="decimal"/>
        <w:lvlText w:val="%7."/>
        <w:lvlJc w:val="left"/>
        <w:pPr>
          <w:ind w:left="5034"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62E2E2CA">
        <w:start w:val="1"/>
        <w:numFmt w:val="lowerLetter"/>
        <w:lvlText w:val="%8."/>
        <w:lvlJc w:val="left"/>
        <w:pPr>
          <w:ind w:left="5754" w:hanging="35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01E61DCC">
        <w:start w:val="1"/>
        <w:numFmt w:val="lowerRoman"/>
        <w:lvlText w:val="%9."/>
        <w:lvlJc w:val="left"/>
        <w:pPr>
          <w:ind w:left="6474" w:hanging="266"/>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27">
    <w:abstractNumId w:val="155"/>
  </w:num>
  <w:num w:numId="28">
    <w:abstractNumId w:val="3"/>
  </w:num>
  <w:num w:numId="29">
    <w:abstractNumId w:val="3"/>
    <w:lvlOverride w:ilvl="0">
      <w:startOverride w:val="2"/>
    </w:lvlOverride>
  </w:num>
  <w:num w:numId="30">
    <w:abstractNumId w:val="3"/>
    <w:lvlOverride w:ilvl="0">
      <w:startOverride w:val="3"/>
    </w:lvlOverride>
  </w:num>
  <w:num w:numId="31">
    <w:abstractNumId w:val="3"/>
    <w:lvlOverride w:ilvl="0">
      <w:startOverride w:val="5"/>
    </w:lvlOverride>
  </w:num>
  <w:num w:numId="32">
    <w:abstractNumId w:val="15"/>
  </w:num>
  <w:num w:numId="33">
    <w:abstractNumId w:val="3"/>
    <w:lvlOverride w:ilvl="0">
      <w:startOverride w:val="6"/>
    </w:lvlOverride>
  </w:num>
  <w:num w:numId="34">
    <w:abstractNumId w:val="3"/>
    <w:lvlOverride w:ilvl="0">
      <w:startOverride w:val="7"/>
    </w:lvlOverride>
  </w:num>
  <w:num w:numId="35">
    <w:abstractNumId w:val="10"/>
  </w:num>
  <w:num w:numId="36">
    <w:abstractNumId w:val="127"/>
  </w:num>
  <w:num w:numId="37">
    <w:abstractNumId w:val="123"/>
  </w:num>
  <w:num w:numId="38">
    <w:abstractNumId w:val="67"/>
  </w:num>
  <w:num w:numId="39">
    <w:abstractNumId w:val="85"/>
  </w:num>
  <w:num w:numId="40">
    <w:abstractNumId w:val="49"/>
  </w:num>
  <w:num w:numId="41">
    <w:abstractNumId w:val="35"/>
  </w:num>
  <w:num w:numId="42">
    <w:abstractNumId w:val="12"/>
  </w:num>
  <w:num w:numId="43">
    <w:abstractNumId w:val="60"/>
  </w:num>
  <w:num w:numId="44">
    <w:abstractNumId w:val="51"/>
  </w:num>
  <w:num w:numId="45">
    <w:abstractNumId w:val="98"/>
  </w:num>
  <w:num w:numId="46">
    <w:abstractNumId w:val="33"/>
  </w:num>
  <w:num w:numId="47">
    <w:abstractNumId w:val="102"/>
  </w:num>
  <w:num w:numId="48">
    <w:abstractNumId w:val="92"/>
  </w:num>
  <w:num w:numId="49">
    <w:abstractNumId w:val="50"/>
  </w:num>
  <w:num w:numId="50">
    <w:abstractNumId w:val="97"/>
  </w:num>
  <w:num w:numId="51">
    <w:abstractNumId w:val="29"/>
  </w:num>
  <w:num w:numId="52">
    <w:abstractNumId w:val="145"/>
  </w:num>
  <w:num w:numId="53">
    <w:abstractNumId w:val="154"/>
  </w:num>
  <w:num w:numId="54">
    <w:abstractNumId w:val="124"/>
  </w:num>
  <w:num w:numId="55">
    <w:abstractNumId w:val="148"/>
  </w:num>
  <w:num w:numId="56">
    <w:abstractNumId w:val="20"/>
  </w:num>
  <w:num w:numId="57">
    <w:abstractNumId w:val="52"/>
  </w:num>
  <w:num w:numId="58">
    <w:abstractNumId w:val="119"/>
  </w:num>
  <w:num w:numId="59">
    <w:abstractNumId w:val="104"/>
  </w:num>
  <w:num w:numId="60">
    <w:abstractNumId w:val="70"/>
  </w:num>
  <w:num w:numId="61">
    <w:abstractNumId w:val="26"/>
  </w:num>
  <w:num w:numId="62">
    <w:abstractNumId w:val="122"/>
  </w:num>
  <w:num w:numId="63">
    <w:abstractNumId w:val="82"/>
  </w:num>
  <w:num w:numId="64">
    <w:abstractNumId w:val="138"/>
  </w:num>
  <w:num w:numId="65">
    <w:abstractNumId w:val="149"/>
  </w:num>
  <w:num w:numId="66">
    <w:abstractNumId w:val="137"/>
  </w:num>
  <w:num w:numId="67">
    <w:abstractNumId w:val="36"/>
  </w:num>
  <w:num w:numId="68">
    <w:abstractNumId w:val="79"/>
  </w:num>
  <w:num w:numId="69">
    <w:abstractNumId w:val="38"/>
    <w:lvlOverride w:ilvl="0">
      <w:lvl w:ilvl="0" w:tplc="CE40E6A2">
        <w:start w:val="1"/>
        <w:numFmt w:val="decimal"/>
        <w:lvlText w:val="%1."/>
        <w:lvlJc w:val="left"/>
        <w:pPr>
          <w:ind w:left="270" w:hanging="270"/>
        </w:pPr>
        <w:rPr>
          <w:rFonts w:asciiTheme="majorHAnsi" w:eastAsia="Trebuchet MS" w:hAnsiTheme="majorHAnsi" w:cstheme="majorHAnsi" w:hint="default"/>
          <w:b w:val="0"/>
          <w:bCs w:val="0"/>
          <w:i w:val="0"/>
          <w:iCs w:val="0"/>
          <w:caps w:val="0"/>
          <w:smallCaps w:val="0"/>
          <w:strike w:val="0"/>
          <w:dstrike w:val="0"/>
          <w:outline w:val="0"/>
          <w:emboss w:val="0"/>
          <w:imprint w:val="0"/>
          <w:color w:val="000000"/>
          <w:spacing w:val="0"/>
          <w:w w:val="100"/>
          <w:kern w:val="0"/>
          <w:position w:val="0"/>
          <w:highlight w:val="none"/>
          <w:vertAlign w:val="baseline"/>
        </w:rPr>
      </w:lvl>
    </w:lvlOverride>
  </w:num>
  <w:num w:numId="70">
    <w:abstractNumId w:val="87"/>
  </w:num>
  <w:num w:numId="71">
    <w:abstractNumId w:val="111"/>
  </w:num>
  <w:num w:numId="72">
    <w:abstractNumId w:val="115"/>
  </w:num>
  <w:num w:numId="73">
    <w:abstractNumId w:val="132"/>
  </w:num>
  <w:num w:numId="74">
    <w:abstractNumId w:val="86"/>
  </w:num>
  <w:num w:numId="75">
    <w:abstractNumId w:val="120"/>
  </w:num>
  <w:num w:numId="76">
    <w:abstractNumId w:val="116"/>
  </w:num>
  <w:num w:numId="77">
    <w:abstractNumId w:val="18"/>
  </w:num>
  <w:num w:numId="78">
    <w:abstractNumId w:val="64"/>
  </w:num>
  <w:num w:numId="79">
    <w:abstractNumId w:val="96"/>
  </w:num>
  <w:num w:numId="80">
    <w:abstractNumId w:val="13"/>
  </w:num>
  <w:num w:numId="81">
    <w:abstractNumId w:val="7"/>
  </w:num>
  <w:num w:numId="82">
    <w:abstractNumId w:val="63"/>
  </w:num>
  <w:num w:numId="83">
    <w:abstractNumId w:val="94"/>
  </w:num>
  <w:num w:numId="84">
    <w:abstractNumId w:val="75"/>
  </w:num>
  <w:num w:numId="85">
    <w:abstractNumId w:val="125"/>
  </w:num>
  <w:num w:numId="86">
    <w:abstractNumId w:val="144"/>
  </w:num>
  <w:num w:numId="87">
    <w:abstractNumId w:val="81"/>
  </w:num>
  <w:num w:numId="88">
    <w:abstractNumId w:val="91"/>
  </w:num>
  <w:num w:numId="89">
    <w:abstractNumId w:val="73"/>
  </w:num>
  <w:num w:numId="90">
    <w:abstractNumId w:val="110"/>
  </w:num>
  <w:num w:numId="91">
    <w:abstractNumId w:val="101"/>
  </w:num>
  <w:num w:numId="92">
    <w:abstractNumId w:val="27"/>
  </w:num>
  <w:num w:numId="93">
    <w:abstractNumId w:val="130"/>
  </w:num>
  <w:num w:numId="94">
    <w:abstractNumId w:val="143"/>
  </w:num>
  <w:num w:numId="95">
    <w:abstractNumId w:val="153"/>
  </w:num>
  <w:num w:numId="96">
    <w:abstractNumId w:val="118"/>
  </w:num>
  <w:num w:numId="97">
    <w:abstractNumId w:val="69"/>
  </w:num>
  <w:num w:numId="98">
    <w:abstractNumId w:val="93"/>
  </w:num>
  <w:num w:numId="99">
    <w:abstractNumId w:val="89"/>
  </w:num>
  <w:num w:numId="100">
    <w:abstractNumId w:val="71"/>
  </w:num>
  <w:num w:numId="101">
    <w:abstractNumId w:val="22"/>
  </w:num>
  <w:num w:numId="102">
    <w:abstractNumId w:val="21"/>
  </w:num>
  <w:num w:numId="103">
    <w:abstractNumId w:val="140"/>
  </w:num>
  <w:num w:numId="104">
    <w:abstractNumId w:val="83"/>
  </w:num>
  <w:num w:numId="105">
    <w:abstractNumId w:val="117"/>
  </w:num>
  <w:num w:numId="106">
    <w:abstractNumId w:val="108"/>
  </w:num>
  <w:num w:numId="107">
    <w:abstractNumId w:val="160"/>
  </w:num>
  <w:num w:numId="108">
    <w:abstractNumId w:val="114"/>
  </w:num>
  <w:num w:numId="109">
    <w:abstractNumId w:val="142"/>
  </w:num>
  <w:num w:numId="110">
    <w:abstractNumId w:val="157"/>
  </w:num>
  <w:num w:numId="111">
    <w:abstractNumId w:val="54"/>
  </w:num>
  <w:num w:numId="112">
    <w:abstractNumId w:val="141"/>
  </w:num>
  <w:num w:numId="113">
    <w:abstractNumId w:val="129"/>
  </w:num>
  <w:num w:numId="114">
    <w:abstractNumId w:val="24"/>
  </w:num>
  <w:num w:numId="115">
    <w:abstractNumId w:val="59"/>
  </w:num>
  <w:num w:numId="116">
    <w:abstractNumId w:val="76"/>
  </w:num>
  <w:num w:numId="117">
    <w:abstractNumId w:val="39"/>
  </w:num>
  <w:num w:numId="118">
    <w:abstractNumId w:val="62"/>
  </w:num>
  <w:num w:numId="119">
    <w:abstractNumId w:val="151"/>
  </w:num>
  <w:num w:numId="120">
    <w:abstractNumId w:val="131"/>
  </w:num>
  <w:num w:numId="121">
    <w:abstractNumId w:val="74"/>
  </w:num>
  <w:num w:numId="122">
    <w:abstractNumId w:val="152"/>
  </w:num>
  <w:num w:numId="123">
    <w:abstractNumId w:val="99"/>
  </w:num>
  <w:num w:numId="124">
    <w:abstractNumId w:val="107"/>
  </w:num>
  <w:num w:numId="125">
    <w:abstractNumId w:val="136"/>
  </w:num>
  <w:num w:numId="126">
    <w:abstractNumId w:val="8"/>
  </w:num>
  <w:num w:numId="127">
    <w:abstractNumId w:val="105"/>
  </w:num>
  <w:num w:numId="128">
    <w:abstractNumId w:val="56"/>
  </w:num>
  <w:num w:numId="129">
    <w:abstractNumId w:val="57"/>
  </w:num>
  <w:num w:numId="130">
    <w:abstractNumId w:val="41"/>
  </w:num>
  <w:num w:numId="131">
    <w:abstractNumId w:val="90"/>
  </w:num>
  <w:num w:numId="132">
    <w:abstractNumId w:val="16"/>
  </w:num>
  <w:num w:numId="133">
    <w:abstractNumId w:val="113"/>
  </w:num>
  <w:num w:numId="134">
    <w:abstractNumId w:val="42"/>
  </w:num>
  <w:num w:numId="135">
    <w:abstractNumId w:val="77"/>
  </w:num>
  <w:num w:numId="136">
    <w:abstractNumId w:val="38"/>
  </w:num>
  <w:num w:numId="137">
    <w:abstractNumId w:val="103"/>
  </w:num>
  <w:num w:numId="138">
    <w:abstractNumId w:val="45"/>
  </w:num>
  <w:num w:numId="139">
    <w:abstractNumId w:val="34"/>
  </w:num>
  <w:num w:numId="140">
    <w:abstractNumId w:val="1"/>
    <w:lvlOverride w:ilvl="0">
      <w:lvl w:ilvl="0">
        <w:start w:val="1"/>
        <w:numFmt w:val="bullet"/>
        <w:lvlText w:val=""/>
        <w:legacy w:legacy="1" w:legacySpace="0" w:legacyIndent="252"/>
        <w:lvlJc w:val="left"/>
        <w:pPr>
          <w:ind w:left="252" w:hanging="252"/>
        </w:pPr>
        <w:rPr>
          <w:rFonts w:ascii="Symbol" w:hAnsi="Symbol" w:hint="default"/>
        </w:rPr>
      </w:lvl>
    </w:lvlOverride>
  </w:num>
  <w:num w:numId="141">
    <w:abstractNumId w:val="28"/>
  </w:num>
  <w:num w:numId="142">
    <w:abstractNumId w:val="0"/>
  </w:num>
  <w:num w:numId="143">
    <w:abstractNumId w:val="43"/>
  </w:num>
  <w:num w:numId="144">
    <w:abstractNumId w:val="84"/>
  </w:num>
  <w:num w:numId="145">
    <w:abstractNumId w:val="6"/>
  </w:num>
  <w:num w:numId="146">
    <w:abstractNumId w:val="58"/>
  </w:num>
  <w:num w:numId="147">
    <w:abstractNumId w:val="17"/>
  </w:num>
  <w:num w:numId="148">
    <w:abstractNumId w:val="23"/>
  </w:num>
  <w:num w:numId="149">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0">
    <w:abstractNumId w:val="1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1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116"/>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19"/>
    <w:lvlOverride w:ilvl="0">
      <w:startOverride w:val="2"/>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53"/>
  </w:num>
  <w:num w:numId="155">
    <w:abstractNumId w:val="159"/>
  </w:num>
  <w:num w:numId="156">
    <w:abstractNumId w:val="109"/>
  </w:num>
  <w:num w:numId="157">
    <w:abstractNumId w:val="30"/>
  </w:num>
  <w:num w:numId="158">
    <w:abstractNumId w:val="100"/>
  </w:num>
  <w:num w:numId="159">
    <w:abstractNumId w:val="40"/>
  </w:num>
  <w:num w:numId="160">
    <w:abstractNumId w:val="134"/>
  </w:num>
  <w:num w:numId="161">
    <w:abstractNumId w:val="133"/>
  </w:num>
  <w:num w:numId="162">
    <w:abstractNumId w:val="78"/>
  </w:num>
  <w:num w:numId="163">
    <w:abstractNumId w:val="147"/>
  </w:num>
  <w:num w:numId="164">
    <w:abstractNumId w:val="5"/>
  </w:num>
  <w:num w:numId="165">
    <w:abstractNumId w:val="95"/>
  </w:num>
  <w:num w:numId="166">
    <w:abstractNumId w:val="46"/>
  </w:num>
  <w:num w:numId="167">
    <w:abstractNumId w:val="112"/>
  </w:num>
  <w:num w:numId="168">
    <w:abstractNumId w:val="121"/>
  </w:num>
  <w:num w:numId="169">
    <w:abstractNumId w:val="37"/>
  </w:num>
  <w:num w:numId="170">
    <w:abstractNumId w:val="72"/>
  </w:num>
  <w:num w:numId="171">
    <w:abstractNumId w:val="106"/>
  </w:num>
  <w:num w:numId="172">
    <w:abstractNumId w:val="158"/>
  </w:num>
  <w:num w:numId="173">
    <w:abstractNumId w:val="150"/>
  </w:num>
  <w:num w:numId="174">
    <w:abstractNumId w:val="65"/>
  </w:num>
  <w:num w:numId="175">
    <w:abstractNumId w:val="31"/>
  </w:num>
  <w:num w:numId="176">
    <w:abstractNumId w:val="68"/>
  </w:num>
  <w:numIdMacAtCleanup w:val="1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ctiveWritingStyle w:appName="MSWord" w:lang="fr-FR" w:vendorID="64" w:dllVersion="6" w:nlCheck="1" w:checkStyle="0"/>
  <w:activeWritingStyle w:appName="MSWord" w:lang="en-GB" w:vendorID="64" w:dllVersion="6" w:nlCheck="1" w:checkStyle="1"/>
  <w:activeWritingStyle w:appName="MSWord" w:lang="en-US" w:vendorID="64" w:dllVersion="6" w:nlCheck="1" w:checkStyle="1"/>
  <w:activeWritingStyle w:appName="MSWord" w:lang="en-CA" w:vendorID="64" w:dllVersion="6" w:nlCheck="1" w:checkStyle="1"/>
  <w:activeWritingStyle w:appName="MSWord" w:lang="es-ES" w:vendorID="64" w:dllVersion="6" w:nlCheck="1" w:checkStyle="0"/>
  <w:activeWritingStyle w:appName="MSWord" w:lang="es-EC" w:vendorID="64" w:dllVersion="6" w:nlCheck="1" w:checkStyle="0"/>
  <w:activeWritingStyle w:appName="MSWord" w:lang="fr-BE" w:vendorID="64" w:dllVersion="6" w:nlCheck="1" w:checkStyle="0"/>
  <w:activeWritingStyle w:appName="MSWord" w:lang="es-PA" w:vendorID="64" w:dllVersion="6" w:nlCheck="1" w:checkStyle="0"/>
  <w:activeWritingStyle w:appName="MSWord" w:lang="fr-CA" w:vendorID="64" w:dllVersion="6" w:nlCheck="1" w:checkStyle="0"/>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activeWritingStyle w:appName="MSWord" w:lang="es-ES" w:vendorID="64" w:dllVersion="0" w:nlCheck="1" w:checkStyle="0"/>
  <w:activeWritingStyle w:appName="MSWord" w:lang="es-EC" w:vendorID="64" w:dllVersion="0" w:nlCheck="1" w:checkStyle="0"/>
  <w:activeWritingStyle w:appName="MSWord" w:lang="nl-NL" w:vendorID="64" w:dllVersion="0" w:nlCheck="1" w:checkStyle="0"/>
  <w:activeWritingStyle w:appName="MSWord" w:lang="en-CA" w:vendorID="64" w:dllVersion="0" w:nlCheck="1" w:checkStyle="0"/>
  <w:activeWritingStyle w:appName="MSWord" w:lang="en-US" w:vendorID="64" w:dllVersion="4096" w:nlCheck="1" w:checkStyle="0"/>
  <w:activeWritingStyle w:appName="MSWord" w:lang="fr-FR" w:vendorID="64" w:dllVersion="4096" w:nlCheck="1" w:checkStyle="0"/>
  <w:activeWritingStyle w:appName="MSWord" w:lang="en-GB" w:vendorID="64" w:dllVersion="4096" w:nlCheck="1" w:checkStyle="0"/>
  <w:activeWritingStyle w:appName="MSWord" w:lang="es-ES" w:vendorID="64" w:dllVersion="4096" w:nlCheck="1" w:checkStyle="0"/>
  <w:activeWritingStyle w:appName="MSWord" w:lang="es-EC" w:vendorID="64" w:dllVersion="4096" w:nlCheck="1" w:checkStyle="0"/>
  <w:activeWritingStyle w:appName="MSWord" w:lang="en-CA" w:vendorID="64" w:dllVersion="4096" w:nlCheck="1" w:checkStyle="0"/>
  <w:activeWritingStyle w:appName="MSWord" w:lang="fr-BE" w:vendorID="64" w:dllVersion="4096" w:nlCheck="1" w:checkStyle="0"/>
  <w:activeWritingStyle w:appName="MSWord" w:lang="es-PA" w:vendorID="64" w:dllVersion="4096" w:nlCheck="1" w:checkStyle="0"/>
  <w:activeWritingStyle w:appName="MSWord" w:lang="fr-CA" w:vendorID="64" w:dllVersion="4096" w:nlCheck="1" w:checkStyle="0"/>
  <w:activeWritingStyle w:appName="MSWord" w:lang="nl-NL" w:vendorID="64" w:dllVersion="4096" w:nlCheck="1" w:checkStyle="0"/>
  <w:activeWritingStyle w:appName="MSWord" w:lang="es-PA" w:vendorID="64" w:dllVersion="0" w:nlCheck="1" w:checkStyle="0"/>
  <w:activeWritingStyle w:appName="MSWord" w:lang="fr-CA" w:vendorID="64" w:dllVersion="0" w:nlCheck="1" w:checkStyle="0"/>
  <w:activeWritingStyle w:appName="MSWord" w:lang="fr-BE" w:vendorID="64" w:dllVersion="0" w:nlCheck="1" w:checkStyle="0"/>
  <w:activeWritingStyle w:appName="MSWord" w:lang="de-DE" w:vendorID="64" w:dllVersion="4096" w:nlCheck="1" w:checkStyle="0"/>
  <w:activeWritingStyle w:appName="MSWord" w:lang="pt-BR" w:vendorID="64" w:dllVersion="0" w:nlCheck="1" w:checkStyle="0"/>
  <w:activeWritingStyle w:appName="MSWord" w:lang="pt-BR" w:vendorID="64" w:dllVersion="4096" w:nlCheck="1" w:checkStyle="0"/>
  <w:proofState w:spelling="clean" w:grammar="clean"/>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LSwNDY3MjYxNjUzMDdQ0lEKTi0uzszPAykwrAUA9s/AJywAAAA="/>
  </w:docVars>
  <w:rsids>
    <w:rsidRoot w:val="001771FE"/>
    <w:rsid w:val="00000239"/>
    <w:rsid w:val="0000593C"/>
    <w:rsid w:val="0000595E"/>
    <w:rsid w:val="00006963"/>
    <w:rsid w:val="00010BB9"/>
    <w:rsid w:val="00011ED2"/>
    <w:rsid w:val="00012CB0"/>
    <w:rsid w:val="00013DC5"/>
    <w:rsid w:val="00014423"/>
    <w:rsid w:val="00014BC2"/>
    <w:rsid w:val="000151D5"/>
    <w:rsid w:val="00015FDB"/>
    <w:rsid w:val="000170A3"/>
    <w:rsid w:val="00017919"/>
    <w:rsid w:val="00017E1E"/>
    <w:rsid w:val="00017F7D"/>
    <w:rsid w:val="000208ED"/>
    <w:rsid w:val="00020C1B"/>
    <w:rsid w:val="00021017"/>
    <w:rsid w:val="0002138A"/>
    <w:rsid w:val="0002150B"/>
    <w:rsid w:val="00021D6E"/>
    <w:rsid w:val="00022517"/>
    <w:rsid w:val="0002314C"/>
    <w:rsid w:val="00023CBA"/>
    <w:rsid w:val="00025195"/>
    <w:rsid w:val="00025E0B"/>
    <w:rsid w:val="000262B7"/>
    <w:rsid w:val="00026679"/>
    <w:rsid w:val="00031A2E"/>
    <w:rsid w:val="00032E7E"/>
    <w:rsid w:val="000337E9"/>
    <w:rsid w:val="000344AE"/>
    <w:rsid w:val="00034AFD"/>
    <w:rsid w:val="00034EA1"/>
    <w:rsid w:val="0003555B"/>
    <w:rsid w:val="000365CD"/>
    <w:rsid w:val="00036A00"/>
    <w:rsid w:val="00036A23"/>
    <w:rsid w:val="00037676"/>
    <w:rsid w:val="000408CF"/>
    <w:rsid w:val="00041E13"/>
    <w:rsid w:val="00042801"/>
    <w:rsid w:val="0004406D"/>
    <w:rsid w:val="00045B04"/>
    <w:rsid w:val="00045CA3"/>
    <w:rsid w:val="00046D91"/>
    <w:rsid w:val="00046DF6"/>
    <w:rsid w:val="0005191A"/>
    <w:rsid w:val="000526CB"/>
    <w:rsid w:val="00052B09"/>
    <w:rsid w:val="000538F8"/>
    <w:rsid w:val="00053F8D"/>
    <w:rsid w:val="00054FE9"/>
    <w:rsid w:val="00056345"/>
    <w:rsid w:val="000563F8"/>
    <w:rsid w:val="000570D9"/>
    <w:rsid w:val="000572D9"/>
    <w:rsid w:val="00057CE8"/>
    <w:rsid w:val="00060886"/>
    <w:rsid w:val="00061612"/>
    <w:rsid w:val="00061D23"/>
    <w:rsid w:val="000624B6"/>
    <w:rsid w:val="00062F5A"/>
    <w:rsid w:val="00062FC4"/>
    <w:rsid w:val="00063296"/>
    <w:rsid w:val="00064439"/>
    <w:rsid w:val="00064469"/>
    <w:rsid w:val="00064B1E"/>
    <w:rsid w:val="00065678"/>
    <w:rsid w:val="000662A8"/>
    <w:rsid w:val="00066317"/>
    <w:rsid w:val="000667A8"/>
    <w:rsid w:val="00067DA4"/>
    <w:rsid w:val="0007038B"/>
    <w:rsid w:val="00070C5C"/>
    <w:rsid w:val="000718AC"/>
    <w:rsid w:val="00073451"/>
    <w:rsid w:val="0007418F"/>
    <w:rsid w:val="000741FC"/>
    <w:rsid w:val="00077852"/>
    <w:rsid w:val="00080B3E"/>
    <w:rsid w:val="00081948"/>
    <w:rsid w:val="00081DB8"/>
    <w:rsid w:val="00082591"/>
    <w:rsid w:val="00083598"/>
    <w:rsid w:val="000838A7"/>
    <w:rsid w:val="00084068"/>
    <w:rsid w:val="00085462"/>
    <w:rsid w:val="00086BE8"/>
    <w:rsid w:val="00090DA2"/>
    <w:rsid w:val="00091C85"/>
    <w:rsid w:val="00091D0C"/>
    <w:rsid w:val="00093164"/>
    <w:rsid w:val="0009363C"/>
    <w:rsid w:val="00093852"/>
    <w:rsid w:val="0009385E"/>
    <w:rsid w:val="000944D1"/>
    <w:rsid w:val="000957E4"/>
    <w:rsid w:val="0009734C"/>
    <w:rsid w:val="00097920"/>
    <w:rsid w:val="000A13F8"/>
    <w:rsid w:val="000A2A52"/>
    <w:rsid w:val="000A2A8C"/>
    <w:rsid w:val="000A33B3"/>
    <w:rsid w:val="000A4712"/>
    <w:rsid w:val="000A473B"/>
    <w:rsid w:val="000A4C85"/>
    <w:rsid w:val="000A5BC9"/>
    <w:rsid w:val="000A6F69"/>
    <w:rsid w:val="000B0718"/>
    <w:rsid w:val="000B169C"/>
    <w:rsid w:val="000B1883"/>
    <w:rsid w:val="000B294C"/>
    <w:rsid w:val="000B3DF2"/>
    <w:rsid w:val="000B5CE0"/>
    <w:rsid w:val="000B6122"/>
    <w:rsid w:val="000B6665"/>
    <w:rsid w:val="000B6BF8"/>
    <w:rsid w:val="000B6DC2"/>
    <w:rsid w:val="000B7185"/>
    <w:rsid w:val="000B74F4"/>
    <w:rsid w:val="000C032D"/>
    <w:rsid w:val="000C0390"/>
    <w:rsid w:val="000C07BE"/>
    <w:rsid w:val="000C1DCF"/>
    <w:rsid w:val="000C2446"/>
    <w:rsid w:val="000C3242"/>
    <w:rsid w:val="000C4239"/>
    <w:rsid w:val="000C4CE3"/>
    <w:rsid w:val="000C544F"/>
    <w:rsid w:val="000C5BB0"/>
    <w:rsid w:val="000C65EF"/>
    <w:rsid w:val="000C6761"/>
    <w:rsid w:val="000C683F"/>
    <w:rsid w:val="000C799A"/>
    <w:rsid w:val="000D1903"/>
    <w:rsid w:val="000D1B37"/>
    <w:rsid w:val="000D1DDE"/>
    <w:rsid w:val="000D23AC"/>
    <w:rsid w:val="000D5112"/>
    <w:rsid w:val="000D57FB"/>
    <w:rsid w:val="000D5C3C"/>
    <w:rsid w:val="000D6446"/>
    <w:rsid w:val="000D7E08"/>
    <w:rsid w:val="000E0B5C"/>
    <w:rsid w:val="000E0D7F"/>
    <w:rsid w:val="000E0DB2"/>
    <w:rsid w:val="000E2036"/>
    <w:rsid w:val="000E2674"/>
    <w:rsid w:val="000E3284"/>
    <w:rsid w:val="000E5177"/>
    <w:rsid w:val="000E6B24"/>
    <w:rsid w:val="000E7157"/>
    <w:rsid w:val="000E757D"/>
    <w:rsid w:val="000E7B18"/>
    <w:rsid w:val="000E7D1F"/>
    <w:rsid w:val="000E7FAF"/>
    <w:rsid w:val="000F0356"/>
    <w:rsid w:val="000F1492"/>
    <w:rsid w:val="000F1C06"/>
    <w:rsid w:val="000F2923"/>
    <w:rsid w:val="000F3A72"/>
    <w:rsid w:val="000F482D"/>
    <w:rsid w:val="000F49A9"/>
    <w:rsid w:val="000F684D"/>
    <w:rsid w:val="000F6EE6"/>
    <w:rsid w:val="001004A2"/>
    <w:rsid w:val="00103C48"/>
    <w:rsid w:val="00103F6B"/>
    <w:rsid w:val="00104562"/>
    <w:rsid w:val="001050BC"/>
    <w:rsid w:val="00105DBA"/>
    <w:rsid w:val="00105ED9"/>
    <w:rsid w:val="0010648B"/>
    <w:rsid w:val="0010696A"/>
    <w:rsid w:val="00106E19"/>
    <w:rsid w:val="00107041"/>
    <w:rsid w:val="001075E3"/>
    <w:rsid w:val="00107A3E"/>
    <w:rsid w:val="00110573"/>
    <w:rsid w:val="001105F1"/>
    <w:rsid w:val="00110795"/>
    <w:rsid w:val="00111A11"/>
    <w:rsid w:val="00113727"/>
    <w:rsid w:val="00113774"/>
    <w:rsid w:val="00114878"/>
    <w:rsid w:val="00114F4F"/>
    <w:rsid w:val="0011588F"/>
    <w:rsid w:val="00115A57"/>
    <w:rsid w:val="0011601D"/>
    <w:rsid w:val="00116D3D"/>
    <w:rsid w:val="00117957"/>
    <w:rsid w:val="0011795F"/>
    <w:rsid w:val="00117FD8"/>
    <w:rsid w:val="001206C5"/>
    <w:rsid w:val="00121313"/>
    <w:rsid w:val="00123F3A"/>
    <w:rsid w:val="00124972"/>
    <w:rsid w:val="00125D87"/>
    <w:rsid w:val="001305D7"/>
    <w:rsid w:val="00131BF0"/>
    <w:rsid w:val="00131ED5"/>
    <w:rsid w:val="0013235E"/>
    <w:rsid w:val="00133B73"/>
    <w:rsid w:val="00133F66"/>
    <w:rsid w:val="001341BA"/>
    <w:rsid w:val="001348E7"/>
    <w:rsid w:val="00134A32"/>
    <w:rsid w:val="00134B8F"/>
    <w:rsid w:val="001354DF"/>
    <w:rsid w:val="0013572B"/>
    <w:rsid w:val="00136943"/>
    <w:rsid w:val="0013753A"/>
    <w:rsid w:val="00137AA6"/>
    <w:rsid w:val="00141795"/>
    <w:rsid w:val="00141BD0"/>
    <w:rsid w:val="00141D4A"/>
    <w:rsid w:val="0014231C"/>
    <w:rsid w:val="00142AF3"/>
    <w:rsid w:val="00143159"/>
    <w:rsid w:val="001442C6"/>
    <w:rsid w:val="0014463F"/>
    <w:rsid w:val="00150252"/>
    <w:rsid w:val="00151099"/>
    <w:rsid w:val="00151A7B"/>
    <w:rsid w:val="00153345"/>
    <w:rsid w:val="001537F0"/>
    <w:rsid w:val="00155163"/>
    <w:rsid w:val="0015593B"/>
    <w:rsid w:val="00155CF8"/>
    <w:rsid w:val="001560A6"/>
    <w:rsid w:val="00160335"/>
    <w:rsid w:val="001609A6"/>
    <w:rsid w:val="00160A70"/>
    <w:rsid w:val="00162E0A"/>
    <w:rsid w:val="00163340"/>
    <w:rsid w:val="00163780"/>
    <w:rsid w:val="00163985"/>
    <w:rsid w:val="00164240"/>
    <w:rsid w:val="00165AC3"/>
    <w:rsid w:val="00166500"/>
    <w:rsid w:val="00166B8E"/>
    <w:rsid w:val="001702AB"/>
    <w:rsid w:val="00170D8C"/>
    <w:rsid w:val="00170F3A"/>
    <w:rsid w:val="001710A9"/>
    <w:rsid w:val="00171D85"/>
    <w:rsid w:val="00172386"/>
    <w:rsid w:val="00172A2A"/>
    <w:rsid w:val="0017307B"/>
    <w:rsid w:val="0017346C"/>
    <w:rsid w:val="001735F6"/>
    <w:rsid w:val="00173871"/>
    <w:rsid w:val="00173D4C"/>
    <w:rsid w:val="00173FEB"/>
    <w:rsid w:val="00174E67"/>
    <w:rsid w:val="00176755"/>
    <w:rsid w:val="00176CF1"/>
    <w:rsid w:val="00176DB8"/>
    <w:rsid w:val="001771FE"/>
    <w:rsid w:val="00180074"/>
    <w:rsid w:val="001806C3"/>
    <w:rsid w:val="001807FB"/>
    <w:rsid w:val="00180B5C"/>
    <w:rsid w:val="0018145F"/>
    <w:rsid w:val="00181871"/>
    <w:rsid w:val="00181A67"/>
    <w:rsid w:val="00182ADD"/>
    <w:rsid w:val="00183025"/>
    <w:rsid w:val="001841B9"/>
    <w:rsid w:val="001879E3"/>
    <w:rsid w:val="001905A3"/>
    <w:rsid w:val="00191612"/>
    <w:rsid w:val="00191AA4"/>
    <w:rsid w:val="00191D3D"/>
    <w:rsid w:val="00192D1B"/>
    <w:rsid w:val="00193DA0"/>
    <w:rsid w:val="0019415A"/>
    <w:rsid w:val="001A075F"/>
    <w:rsid w:val="001A1FE5"/>
    <w:rsid w:val="001A282E"/>
    <w:rsid w:val="001A2D10"/>
    <w:rsid w:val="001A44C0"/>
    <w:rsid w:val="001A5764"/>
    <w:rsid w:val="001A736B"/>
    <w:rsid w:val="001B308D"/>
    <w:rsid w:val="001B3887"/>
    <w:rsid w:val="001B39F8"/>
    <w:rsid w:val="001B457E"/>
    <w:rsid w:val="001B53F4"/>
    <w:rsid w:val="001B628D"/>
    <w:rsid w:val="001B64D1"/>
    <w:rsid w:val="001B663F"/>
    <w:rsid w:val="001B6A87"/>
    <w:rsid w:val="001B7A42"/>
    <w:rsid w:val="001C1E07"/>
    <w:rsid w:val="001C275D"/>
    <w:rsid w:val="001C38EA"/>
    <w:rsid w:val="001C3DAA"/>
    <w:rsid w:val="001C4F6D"/>
    <w:rsid w:val="001C5382"/>
    <w:rsid w:val="001C57FE"/>
    <w:rsid w:val="001C5AD4"/>
    <w:rsid w:val="001C5DC3"/>
    <w:rsid w:val="001C689D"/>
    <w:rsid w:val="001D112E"/>
    <w:rsid w:val="001D16D5"/>
    <w:rsid w:val="001D2308"/>
    <w:rsid w:val="001D48E5"/>
    <w:rsid w:val="001D54B3"/>
    <w:rsid w:val="001D57B1"/>
    <w:rsid w:val="001D68E5"/>
    <w:rsid w:val="001D73A4"/>
    <w:rsid w:val="001D761B"/>
    <w:rsid w:val="001D7A79"/>
    <w:rsid w:val="001E039F"/>
    <w:rsid w:val="001E0A2D"/>
    <w:rsid w:val="001E1A57"/>
    <w:rsid w:val="001E1C5F"/>
    <w:rsid w:val="001E345D"/>
    <w:rsid w:val="001E58C5"/>
    <w:rsid w:val="001E6E8C"/>
    <w:rsid w:val="001E73F4"/>
    <w:rsid w:val="001E763B"/>
    <w:rsid w:val="001E7B8C"/>
    <w:rsid w:val="001F032E"/>
    <w:rsid w:val="001F06E8"/>
    <w:rsid w:val="001F0DD4"/>
    <w:rsid w:val="001F13A9"/>
    <w:rsid w:val="001F1DA8"/>
    <w:rsid w:val="001F2428"/>
    <w:rsid w:val="001F251A"/>
    <w:rsid w:val="001F260B"/>
    <w:rsid w:val="001F31B5"/>
    <w:rsid w:val="001F3E46"/>
    <w:rsid w:val="001F4191"/>
    <w:rsid w:val="001F6E4F"/>
    <w:rsid w:val="001F7ECE"/>
    <w:rsid w:val="001F7F77"/>
    <w:rsid w:val="00200571"/>
    <w:rsid w:val="0020162F"/>
    <w:rsid w:val="00201734"/>
    <w:rsid w:val="002020AD"/>
    <w:rsid w:val="00202A60"/>
    <w:rsid w:val="002034D7"/>
    <w:rsid w:val="002034E4"/>
    <w:rsid w:val="00203BA9"/>
    <w:rsid w:val="00203E37"/>
    <w:rsid w:val="0020512E"/>
    <w:rsid w:val="00205BA8"/>
    <w:rsid w:val="002118D6"/>
    <w:rsid w:val="00211C9C"/>
    <w:rsid w:val="002123D9"/>
    <w:rsid w:val="002125E3"/>
    <w:rsid w:val="00212A3E"/>
    <w:rsid w:val="00212E37"/>
    <w:rsid w:val="002131DC"/>
    <w:rsid w:val="00213862"/>
    <w:rsid w:val="00214054"/>
    <w:rsid w:val="00214FEA"/>
    <w:rsid w:val="00215676"/>
    <w:rsid w:val="00216185"/>
    <w:rsid w:val="00216FCF"/>
    <w:rsid w:val="00217697"/>
    <w:rsid w:val="00217FDF"/>
    <w:rsid w:val="00221557"/>
    <w:rsid w:val="002228E7"/>
    <w:rsid w:val="00224AD7"/>
    <w:rsid w:val="00225950"/>
    <w:rsid w:val="00227B7E"/>
    <w:rsid w:val="00230544"/>
    <w:rsid w:val="00230DCC"/>
    <w:rsid w:val="00230F3A"/>
    <w:rsid w:val="00231425"/>
    <w:rsid w:val="00231C7F"/>
    <w:rsid w:val="00231F1D"/>
    <w:rsid w:val="0023263F"/>
    <w:rsid w:val="0023349B"/>
    <w:rsid w:val="002342FC"/>
    <w:rsid w:val="00235A46"/>
    <w:rsid w:val="00236F32"/>
    <w:rsid w:val="002373D7"/>
    <w:rsid w:val="00237493"/>
    <w:rsid w:val="00237545"/>
    <w:rsid w:val="002375D5"/>
    <w:rsid w:val="0024014D"/>
    <w:rsid w:val="0024061D"/>
    <w:rsid w:val="00241C59"/>
    <w:rsid w:val="00242B85"/>
    <w:rsid w:val="00245757"/>
    <w:rsid w:val="00245A5B"/>
    <w:rsid w:val="00246040"/>
    <w:rsid w:val="00246715"/>
    <w:rsid w:val="00246CF7"/>
    <w:rsid w:val="00247769"/>
    <w:rsid w:val="00247DC1"/>
    <w:rsid w:val="00250356"/>
    <w:rsid w:val="002505A2"/>
    <w:rsid w:val="002507EF"/>
    <w:rsid w:val="00250916"/>
    <w:rsid w:val="0025159E"/>
    <w:rsid w:val="00252270"/>
    <w:rsid w:val="00252400"/>
    <w:rsid w:val="002529CE"/>
    <w:rsid w:val="00252C64"/>
    <w:rsid w:val="00253706"/>
    <w:rsid w:val="00253C3C"/>
    <w:rsid w:val="00253EED"/>
    <w:rsid w:val="002545DC"/>
    <w:rsid w:val="00254830"/>
    <w:rsid w:val="002548D3"/>
    <w:rsid w:val="00254D74"/>
    <w:rsid w:val="0025596C"/>
    <w:rsid w:val="00255F83"/>
    <w:rsid w:val="00256E3E"/>
    <w:rsid w:val="0025770D"/>
    <w:rsid w:val="00257900"/>
    <w:rsid w:val="00260F5C"/>
    <w:rsid w:val="0026174B"/>
    <w:rsid w:val="002639E1"/>
    <w:rsid w:val="00264607"/>
    <w:rsid w:val="00264643"/>
    <w:rsid w:val="00264AE6"/>
    <w:rsid w:val="00265F85"/>
    <w:rsid w:val="002669A1"/>
    <w:rsid w:val="00271A9F"/>
    <w:rsid w:val="00271DCD"/>
    <w:rsid w:val="00272B2B"/>
    <w:rsid w:val="00272D3D"/>
    <w:rsid w:val="00272EA5"/>
    <w:rsid w:val="00273DDA"/>
    <w:rsid w:val="0027511D"/>
    <w:rsid w:val="00277E66"/>
    <w:rsid w:val="00280EBC"/>
    <w:rsid w:val="002813C5"/>
    <w:rsid w:val="0028164E"/>
    <w:rsid w:val="00282FED"/>
    <w:rsid w:val="0028452F"/>
    <w:rsid w:val="0028474E"/>
    <w:rsid w:val="002857C2"/>
    <w:rsid w:val="0028609C"/>
    <w:rsid w:val="00287489"/>
    <w:rsid w:val="002900B1"/>
    <w:rsid w:val="002902B2"/>
    <w:rsid w:val="00290AAD"/>
    <w:rsid w:val="002915C0"/>
    <w:rsid w:val="00293262"/>
    <w:rsid w:val="002932A8"/>
    <w:rsid w:val="002973D5"/>
    <w:rsid w:val="00297DBB"/>
    <w:rsid w:val="002A0F4E"/>
    <w:rsid w:val="002A10D8"/>
    <w:rsid w:val="002A2731"/>
    <w:rsid w:val="002A4941"/>
    <w:rsid w:val="002A4DF1"/>
    <w:rsid w:val="002A4F2F"/>
    <w:rsid w:val="002A532A"/>
    <w:rsid w:val="002A5BF0"/>
    <w:rsid w:val="002A60FD"/>
    <w:rsid w:val="002A6218"/>
    <w:rsid w:val="002A6D66"/>
    <w:rsid w:val="002A784C"/>
    <w:rsid w:val="002B016D"/>
    <w:rsid w:val="002B019B"/>
    <w:rsid w:val="002B0EAC"/>
    <w:rsid w:val="002B1072"/>
    <w:rsid w:val="002B1D1F"/>
    <w:rsid w:val="002B350C"/>
    <w:rsid w:val="002B3651"/>
    <w:rsid w:val="002B3F79"/>
    <w:rsid w:val="002B4E9E"/>
    <w:rsid w:val="002B55B3"/>
    <w:rsid w:val="002B637C"/>
    <w:rsid w:val="002B75A1"/>
    <w:rsid w:val="002C022A"/>
    <w:rsid w:val="002C07D1"/>
    <w:rsid w:val="002C09C5"/>
    <w:rsid w:val="002C1359"/>
    <w:rsid w:val="002C1B02"/>
    <w:rsid w:val="002C209C"/>
    <w:rsid w:val="002C2903"/>
    <w:rsid w:val="002C3A60"/>
    <w:rsid w:val="002C49DD"/>
    <w:rsid w:val="002C4CB7"/>
    <w:rsid w:val="002C6077"/>
    <w:rsid w:val="002C64B0"/>
    <w:rsid w:val="002C761B"/>
    <w:rsid w:val="002C7EB2"/>
    <w:rsid w:val="002D02D9"/>
    <w:rsid w:val="002D0350"/>
    <w:rsid w:val="002D107C"/>
    <w:rsid w:val="002D1295"/>
    <w:rsid w:val="002D12CF"/>
    <w:rsid w:val="002D3333"/>
    <w:rsid w:val="002D4220"/>
    <w:rsid w:val="002D43A1"/>
    <w:rsid w:val="002D4AB4"/>
    <w:rsid w:val="002D4C5F"/>
    <w:rsid w:val="002D5D42"/>
    <w:rsid w:val="002D5E1B"/>
    <w:rsid w:val="002D671E"/>
    <w:rsid w:val="002E0AE0"/>
    <w:rsid w:val="002E2C2B"/>
    <w:rsid w:val="002E2C5F"/>
    <w:rsid w:val="002E4E2B"/>
    <w:rsid w:val="002E4EE6"/>
    <w:rsid w:val="002E6E1C"/>
    <w:rsid w:val="002E72D4"/>
    <w:rsid w:val="002E7636"/>
    <w:rsid w:val="002E76E9"/>
    <w:rsid w:val="002E7EDA"/>
    <w:rsid w:val="002E7FF9"/>
    <w:rsid w:val="002F144B"/>
    <w:rsid w:val="002F2E77"/>
    <w:rsid w:val="002F40EA"/>
    <w:rsid w:val="002F4288"/>
    <w:rsid w:val="002F47D1"/>
    <w:rsid w:val="002F50FD"/>
    <w:rsid w:val="002F607B"/>
    <w:rsid w:val="002F62F9"/>
    <w:rsid w:val="002F6CBE"/>
    <w:rsid w:val="00300094"/>
    <w:rsid w:val="00301788"/>
    <w:rsid w:val="00302513"/>
    <w:rsid w:val="003025CC"/>
    <w:rsid w:val="00302C05"/>
    <w:rsid w:val="0030349D"/>
    <w:rsid w:val="003046B2"/>
    <w:rsid w:val="00305853"/>
    <w:rsid w:val="00305856"/>
    <w:rsid w:val="00306369"/>
    <w:rsid w:val="00306ABD"/>
    <w:rsid w:val="00306E66"/>
    <w:rsid w:val="003075FE"/>
    <w:rsid w:val="0031038D"/>
    <w:rsid w:val="00310663"/>
    <w:rsid w:val="00310EBB"/>
    <w:rsid w:val="00311594"/>
    <w:rsid w:val="003117B5"/>
    <w:rsid w:val="00311EBB"/>
    <w:rsid w:val="00312276"/>
    <w:rsid w:val="00312296"/>
    <w:rsid w:val="0031251A"/>
    <w:rsid w:val="003127C7"/>
    <w:rsid w:val="003132C6"/>
    <w:rsid w:val="00313721"/>
    <w:rsid w:val="00313E2B"/>
    <w:rsid w:val="00314D3F"/>
    <w:rsid w:val="00314E0D"/>
    <w:rsid w:val="00317651"/>
    <w:rsid w:val="00321D4F"/>
    <w:rsid w:val="00321F96"/>
    <w:rsid w:val="0032267E"/>
    <w:rsid w:val="00322E48"/>
    <w:rsid w:val="00323227"/>
    <w:rsid w:val="0032341C"/>
    <w:rsid w:val="003248B5"/>
    <w:rsid w:val="00325CE5"/>
    <w:rsid w:val="00326BB4"/>
    <w:rsid w:val="00326D2D"/>
    <w:rsid w:val="00327CBE"/>
    <w:rsid w:val="00330706"/>
    <w:rsid w:val="00332BC8"/>
    <w:rsid w:val="003333F9"/>
    <w:rsid w:val="00334AF0"/>
    <w:rsid w:val="003350D3"/>
    <w:rsid w:val="003354C9"/>
    <w:rsid w:val="00335729"/>
    <w:rsid w:val="00335995"/>
    <w:rsid w:val="00336412"/>
    <w:rsid w:val="00336BE9"/>
    <w:rsid w:val="0034035F"/>
    <w:rsid w:val="00340AD5"/>
    <w:rsid w:val="00340C6E"/>
    <w:rsid w:val="00341372"/>
    <w:rsid w:val="00341465"/>
    <w:rsid w:val="00342380"/>
    <w:rsid w:val="00342983"/>
    <w:rsid w:val="00342B55"/>
    <w:rsid w:val="0034384A"/>
    <w:rsid w:val="003438E4"/>
    <w:rsid w:val="003450B3"/>
    <w:rsid w:val="003453C1"/>
    <w:rsid w:val="00345843"/>
    <w:rsid w:val="003462C6"/>
    <w:rsid w:val="00346CFD"/>
    <w:rsid w:val="00347B63"/>
    <w:rsid w:val="00350696"/>
    <w:rsid w:val="003512C8"/>
    <w:rsid w:val="0035245B"/>
    <w:rsid w:val="00352E98"/>
    <w:rsid w:val="003532EF"/>
    <w:rsid w:val="00353730"/>
    <w:rsid w:val="003537F9"/>
    <w:rsid w:val="0035381D"/>
    <w:rsid w:val="00353A04"/>
    <w:rsid w:val="00354BE8"/>
    <w:rsid w:val="0035592B"/>
    <w:rsid w:val="0035608B"/>
    <w:rsid w:val="00356A2A"/>
    <w:rsid w:val="003571F5"/>
    <w:rsid w:val="00357769"/>
    <w:rsid w:val="003602C5"/>
    <w:rsid w:val="003605CD"/>
    <w:rsid w:val="00360651"/>
    <w:rsid w:val="00360D37"/>
    <w:rsid w:val="00360E9A"/>
    <w:rsid w:val="0036197C"/>
    <w:rsid w:val="00362980"/>
    <w:rsid w:val="003637F2"/>
    <w:rsid w:val="003646F2"/>
    <w:rsid w:val="00364E37"/>
    <w:rsid w:val="003652F3"/>
    <w:rsid w:val="0036766B"/>
    <w:rsid w:val="00367C91"/>
    <w:rsid w:val="003715AA"/>
    <w:rsid w:val="003716BA"/>
    <w:rsid w:val="00371B9F"/>
    <w:rsid w:val="00372A2F"/>
    <w:rsid w:val="00373B08"/>
    <w:rsid w:val="00374170"/>
    <w:rsid w:val="0037559B"/>
    <w:rsid w:val="00375792"/>
    <w:rsid w:val="00375822"/>
    <w:rsid w:val="00375F19"/>
    <w:rsid w:val="00377837"/>
    <w:rsid w:val="00377F2D"/>
    <w:rsid w:val="00380083"/>
    <w:rsid w:val="003801B3"/>
    <w:rsid w:val="003818A8"/>
    <w:rsid w:val="003834A1"/>
    <w:rsid w:val="00383D00"/>
    <w:rsid w:val="00384687"/>
    <w:rsid w:val="00384BD2"/>
    <w:rsid w:val="00384C07"/>
    <w:rsid w:val="0038553C"/>
    <w:rsid w:val="00385A81"/>
    <w:rsid w:val="00385DD0"/>
    <w:rsid w:val="00387956"/>
    <w:rsid w:val="00387B00"/>
    <w:rsid w:val="00391875"/>
    <w:rsid w:val="003927A1"/>
    <w:rsid w:val="00394673"/>
    <w:rsid w:val="00395B5B"/>
    <w:rsid w:val="00396902"/>
    <w:rsid w:val="00396A39"/>
    <w:rsid w:val="00396C63"/>
    <w:rsid w:val="00397821"/>
    <w:rsid w:val="00397E1D"/>
    <w:rsid w:val="00397FFD"/>
    <w:rsid w:val="003A18E6"/>
    <w:rsid w:val="003A312C"/>
    <w:rsid w:val="003A4168"/>
    <w:rsid w:val="003A520E"/>
    <w:rsid w:val="003A5B01"/>
    <w:rsid w:val="003A5B7C"/>
    <w:rsid w:val="003A5FE7"/>
    <w:rsid w:val="003A7081"/>
    <w:rsid w:val="003A7D2C"/>
    <w:rsid w:val="003B0106"/>
    <w:rsid w:val="003B012C"/>
    <w:rsid w:val="003B09A7"/>
    <w:rsid w:val="003B0FAD"/>
    <w:rsid w:val="003B15EC"/>
    <w:rsid w:val="003B1981"/>
    <w:rsid w:val="003B1F38"/>
    <w:rsid w:val="003B2210"/>
    <w:rsid w:val="003B2A2C"/>
    <w:rsid w:val="003B344B"/>
    <w:rsid w:val="003B4957"/>
    <w:rsid w:val="003B49EF"/>
    <w:rsid w:val="003B4E38"/>
    <w:rsid w:val="003B6E90"/>
    <w:rsid w:val="003C1ED5"/>
    <w:rsid w:val="003C2000"/>
    <w:rsid w:val="003C2E44"/>
    <w:rsid w:val="003C3AC2"/>
    <w:rsid w:val="003C4282"/>
    <w:rsid w:val="003C586B"/>
    <w:rsid w:val="003C5BA3"/>
    <w:rsid w:val="003C60A1"/>
    <w:rsid w:val="003C641A"/>
    <w:rsid w:val="003C6569"/>
    <w:rsid w:val="003C7035"/>
    <w:rsid w:val="003C7C66"/>
    <w:rsid w:val="003D00DD"/>
    <w:rsid w:val="003D0DC5"/>
    <w:rsid w:val="003D1ADD"/>
    <w:rsid w:val="003D26C0"/>
    <w:rsid w:val="003D372F"/>
    <w:rsid w:val="003D3824"/>
    <w:rsid w:val="003D3C15"/>
    <w:rsid w:val="003D3FF3"/>
    <w:rsid w:val="003D4B5C"/>
    <w:rsid w:val="003D5F4B"/>
    <w:rsid w:val="003D7647"/>
    <w:rsid w:val="003D78E8"/>
    <w:rsid w:val="003E1303"/>
    <w:rsid w:val="003E194B"/>
    <w:rsid w:val="003E1B00"/>
    <w:rsid w:val="003E1B36"/>
    <w:rsid w:val="003E3796"/>
    <w:rsid w:val="003E50A3"/>
    <w:rsid w:val="003E56C8"/>
    <w:rsid w:val="003E6008"/>
    <w:rsid w:val="003E7146"/>
    <w:rsid w:val="003E7F70"/>
    <w:rsid w:val="003E7FA2"/>
    <w:rsid w:val="003F2CAF"/>
    <w:rsid w:val="003F3968"/>
    <w:rsid w:val="003F44E8"/>
    <w:rsid w:val="003F454C"/>
    <w:rsid w:val="003F5CC3"/>
    <w:rsid w:val="003F6C4F"/>
    <w:rsid w:val="003F7297"/>
    <w:rsid w:val="003F73B4"/>
    <w:rsid w:val="003F73E3"/>
    <w:rsid w:val="003F7FDD"/>
    <w:rsid w:val="0040026F"/>
    <w:rsid w:val="004004A4"/>
    <w:rsid w:val="00400AB4"/>
    <w:rsid w:val="004016AC"/>
    <w:rsid w:val="004018B7"/>
    <w:rsid w:val="00401E2F"/>
    <w:rsid w:val="00402C2D"/>
    <w:rsid w:val="0040316B"/>
    <w:rsid w:val="004032BC"/>
    <w:rsid w:val="00403E60"/>
    <w:rsid w:val="00404A2D"/>
    <w:rsid w:val="00404F17"/>
    <w:rsid w:val="004056A3"/>
    <w:rsid w:val="00406CC8"/>
    <w:rsid w:val="004076AE"/>
    <w:rsid w:val="00407A09"/>
    <w:rsid w:val="0041184B"/>
    <w:rsid w:val="00412988"/>
    <w:rsid w:val="0041561E"/>
    <w:rsid w:val="00415B3C"/>
    <w:rsid w:val="00415C44"/>
    <w:rsid w:val="00416536"/>
    <w:rsid w:val="0041765D"/>
    <w:rsid w:val="004176F0"/>
    <w:rsid w:val="004203AF"/>
    <w:rsid w:val="00420E21"/>
    <w:rsid w:val="004225B4"/>
    <w:rsid w:val="00422BD0"/>
    <w:rsid w:val="00422BEB"/>
    <w:rsid w:val="004236CB"/>
    <w:rsid w:val="00423A29"/>
    <w:rsid w:val="004246D8"/>
    <w:rsid w:val="00425711"/>
    <w:rsid w:val="0042644C"/>
    <w:rsid w:val="00426537"/>
    <w:rsid w:val="00426C2B"/>
    <w:rsid w:val="00430F9E"/>
    <w:rsid w:val="00433192"/>
    <w:rsid w:val="00434971"/>
    <w:rsid w:val="00436898"/>
    <w:rsid w:val="00436E7B"/>
    <w:rsid w:val="0043717B"/>
    <w:rsid w:val="0043762E"/>
    <w:rsid w:val="00437E3E"/>
    <w:rsid w:val="00440950"/>
    <w:rsid w:val="004417C6"/>
    <w:rsid w:val="004418E7"/>
    <w:rsid w:val="00442C2F"/>
    <w:rsid w:val="0044346F"/>
    <w:rsid w:val="0044490D"/>
    <w:rsid w:val="004452E7"/>
    <w:rsid w:val="004460A8"/>
    <w:rsid w:val="004462E3"/>
    <w:rsid w:val="00447B11"/>
    <w:rsid w:val="00451D2B"/>
    <w:rsid w:val="00451E5E"/>
    <w:rsid w:val="004526A8"/>
    <w:rsid w:val="0045323D"/>
    <w:rsid w:val="00453703"/>
    <w:rsid w:val="00454408"/>
    <w:rsid w:val="004548BD"/>
    <w:rsid w:val="00455F3F"/>
    <w:rsid w:val="004564DC"/>
    <w:rsid w:val="00456A2E"/>
    <w:rsid w:val="00456CD1"/>
    <w:rsid w:val="00457B94"/>
    <w:rsid w:val="00457F16"/>
    <w:rsid w:val="004610EC"/>
    <w:rsid w:val="00462415"/>
    <w:rsid w:val="00464451"/>
    <w:rsid w:val="00464795"/>
    <w:rsid w:val="004711F1"/>
    <w:rsid w:val="004712B6"/>
    <w:rsid w:val="004725D4"/>
    <w:rsid w:val="0047292E"/>
    <w:rsid w:val="00474152"/>
    <w:rsid w:val="00475170"/>
    <w:rsid w:val="0047607C"/>
    <w:rsid w:val="004767B7"/>
    <w:rsid w:val="00476CB0"/>
    <w:rsid w:val="00480448"/>
    <w:rsid w:val="0048244A"/>
    <w:rsid w:val="00484074"/>
    <w:rsid w:val="004860F2"/>
    <w:rsid w:val="00486AF9"/>
    <w:rsid w:val="00487D9F"/>
    <w:rsid w:val="00487EDB"/>
    <w:rsid w:val="0049195D"/>
    <w:rsid w:val="00492DF9"/>
    <w:rsid w:val="004938AC"/>
    <w:rsid w:val="00494AF3"/>
    <w:rsid w:val="00494FF5"/>
    <w:rsid w:val="0049559D"/>
    <w:rsid w:val="004961CA"/>
    <w:rsid w:val="0049645A"/>
    <w:rsid w:val="0049657F"/>
    <w:rsid w:val="0049695A"/>
    <w:rsid w:val="004969BE"/>
    <w:rsid w:val="00497244"/>
    <w:rsid w:val="004A100E"/>
    <w:rsid w:val="004A140A"/>
    <w:rsid w:val="004A1635"/>
    <w:rsid w:val="004A220D"/>
    <w:rsid w:val="004A25AF"/>
    <w:rsid w:val="004A263A"/>
    <w:rsid w:val="004A27C1"/>
    <w:rsid w:val="004A2E6A"/>
    <w:rsid w:val="004A33C8"/>
    <w:rsid w:val="004A3745"/>
    <w:rsid w:val="004A40DE"/>
    <w:rsid w:val="004A68D2"/>
    <w:rsid w:val="004B0244"/>
    <w:rsid w:val="004B18D2"/>
    <w:rsid w:val="004B2A2E"/>
    <w:rsid w:val="004B347D"/>
    <w:rsid w:val="004B4E0E"/>
    <w:rsid w:val="004B53DE"/>
    <w:rsid w:val="004B5F7A"/>
    <w:rsid w:val="004B62B7"/>
    <w:rsid w:val="004C001B"/>
    <w:rsid w:val="004C037F"/>
    <w:rsid w:val="004C099D"/>
    <w:rsid w:val="004C09C0"/>
    <w:rsid w:val="004C12F9"/>
    <w:rsid w:val="004C2F9D"/>
    <w:rsid w:val="004C32E2"/>
    <w:rsid w:val="004C35C0"/>
    <w:rsid w:val="004C569E"/>
    <w:rsid w:val="004C5759"/>
    <w:rsid w:val="004C5CD4"/>
    <w:rsid w:val="004C6B45"/>
    <w:rsid w:val="004C7798"/>
    <w:rsid w:val="004C7CE5"/>
    <w:rsid w:val="004D016B"/>
    <w:rsid w:val="004D022B"/>
    <w:rsid w:val="004D05A5"/>
    <w:rsid w:val="004D2560"/>
    <w:rsid w:val="004D3BB1"/>
    <w:rsid w:val="004D3DAF"/>
    <w:rsid w:val="004D45E3"/>
    <w:rsid w:val="004D5B05"/>
    <w:rsid w:val="004D7781"/>
    <w:rsid w:val="004D7962"/>
    <w:rsid w:val="004D7D26"/>
    <w:rsid w:val="004E06F3"/>
    <w:rsid w:val="004E08DA"/>
    <w:rsid w:val="004E0E78"/>
    <w:rsid w:val="004E13C0"/>
    <w:rsid w:val="004E2A67"/>
    <w:rsid w:val="004E2D96"/>
    <w:rsid w:val="004E3800"/>
    <w:rsid w:val="004E385F"/>
    <w:rsid w:val="004E3C8E"/>
    <w:rsid w:val="004E4C82"/>
    <w:rsid w:val="004E58A1"/>
    <w:rsid w:val="004E75C5"/>
    <w:rsid w:val="004E78EF"/>
    <w:rsid w:val="004E7A84"/>
    <w:rsid w:val="004E7E19"/>
    <w:rsid w:val="004E7F9C"/>
    <w:rsid w:val="004F03F5"/>
    <w:rsid w:val="004F08DD"/>
    <w:rsid w:val="004F0950"/>
    <w:rsid w:val="004F0B0A"/>
    <w:rsid w:val="004F0E61"/>
    <w:rsid w:val="004F1792"/>
    <w:rsid w:val="004F223D"/>
    <w:rsid w:val="004F334C"/>
    <w:rsid w:val="004F4A8D"/>
    <w:rsid w:val="004F551A"/>
    <w:rsid w:val="004F6AED"/>
    <w:rsid w:val="005002C8"/>
    <w:rsid w:val="0050045F"/>
    <w:rsid w:val="00500A11"/>
    <w:rsid w:val="00500E90"/>
    <w:rsid w:val="00502071"/>
    <w:rsid w:val="00502133"/>
    <w:rsid w:val="0050243A"/>
    <w:rsid w:val="00503C46"/>
    <w:rsid w:val="00503E0C"/>
    <w:rsid w:val="005041E0"/>
    <w:rsid w:val="00504719"/>
    <w:rsid w:val="0050546A"/>
    <w:rsid w:val="005055AD"/>
    <w:rsid w:val="00505905"/>
    <w:rsid w:val="00505F78"/>
    <w:rsid w:val="00506AE5"/>
    <w:rsid w:val="005103CC"/>
    <w:rsid w:val="005108DC"/>
    <w:rsid w:val="00510E22"/>
    <w:rsid w:val="00511A1D"/>
    <w:rsid w:val="005132C3"/>
    <w:rsid w:val="00515BFB"/>
    <w:rsid w:val="0051630E"/>
    <w:rsid w:val="005169E7"/>
    <w:rsid w:val="00516E7F"/>
    <w:rsid w:val="00517149"/>
    <w:rsid w:val="005172A7"/>
    <w:rsid w:val="00517EC7"/>
    <w:rsid w:val="00520E4B"/>
    <w:rsid w:val="00521514"/>
    <w:rsid w:val="0052181C"/>
    <w:rsid w:val="00521B2F"/>
    <w:rsid w:val="00522E38"/>
    <w:rsid w:val="0052351D"/>
    <w:rsid w:val="00524536"/>
    <w:rsid w:val="00524E03"/>
    <w:rsid w:val="00524F1D"/>
    <w:rsid w:val="005265AB"/>
    <w:rsid w:val="005265D7"/>
    <w:rsid w:val="00527301"/>
    <w:rsid w:val="00527FE3"/>
    <w:rsid w:val="005302F9"/>
    <w:rsid w:val="00530BC6"/>
    <w:rsid w:val="005311A2"/>
    <w:rsid w:val="0053204B"/>
    <w:rsid w:val="00532B65"/>
    <w:rsid w:val="00532C64"/>
    <w:rsid w:val="0053441C"/>
    <w:rsid w:val="00535698"/>
    <w:rsid w:val="005359A6"/>
    <w:rsid w:val="00535AE4"/>
    <w:rsid w:val="00535F56"/>
    <w:rsid w:val="00536878"/>
    <w:rsid w:val="005415DB"/>
    <w:rsid w:val="0054189D"/>
    <w:rsid w:val="005429E7"/>
    <w:rsid w:val="00543317"/>
    <w:rsid w:val="00543C47"/>
    <w:rsid w:val="005448D0"/>
    <w:rsid w:val="00545973"/>
    <w:rsid w:val="00546160"/>
    <w:rsid w:val="005463F7"/>
    <w:rsid w:val="0054663B"/>
    <w:rsid w:val="005516CD"/>
    <w:rsid w:val="0055198A"/>
    <w:rsid w:val="00551C13"/>
    <w:rsid w:val="0055208A"/>
    <w:rsid w:val="00552706"/>
    <w:rsid w:val="00553F02"/>
    <w:rsid w:val="00553FA2"/>
    <w:rsid w:val="005569B3"/>
    <w:rsid w:val="00556EED"/>
    <w:rsid w:val="005576FC"/>
    <w:rsid w:val="00561DED"/>
    <w:rsid w:val="00563175"/>
    <w:rsid w:val="005635A4"/>
    <w:rsid w:val="00563DD9"/>
    <w:rsid w:val="00564BE2"/>
    <w:rsid w:val="00565233"/>
    <w:rsid w:val="00567934"/>
    <w:rsid w:val="00567EBA"/>
    <w:rsid w:val="005704A6"/>
    <w:rsid w:val="0057109F"/>
    <w:rsid w:val="005717D6"/>
    <w:rsid w:val="0057191F"/>
    <w:rsid w:val="005728C4"/>
    <w:rsid w:val="00572B7D"/>
    <w:rsid w:val="00572F10"/>
    <w:rsid w:val="00573B3C"/>
    <w:rsid w:val="00574D5D"/>
    <w:rsid w:val="005753A1"/>
    <w:rsid w:val="00577AA3"/>
    <w:rsid w:val="00577BAA"/>
    <w:rsid w:val="00577D61"/>
    <w:rsid w:val="00577E9F"/>
    <w:rsid w:val="00580205"/>
    <w:rsid w:val="00580EBA"/>
    <w:rsid w:val="005819D2"/>
    <w:rsid w:val="00582838"/>
    <w:rsid w:val="00582E1A"/>
    <w:rsid w:val="005830C4"/>
    <w:rsid w:val="005831F0"/>
    <w:rsid w:val="00583DC8"/>
    <w:rsid w:val="0058400F"/>
    <w:rsid w:val="0058423A"/>
    <w:rsid w:val="00584972"/>
    <w:rsid w:val="005853D7"/>
    <w:rsid w:val="005863CD"/>
    <w:rsid w:val="005864C3"/>
    <w:rsid w:val="0058710C"/>
    <w:rsid w:val="0058717A"/>
    <w:rsid w:val="005901F5"/>
    <w:rsid w:val="00590317"/>
    <w:rsid w:val="00590609"/>
    <w:rsid w:val="00590B8B"/>
    <w:rsid w:val="005925D7"/>
    <w:rsid w:val="00592DAD"/>
    <w:rsid w:val="00593056"/>
    <w:rsid w:val="005930CF"/>
    <w:rsid w:val="00593E16"/>
    <w:rsid w:val="00593F73"/>
    <w:rsid w:val="00594A14"/>
    <w:rsid w:val="0059573F"/>
    <w:rsid w:val="00595CAD"/>
    <w:rsid w:val="00596326"/>
    <w:rsid w:val="00596DAA"/>
    <w:rsid w:val="005A042A"/>
    <w:rsid w:val="005A0B28"/>
    <w:rsid w:val="005A10D5"/>
    <w:rsid w:val="005A174B"/>
    <w:rsid w:val="005A1974"/>
    <w:rsid w:val="005A1E8D"/>
    <w:rsid w:val="005A21B9"/>
    <w:rsid w:val="005A28BC"/>
    <w:rsid w:val="005A3170"/>
    <w:rsid w:val="005A3700"/>
    <w:rsid w:val="005A562F"/>
    <w:rsid w:val="005A63F2"/>
    <w:rsid w:val="005A67FC"/>
    <w:rsid w:val="005A7E15"/>
    <w:rsid w:val="005B0548"/>
    <w:rsid w:val="005B0920"/>
    <w:rsid w:val="005B0981"/>
    <w:rsid w:val="005B1434"/>
    <w:rsid w:val="005B214F"/>
    <w:rsid w:val="005B2DB4"/>
    <w:rsid w:val="005B38E8"/>
    <w:rsid w:val="005B3B32"/>
    <w:rsid w:val="005B42C3"/>
    <w:rsid w:val="005B45C7"/>
    <w:rsid w:val="005B4D20"/>
    <w:rsid w:val="005B7ECB"/>
    <w:rsid w:val="005C17EC"/>
    <w:rsid w:val="005C2D83"/>
    <w:rsid w:val="005C39EE"/>
    <w:rsid w:val="005C3DDD"/>
    <w:rsid w:val="005C3EAA"/>
    <w:rsid w:val="005C4090"/>
    <w:rsid w:val="005C49D2"/>
    <w:rsid w:val="005C6258"/>
    <w:rsid w:val="005C6993"/>
    <w:rsid w:val="005C7F94"/>
    <w:rsid w:val="005D01D2"/>
    <w:rsid w:val="005D2E7B"/>
    <w:rsid w:val="005D2F06"/>
    <w:rsid w:val="005D4519"/>
    <w:rsid w:val="005D4733"/>
    <w:rsid w:val="005D4AE8"/>
    <w:rsid w:val="005D4C3B"/>
    <w:rsid w:val="005E0B44"/>
    <w:rsid w:val="005E10E2"/>
    <w:rsid w:val="005E1EE6"/>
    <w:rsid w:val="005E2FDF"/>
    <w:rsid w:val="005E32EC"/>
    <w:rsid w:val="005E476D"/>
    <w:rsid w:val="005E48D8"/>
    <w:rsid w:val="005E4CFE"/>
    <w:rsid w:val="005E5750"/>
    <w:rsid w:val="005E707B"/>
    <w:rsid w:val="005E7090"/>
    <w:rsid w:val="005E7402"/>
    <w:rsid w:val="005F00D9"/>
    <w:rsid w:val="005F0942"/>
    <w:rsid w:val="005F6E72"/>
    <w:rsid w:val="005F6E93"/>
    <w:rsid w:val="005F6EF9"/>
    <w:rsid w:val="005F70B9"/>
    <w:rsid w:val="005F765D"/>
    <w:rsid w:val="00600DAA"/>
    <w:rsid w:val="00601279"/>
    <w:rsid w:val="00601CAE"/>
    <w:rsid w:val="0060239A"/>
    <w:rsid w:val="006025B0"/>
    <w:rsid w:val="0060266E"/>
    <w:rsid w:val="006045BB"/>
    <w:rsid w:val="006046DA"/>
    <w:rsid w:val="00604D9D"/>
    <w:rsid w:val="00605FD3"/>
    <w:rsid w:val="0060617D"/>
    <w:rsid w:val="0060739C"/>
    <w:rsid w:val="0060762E"/>
    <w:rsid w:val="006076A1"/>
    <w:rsid w:val="0060776E"/>
    <w:rsid w:val="006101F5"/>
    <w:rsid w:val="00610781"/>
    <w:rsid w:val="00610C88"/>
    <w:rsid w:val="006111D0"/>
    <w:rsid w:val="00612E18"/>
    <w:rsid w:val="006138BF"/>
    <w:rsid w:val="006144DC"/>
    <w:rsid w:val="00615077"/>
    <w:rsid w:val="0061732E"/>
    <w:rsid w:val="00617984"/>
    <w:rsid w:val="0062122A"/>
    <w:rsid w:val="006218D0"/>
    <w:rsid w:val="0062226E"/>
    <w:rsid w:val="00622B4D"/>
    <w:rsid w:val="00622E80"/>
    <w:rsid w:val="006230C8"/>
    <w:rsid w:val="00624A05"/>
    <w:rsid w:val="00624D9A"/>
    <w:rsid w:val="00624FC2"/>
    <w:rsid w:val="006271EF"/>
    <w:rsid w:val="0062775D"/>
    <w:rsid w:val="00627EA1"/>
    <w:rsid w:val="006306F3"/>
    <w:rsid w:val="00630924"/>
    <w:rsid w:val="00633C2B"/>
    <w:rsid w:val="00634D32"/>
    <w:rsid w:val="00636994"/>
    <w:rsid w:val="00637144"/>
    <w:rsid w:val="006402BD"/>
    <w:rsid w:val="0064076C"/>
    <w:rsid w:val="0064081D"/>
    <w:rsid w:val="00640A62"/>
    <w:rsid w:val="00640EA2"/>
    <w:rsid w:val="006414F2"/>
    <w:rsid w:val="00641B30"/>
    <w:rsid w:val="00642005"/>
    <w:rsid w:val="0064384A"/>
    <w:rsid w:val="00643B1D"/>
    <w:rsid w:val="006441A3"/>
    <w:rsid w:val="0064451C"/>
    <w:rsid w:val="00644528"/>
    <w:rsid w:val="00644EA0"/>
    <w:rsid w:val="0064544B"/>
    <w:rsid w:val="00646F29"/>
    <w:rsid w:val="00652EDB"/>
    <w:rsid w:val="00653E94"/>
    <w:rsid w:val="0065412F"/>
    <w:rsid w:val="006557A8"/>
    <w:rsid w:val="006561B3"/>
    <w:rsid w:val="00656A6A"/>
    <w:rsid w:val="006578E4"/>
    <w:rsid w:val="00657A6F"/>
    <w:rsid w:val="00657CB6"/>
    <w:rsid w:val="006603B0"/>
    <w:rsid w:val="00661914"/>
    <w:rsid w:val="00661F56"/>
    <w:rsid w:val="00662319"/>
    <w:rsid w:val="0066265C"/>
    <w:rsid w:val="006633F9"/>
    <w:rsid w:val="006643E2"/>
    <w:rsid w:val="006651A6"/>
    <w:rsid w:val="006651A7"/>
    <w:rsid w:val="006662E8"/>
    <w:rsid w:val="006671D1"/>
    <w:rsid w:val="00667211"/>
    <w:rsid w:val="00667305"/>
    <w:rsid w:val="00667C13"/>
    <w:rsid w:val="00670E92"/>
    <w:rsid w:val="00671A26"/>
    <w:rsid w:val="00671AD9"/>
    <w:rsid w:val="006727D6"/>
    <w:rsid w:val="0067369B"/>
    <w:rsid w:val="00673E39"/>
    <w:rsid w:val="00673E63"/>
    <w:rsid w:val="00675CD5"/>
    <w:rsid w:val="00675D29"/>
    <w:rsid w:val="00676136"/>
    <w:rsid w:val="006761E9"/>
    <w:rsid w:val="00676F9D"/>
    <w:rsid w:val="00680143"/>
    <w:rsid w:val="00680C44"/>
    <w:rsid w:val="00680CE6"/>
    <w:rsid w:val="006812D6"/>
    <w:rsid w:val="00682290"/>
    <w:rsid w:val="00683E0A"/>
    <w:rsid w:val="006849E9"/>
    <w:rsid w:val="00685691"/>
    <w:rsid w:val="00685F47"/>
    <w:rsid w:val="0068674E"/>
    <w:rsid w:val="00686A55"/>
    <w:rsid w:val="0068769C"/>
    <w:rsid w:val="00690AD0"/>
    <w:rsid w:val="006910FF"/>
    <w:rsid w:val="006914B2"/>
    <w:rsid w:val="0069219E"/>
    <w:rsid w:val="00692A9D"/>
    <w:rsid w:val="00693B4D"/>
    <w:rsid w:val="00693B6B"/>
    <w:rsid w:val="00693F02"/>
    <w:rsid w:val="00697094"/>
    <w:rsid w:val="006A11BF"/>
    <w:rsid w:val="006A1654"/>
    <w:rsid w:val="006A19B7"/>
    <w:rsid w:val="006A2A0C"/>
    <w:rsid w:val="006A2C98"/>
    <w:rsid w:val="006A2D94"/>
    <w:rsid w:val="006A30BE"/>
    <w:rsid w:val="006A3DA8"/>
    <w:rsid w:val="006A4376"/>
    <w:rsid w:val="006A467E"/>
    <w:rsid w:val="006A499A"/>
    <w:rsid w:val="006A5284"/>
    <w:rsid w:val="006A5A3B"/>
    <w:rsid w:val="006A5ADE"/>
    <w:rsid w:val="006A5AE5"/>
    <w:rsid w:val="006A6363"/>
    <w:rsid w:val="006B014E"/>
    <w:rsid w:val="006B054D"/>
    <w:rsid w:val="006B0CD7"/>
    <w:rsid w:val="006B1B3B"/>
    <w:rsid w:val="006B1FB9"/>
    <w:rsid w:val="006B27F4"/>
    <w:rsid w:val="006B2B2A"/>
    <w:rsid w:val="006B4E40"/>
    <w:rsid w:val="006B53A2"/>
    <w:rsid w:val="006B5A5E"/>
    <w:rsid w:val="006B6077"/>
    <w:rsid w:val="006B6431"/>
    <w:rsid w:val="006B6B5F"/>
    <w:rsid w:val="006B7BED"/>
    <w:rsid w:val="006C1129"/>
    <w:rsid w:val="006C4318"/>
    <w:rsid w:val="006C48A1"/>
    <w:rsid w:val="006C4EF3"/>
    <w:rsid w:val="006C5605"/>
    <w:rsid w:val="006C5A4E"/>
    <w:rsid w:val="006C5B68"/>
    <w:rsid w:val="006C5D68"/>
    <w:rsid w:val="006C66B5"/>
    <w:rsid w:val="006C67B7"/>
    <w:rsid w:val="006C6B76"/>
    <w:rsid w:val="006C7267"/>
    <w:rsid w:val="006C7CD0"/>
    <w:rsid w:val="006D047D"/>
    <w:rsid w:val="006D057F"/>
    <w:rsid w:val="006D0BFA"/>
    <w:rsid w:val="006D1668"/>
    <w:rsid w:val="006D3404"/>
    <w:rsid w:val="006D370D"/>
    <w:rsid w:val="006D377A"/>
    <w:rsid w:val="006D39E3"/>
    <w:rsid w:val="006D51D6"/>
    <w:rsid w:val="006D5A02"/>
    <w:rsid w:val="006D5E43"/>
    <w:rsid w:val="006D6A9D"/>
    <w:rsid w:val="006D70DB"/>
    <w:rsid w:val="006D74ED"/>
    <w:rsid w:val="006E0570"/>
    <w:rsid w:val="006E0D5C"/>
    <w:rsid w:val="006E0F61"/>
    <w:rsid w:val="006E1B63"/>
    <w:rsid w:val="006E288E"/>
    <w:rsid w:val="006E3ED2"/>
    <w:rsid w:val="006E40DD"/>
    <w:rsid w:val="006E637F"/>
    <w:rsid w:val="006E76E4"/>
    <w:rsid w:val="006E77C9"/>
    <w:rsid w:val="006E78DA"/>
    <w:rsid w:val="006F1F11"/>
    <w:rsid w:val="006F31CE"/>
    <w:rsid w:val="006F31D1"/>
    <w:rsid w:val="006F3299"/>
    <w:rsid w:val="006F37D5"/>
    <w:rsid w:val="006F3D45"/>
    <w:rsid w:val="006F42D3"/>
    <w:rsid w:val="006F4D26"/>
    <w:rsid w:val="006F5817"/>
    <w:rsid w:val="006F5AA6"/>
    <w:rsid w:val="006F5E44"/>
    <w:rsid w:val="006F5ECE"/>
    <w:rsid w:val="006F6BD2"/>
    <w:rsid w:val="00700E4A"/>
    <w:rsid w:val="0070118F"/>
    <w:rsid w:val="0070151F"/>
    <w:rsid w:val="00701883"/>
    <w:rsid w:val="007021A4"/>
    <w:rsid w:val="007043EA"/>
    <w:rsid w:val="007047F6"/>
    <w:rsid w:val="007051DA"/>
    <w:rsid w:val="007052BD"/>
    <w:rsid w:val="00706A10"/>
    <w:rsid w:val="007079FB"/>
    <w:rsid w:val="00707E2D"/>
    <w:rsid w:val="00711F42"/>
    <w:rsid w:val="0071204F"/>
    <w:rsid w:val="0071229F"/>
    <w:rsid w:val="007146F2"/>
    <w:rsid w:val="00715622"/>
    <w:rsid w:val="00716209"/>
    <w:rsid w:val="00716A89"/>
    <w:rsid w:val="00716D6B"/>
    <w:rsid w:val="00716FA7"/>
    <w:rsid w:val="00717A44"/>
    <w:rsid w:val="007205B5"/>
    <w:rsid w:val="007207F7"/>
    <w:rsid w:val="00721BE6"/>
    <w:rsid w:val="00722527"/>
    <w:rsid w:val="00722677"/>
    <w:rsid w:val="00722CCA"/>
    <w:rsid w:val="007230C6"/>
    <w:rsid w:val="00723E83"/>
    <w:rsid w:val="007242C2"/>
    <w:rsid w:val="00724ECF"/>
    <w:rsid w:val="007253ED"/>
    <w:rsid w:val="00727788"/>
    <w:rsid w:val="00730F08"/>
    <w:rsid w:val="00731FD5"/>
    <w:rsid w:val="007320AC"/>
    <w:rsid w:val="00732517"/>
    <w:rsid w:val="00732A99"/>
    <w:rsid w:val="00732FCC"/>
    <w:rsid w:val="00734C48"/>
    <w:rsid w:val="007354B7"/>
    <w:rsid w:val="0073580B"/>
    <w:rsid w:val="00735CD4"/>
    <w:rsid w:val="00736054"/>
    <w:rsid w:val="00736206"/>
    <w:rsid w:val="007372CA"/>
    <w:rsid w:val="00737331"/>
    <w:rsid w:val="007404E7"/>
    <w:rsid w:val="00740CFD"/>
    <w:rsid w:val="00741197"/>
    <w:rsid w:val="007411B4"/>
    <w:rsid w:val="0074215C"/>
    <w:rsid w:val="007423FF"/>
    <w:rsid w:val="00742D28"/>
    <w:rsid w:val="00743576"/>
    <w:rsid w:val="00744387"/>
    <w:rsid w:val="00744657"/>
    <w:rsid w:val="0074469F"/>
    <w:rsid w:val="00746143"/>
    <w:rsid w:val="0074670C"/>
    <w:rsid w:val="007469F3"/>
    <w:rsid w:val="007471A6"/>
    <w:rsid w:val="007478F2"/>
    <w:rsid w:val="00747AD2"/>
    <w:rsid w:val="00750130"/>
    <w:rsid w:val="00750285"/>
    <w:rsid w:val="00751116"/>
    <w:rsid w:val="00751FAE"/>
    <w:rsid w:val="00755012"/>
    <w:rsid w:val="0075519F"/>
    <w:rsid w:val="00755D53"/>
    <w:rsid w:val="00755FFE"/>
    <w:rsid w:val="00756258"/>
    <w:rsid w:val="00757872"/>
    <w:rsid w:val="007605A5"/>
    <w:rsid w:val="00760841"/>
    <w:rsid w:val="00760997"/>
    <w:rsid w:val="00760CA8"/>
    <w:rsid w:val="0076160A"/>
    <w:rsid w:val="00761D6B"/>
    <w:rsid w:val="007626CA"/>
    <w:rsid w:val="007631AE"/>
    <w:rsid w:val="00764C25"/>
    <w:rsid w:val="00765EC6"/>
    <w:rsid w:val="00765F60"/>
    <w:rsid w:val="007660EC"/>
    <w:rsid w:val="007670B3"/>
    <w:rsid w:val="007670B5"/>
    <w:rsid w:val="0077128E"/>
    <w:rsid w:val="007720FC"/>
    <w:rsid w:val="00772C1A"/>
    <w:rsid w:val="00773AA0"/>
    <w:rsid w:val="007755DD"/>
    <w:rsid w:val="00775E16"/>
    <w:rsid w:val="00776299"/>
    <w:rsid w:val="0077784D"/>
    <w:rsid w:val="0078054B"/>
    <w:rsid w:val="00780E49"/>
    <w:rsid w:val="00781376"/>
    <w:rsid w:val="00781E3F"/>
    <w:rsid w:val="007846DC"/>
    <w:rsid w:val="0078571D"/>
    <w:rsid w:val="00785C57"/>
    <w:rsid w:val="007860FC"/>
    <w:rsid w:val="00786CF7"/>
    <w:rsid w:val="0078713B"/>
    <w:rsid w:val="007903D0"/>
    <w:rsid w:val="00790BB5"/>
    <w:rsid w:val="0079227F"/>
    <w:rsid w:val="00792604"/>
    <w:rsid w:val="00793EF8"/>
    <w:rsid w:val="00794B69"/>
    <w:rsid w:val="00795BF0"/>
    <w:rsid w:val="00795DD8"/>
    <w:rsid w:val="007964A8"/>
    <w:rsid w:val="00797B9C"/>
    <w:rsid w:val="00797BD4"/>
    <w:rsid w:val="00797EDD"/>
    <w:rsid w:val="007A0B4E"/>
    <w:rsid w:val="007A133B"/>
    <w:rsid w:val="007A137F"/>
    <w:rsid w:val="007A1B30"/>
    <w:rsid w:val="007A223C"/>
    <w:rsid w:val="007A2311"/>
    <w:rsid w:val="007A33CF"/>
    <w:rsid w:val="007A40D4"/>
    <w:rsid w:val="007A4721"/>
    <w:rsid w:val="007A4CC4"/>
    <w:rsid w:val="007A5067"/>
    <w:rsid w:val="007A520C"/>
    <w:rsid w:val="007A5EBD"/>
    <w:rsid w:val="007A61B6"/>
    <w:rsid w:val="007A65DA"/>
    <w:rsid w:val="007A68D0"/>
    <w:rsid w:val="007B02E4"/>
    <w:rsid w:val="007B146B"/>
    <w:rsid w:val="007B1FF9"/>
    <w:rsid w:val="007B2311"/>
    <w:rsid w:val="007B25D1"/>
    <w:rsid w:val="007B3CD3"/>
    <w:rsid w:val="007B437A"/>
    <w:rsid w:val="007B4473"/>
    <w:rsid w:val="007B473D"/>
    <w:rsid w:val="007B4B6E"/>
    <w:rsid w:val="007B50C5"/>
    <w:rsid w:val="007B5E06"/>
    <w:rsid w:val="007B6067"/>
    <w:rsid w:val="007B6224"/>
    <w:rsid w:val="007B6641"/>
    <w:rsid w:val="007B6957"/>
    <w:rsid w:val="007B6C15"/>
    <w:rsid w:val="007B6FF2"/>
    <w:rsid w:val="007C0E8F"/>
    <w:rsid w:val="007C0FFD"/>
    <w:rsid w:val="007C1776"/>
    <w:rsid w:val="007C19EB"/>
    <w:rsid w:val="007C2347"/>
    <w:rsid w:val="007C3A11"/>
    <w:rsid w:val="007C69B8"/>
    <w:rsid w:val="007C78BA"/>
    <w:rsid w:val="007D04AB"/>
    <w:rsid w:val="007D11F0"/>
    <w:rsid w:val="007D13E4"/>
    <w:rsid w:val="007D1BBD"/>
    <w:rsid w:val="007D2172"/>
    <w:rsid w:val="007D263D"/>
    <w:rsid w:val="007D31B7"/>
    <w:rsid w:val="007D35BF"/>
    <w:rsid w:val="007D3853"/>
    <w:rsid w:val="007D3F69"/>
    <w:rsid w:val="007D5602"/>
    <w:rsid w:val="007D6D12"/>
    <w:rsid w:val="007D6EF0"/>
    <w:rsid w:val="007D77FB"/>
    <w:rsid w:val="007D7BF5"/>
    <w:rsid w:val="007E0F97"/>
    <w:rsid w:val="007E2A3A"/>
    <w:rsid w:val="007E3913"/>
    <w:rsid w:val="007E55C5"/>
    <w:rsid w:val="007E6058"/>
    <w:rsid w:val="007E63E4"/>
    <w:rsid w:val="007E6E6D"/>
    <w:rsid w:val="007E7B18"/>
    <w:rsid w:val="007F0E03"/>
    <w:rsid w:val="007F1731"/>
    <w:rsid w:val="007F28B1"/>
    <w:rsid w:val="007F3F77"/>
    <w:rsid w:val="007F4A56"/>
    <w:rsid w:val="007F5A9A"/>
    <w:rsid w:val="007F6480"/>
    <w:rsid w:val="007F6F3A"/>
    <w:rsid w:val="007F70FF"/>
    <w:rsid w:val="007F7192"/>
    <w:rsid w:val="00800038"/>
    <w:rsid w:val="00800245"/>
    <w:rsid w:val="00800518"/>
    <w:rsid w:val="00802572"/>
    <w:rsid w:val="008045F1"/>
    <w:rsid w:val="00804C76"/>
    <w:rsid w:val="00804EBE"/>
    <w:rsid w:val="00805434"/>
    <w:rsid w:val="0080562C"/>
    <w:rsid w:val="00805687"/>
    <w:rsid w:val="0080611F"/>
    <w:rsid w:val="008069DD"/>
    <w:rsid w:val="00806A53"/>
    <w:rsid w:val="00806C70"/>
    <w:rsid w:val="0080700C"/>
    <w:rsid w:val="008101BE"/>
    <w:rsid w:val="008104C5"/>
    <w:rsid w:val="00810F63"/>
    <w:rsid w:val="008117D1"/>
    <w:rsid w:val="008127D5"/>
    <w:rsid w:val="00815EEF"/>
    <w:rsid w:val="0081618C"/>
    <w:rsid w:val="00817165"/>
    <w:rsid w:val="008174CA"/>
    <w:rsid w:val="0082181E"/>
    <w:rsid w:val="00821BFD"/>
    <w:rsid w:val="0082219C"/>
    <w:rsid w:val="008237D9"/>
    <w:rsid w:val="008244FA"/>
    <w:rsid w:val="00825FB9"/>
    <w:rsid w:val="0082645B"/>
    <w:rsid w:val="00826848"/>
    <w:rsid w:val="0083064E"/>
    <w:rsid w:val="00830955"/>
    <w:rsid w:val="00831AC7"/>
    <w:rsid w:val="00831B47"/>
    <w:rsid w:val="00831BB0"/>
    <w:rsid w:val="008333ED"/>
    <w:rsid w:val="00835C95"/>
    <w:rsid w:val="00837DC7"/>
    <w:rsid w:val="0084046C"/>
    <w:rsid w:val="00841961"/>
    <w:rsid w:val="00843C06"/>
    <w:rsid w:val="008462C2"/>
    <w:rsid w:val="00846B2E"/>
    <w:rsid w:val="00847B6A"/>
    <w:rsid w:val="00847F49"/>
    <w:rsid w:val="00850259"/>
    <w:rsid w:val="00850DC3"/>
    <w:rsid w:val="008518F3"/>
    <w:rsid w:val="00851FE4"/>
    <w:rsid w:val="00852073"/>
    <w:rsid w:val="008520B3"/>
    <w:rsid w:val="00853C6E"/>
    <w:rsid w:val="008552FB"/>
    <w:rsid w:val="0085772A"/>
    <w:rsid w:val="0086201D"/>
    <w:rsid w:val="008621D9"/>
    <w:rsid w:val="00862AE3"/>
    <w:rsid w:val="008642AF"/>
    <w:rsid w:val="00864BF8"/>
    <w:rsid w:val="0086641D"/>
    <w:rsid w:val="00867EF5"/>
    <w:rsid w:val="008700D4"/>
    <w:rsid w:val="00870CC2"/>
    <w:rsid w:val="00872292"/>
    <w:rsid w:val="008726C8"/>
    <w:rsid w:val="00872961"/>
    <w:rsid w:val="008736F3"/>
    <w:rsid w:val="00875A67"/>
    <w:rsid w:val="008765FA"/>
    <w:rsid w:val="008766F5"/>
    <w:rsid w:val="0087680B"/>
    <w:rsid w:val="00876E8F"/>
    <w:rsid w:val="00881451"/>
    <w:rsid w:val="008814F2"/>
    <w:rsid w:val="00881A4B"/>
    <w:rsid w:val="00881C66"/>
    <w:rsid w:val="00881F5A"/>
    <w:rsid w:val="00882368"/>
    <w:rsid w:val="00883549"/>
    <w:rsid w:val="00883DEC"/>
    <w:rsid w:val="008849B9"/>
    <w:rsid w:val="008907C1"/>
    <w:rsid w:val="00890B3A"/>
    <w:rsid w:val="00891E25"/>
    <w:rsid w:val="0089257D"/>
    <w:rsid w:val="00893BF5"/>
    <w:rsid w:val="00894A09"/>
    <w:rsid w:val="00894D10"/>
    <w:rsid w:val="008971DC"/>
    <w:rsid w:val="008A04EC"/>
    <w:rsid w:val="008A07B4"/>
    <w:rsid w:val="008A08D3"/>
    <w:rsid w:val="008A25C8"/>
    <w:rsid w:val="008A2845"/>
    <w:rsid w:val="008A28EF"/>
    <w:rsid w:val="008A2EAD"/>
    <w:rsid w:val="008A30EC"/>
    <w:rsid w:val="008A45D7"/>
    <w:rsid w:val="008A471B"/>
    <w:rsid w:val="008A4A96"/>
    <w:rsid w:val="008A757B"/>
    <w:rsid w:val="008A7C73"/>
    <w:rsid w:val="008B0013"/>
    <w:rsid w:val="008B1B83"/>
    <w:rsid w:val="008B21D5"/>
    <w:rsid w:val="008B2459"/>
    <w:rsid w:val="008B35C8"/>
    <w:rsid w:val="008B3777"/>
    <w:rsid w:val="008B3855"/>
    <w:rsid w:val="008B4F5F"/>
    <w:rsid w:val="008B5BD3"/>
    <w:rsid w:val="008B5C14"/>
    <w:rsid w:val="008B66F1"/>
    <w:rsid w:val="008B69E9"/>
    <w:rsid w:val="008B6D95"/>
    <w:rsid w:val="008B701E"/>
    <w:rsid w:val="008B785B"/>
    <w:rsid w:val="008B7BE0"/>
    <w:rsid w:val="008C01A6"/>
    <w:rsid w:val="008C0218"/>
    <w:rsid w:val="008C0850"/>
    <w:rsid w:val="008C0AA5"/>
    <w:rsid w:val="008C0C08"/>
    <w:rsid w:val="008C239C"/>
    <w:rsid w:val="008C270F"/>
    <w:rsid w:val="008C3093"/>
    <w:rsid w:val="008C3140"/>
    <w:rsid w:val="008C3D5B"/>
    <w:rsid w:val="008C4944"/>
    <w:rsid w:val="008C57FC"/>
    <w:rsid w:val="008C6287"/>
    <w:rsid w:val="008C668A"/>
    <w:rsid w:val="008C6CF8"/>
    <w:rsid w:val="008D35BF"/>
    <w:rsid w:val="008D4145"/>
    <w:rsid w:val="008D4551"/>
    <w:rsid w:val="008D5B10"/>
    <w:rsid w:val="008E1E9D"/>
    <w:rsid w:val="008E2058"/>
    <w:rsid w:val="008E2093"/>
    <w:rsid w:val="008E214C"/>
    <w:rsid w:val="008E28F4"/>
    <w:rsid w:val="008E2984"/>
    <w:rsid w:val="008E3299"/>
    <w:rsid w:val="008E3983"/>
    <w:rsid w:val="008E4886"/>
    <w:rsid w:val="008E510B"/>
    <w:rsid w:val="008E5DF1"/>
    <w:rsid w:val="008E6B0E"/>
    <w:rsid w:val="008F0055"/>
    <w:rsid w:val="008F00A6"/>
    <w:rsid w:val="008F0E42"/>
    <w:rsid w:val="008F0F54"/>
    <w:rsid w:val="008F14D4"/>
    <w:rsid w:val="008F24DE"/>
    <w:rsid w:val="008F2DE5"/>
    <w:rsid w:val="008F32CD"/>
    <w:rsid w:val="008F3C12"/>
    <w:rsid w:val="008F485F"/>
    <w:rsid w:val="008F580C"/>
    <w:rsid w:val="008F59C0"/>
    <w:rsid w:val="008F6B39"/>
    <w:rsid w:val="008F7C60"/>
    <w:rsid w:val="0090080A"/>
    <w:rsid w:val="0090217E"/>
    <w:rsid w:val="00902C6D"/>
    <w:rsid w:val="009035BC"/>
    <w:rsid w:val="009036AB"/>
    <w:rsid w:val="00904CF7"/>
    <w:rsid w:val="009061FA"/>
    <w:rsid w:val="00906E5B"/>
    <w:rsid w:val="00907825"/>
    <w:rsid w:val="00907CCE"/>
    <w:rsid w:val="00910992"/>
    <w:rsid w:val="00910A3F"/>
    <w:rsid w:val="0091260F"/>
    <w:rsid w:val="00913165"/>
    <w:rsid w:val="009134A1"/>
    <w:rsid w:val="009135E4"/>
    <w:rsid w:val="009137BC"/>
    <w:rsid w:val="00913C3A"/>
    <w:rsid w:val="00913C93"/>
    <w:rsid w:val="0091508C"/>
    <w:rsid w:val="009151E1"/>
    <w:rsid w:val="009162ED"/>
    <w:rsid w:val="009163EB"/>
    <w:rsid w:val="00916589"/>
    <w:rsid w:val="00916903"/>
    <w:rsid w:val="00916944"/>
    <w:rsid w:val="00917B13"/>
    <w:rsid w:val="009218E4"/>
    <w:rsid w:val="00921B5D"/>
    <w:rsid w:val="00921C63"/>
    <w:rsid w:val="00921D07"/>
    <w:rsid w:val="009223F3"/>
    <w:rsid w:val="00923043"/>
    <w:rsid w:val="00923B0C"/>
    <w:rsid w:val="009241AB"/>
    <w:rsid w:val="00925C29"/>
    <w:rsid w:val="00925D89"/>
    <w:rsid w:val="009301EF"/>
    <w:rsid w:val="009303CC"/>
    <w:rsid w:val="0093213C"/>
    <w:rsid w:val="009338AE"/>
    <w:rsid w:val="00933CEA"/>
    <w:rsid w:val="0093445B"/>
    <w:rsid w:val="00934D91"/>
    <w:rsid w:val="00935C53"/>
    <w:rsid w:val="00936CA1"/>
    <w:rsid w:val="00937862"/>
    <w:rsid w:val="00937F7A"/>
    <w:rsid w:val="00937FEA"/>
    <w:rsid w:val="00941575"/>
    <w:rsid w:val="00941C2E"/>
    <w:rsid w:val="0094381E"/>
    <w:rsid w:val="009446BE"/>
    <w:rsid w:val="0094511C"/>
    <w:rsid w:val="009501E7"/>
    <w:rsid w:val="009507C4"/>
    <w:rsid w:val="00951B9C"/>
    <w:rsid w:val="00952B92"/>
    <w:rsid w:val="00953E10"/>
    <w:rsid w:val="0095485C"/>
    <w:rsid w:val="0095499B"/>
    <w:rsid w:val="00954F97"/>
    <w:rsid w:val="00955EC3"/>
    <w:rsid w:val="00956260"/>
    <w:rsid w:val="00956B8B"/>
    <w:rsid w:val="00957225"/>
    <w:rsid w:val="009572D2"/>
    <w:rsid w:val="0095788D"/>
    <w:rsid w:val="00957B78"/>
    <w:rsid w:val="009604B8"/>
    <w:rsid w:val="0096267B"/>
    <w:rsid w:val="009635DC"/>
    <w:rsid w:val="00964185"/>
    <w:rsid w:val="00964211"/>
    <w:rsid w:val="009653DF"/>
    <w:rsid w:val="00965BA3"/>
    <w:rsid w:val="00966D2F"/>
    <w:rsid w:val="0097044A"/>
    <w:rsid w:val="009719D5"/>
    <w:rsid w:val="00971CA3"/>
    <w:rsid w:val="00971D38"/>
    <w:rsid w:val="00974377"/>
    <w:rsid w:val="00974AD4"/>
    <w:rsid w:val="00974B1C"/>
    <w:rsid w:val="00975566"/>
    <w:rsid w:val="00976C82"/>
    <w:rsid w:val="00977441"/>
    <w:rsid w:val="00977E2A"/>
    <w:rsid w:val="00977F51"/>
    <w:rsid w:val="00980712"/>
    <w:rsid w:val="00980D75"/>
    <w:rsid w:val="00980FF9"/>
    <w:rsid w:val="00981571"/>
    <w:rsid w:val="00981BEA"/>
    <w:rsid w:val="00982071"/>
    <w:rsid w:val="009824FC"/>
    <w:rsid w:val="00982E46"/>
    <w:rsid w:val="009832EF"/>
    <w:rsid w:val="00983880"/>
    <w:rsid w:val="00983A6A"/>
    <w:rsid w:val="009845C4"/>
    <w:rsid w:val="0098522F"/>
    <w:rsid w:val="00986696"/>
    <w:rsid w:val="0099043A"/>
    <w:rsid w:val="009918F8"/>
    <w:rsid w:val="00993C1B"/>
    <w:rsid w:val="00994227"/>
    <w:rsid w:val="009953BD"/>
    <w:rsid w:val="00996A7C"/>
    <w:rsid w:val="0099754E"/>
    <w:rsid w:val="00997F99"/>
    <w:rsid w:val="009A086C"/>
    <w:rsid w:val="009A3023"/>
    <w:rsid w:val="009A38AB"/>
    <w:rsid w:val="009A420E"/>
    <w:rsid w:val="009A4ABA"/>
    <w:rsid w:val="009A5328"/>
    <w:rsid w:val="009A6092"/>
    <w:rsid w:val="009A7181"/>
    <w:rsid w:val="009A740F"/>
    <w:rsid w:val="009B3846"/>
    <w:rsid w:val="009B3898"/>
    <w:rsid w:val="009B3F95"/>
    <w:rsid w:val="009B541C"/>
    <w:rsid w:val="009B54EA"/>
    <w:rsid w:val="009B63A4"/>
    <w:rsid w:val="009B7219"/>
    <w:rsid w:val="009B72E9"/>
    <w:rsid w:val="009B7ED8"/>
    <w:rsid w:val="009C085B"/>
    <w:rsid w:val="009C12F4"/>
    <w:rsid w:val="009C1854"/>
    <w:rsid w:val="009C18CD"/>
    <w:rsid w:val="009C18F8"/>
    <w:rsid w:val="009C2185"/>
    <w:rsid w:val="009C218C"/>
    <w:rsid w:val="009C36BD"/>
    <w:rsid w:val="009C392C"/>
    <w:rsid w:val="009C55C2"/>
    <w:rsid w:val="009C7203"/>
    <w:rsid w:val="009C773B"/>
    <w:rsid w:val="009D12B5"/>
    <w:rsid w:val="009D1331"/>
    <w:rsid w:val="009D1D1B"/>
    <w:rsid w:val="009D3045"/>
    <w:rsid w:val="009D3914"/>
    <w:rsid w:val="009D481E"/>
    <w:rsid w:val="009D53A9"/>
    <w:rsid w:val="009D5B43"/>
    <w:rsid w:val="009E1156"/>
    <w:rsid w:val="009E24D7"/>
    <w:rsid w:val="009E2782"/>
    <w:rsid w:val="009E282D"/>
    <w:rsid w:val="009E40B0"/>
    <w:rsid w:val="009E47D4"/>
    <w:rsid w:val="009E49C8"/>
    <w:rsid w:val="009E598B"/>
    <w:rsid w:val="009E6166"/>
    <w:rsid w:val="009E632F"/>
    <w:rsid w:val="009E7B6D"/>
    <w:rsid w:val="009F066D"/>
    <w:rsid w:val="009F0BA3"/>
    <w:rsid w:val="009F0BE8"/>
    <w:rsid w:val="009F0C55"/>
    <w:rsid w:val="009F146C"/>
    <w:rsid w:val="009F16FC"/>
    <w:rsid w:val="009F1D8C"/>
    <w:rsid w:val="009F20F0"/>
    <w:rsid w:val="009F2F3C"/>
    <w:rsid w:val="009F3E1D"/>
    <w:rsid w:val="009F4264"/>
    <w:rsid w:val="009F4AE2"/>
    <w:rsid w:val="009F5964"/>
    <w:rsid w:val="009F5A0D"/>
    <w:rsid w:val="009F5E92"/>
    <w:rsid w:val="009F73BF"/>
    <w:rsid w:val="00A00E1B"/>
    <w:rsid w:val="00A0193A"/>
    <w:rsid w:val="00A02240"/>
    <w:rsid w:val="00A02261"/>
    <w:rsid w:val="00A02B1E"/>
    <w:rsid w:val="00A02B3B"/>
    <w:rsid w:val="00A02B87"/>
    <w:rsid w:val="00A03089"/>
    <w:rsid w:val="00A04BA3"/>
    <w:rsid w:val="00A05796"/>
    <w:rsid w:val="00A05F26"/>
    <w:rsid w:val="00A062EB"/>
    <w:rsid w:val="00A06463"/>
    <w:rsid w:val="00A06925"/>
    <w:rsid w:val="00A07FA0"/>
    <w:rsid w:val="00A1241C"/>
    <w:rsid w:val="00A12458"/>
    <w:rsid w:val="00A13030"/>
    <w:rsid w:val="00A134CD"/>
    <w:rsid w:val="00A13859"/>
    <w:rsid w:val="00A149D6"/>
    <w:rsid w:val="00A16508"/>
    <w:rsid w:val="00A1683F"/>
    <w:rsid w:val="00A178C1"/>
    <w:rsid w:val="00A200F8"/>
    <w:rsid w:val="00A21AD3"/>
    <w:rsid w:val="00A21E87"/>
    <w:rsid w:val="00A22D5C"/>
    <w:rsid w:val="00A23757"/>
    <w:rsid w:val="00A23CB8"/>
    <w:rsid w:val="00A24ACA"/>
    <w:rsid w:val="00A25AC7"/>
    <w:rsid w:val="00A261EC"/>
    <w:rsid w:val="00A30FC8"/>
    <w:rsid w:val="00A30FF3"/>
    <w:rsid w:val="00A33AE5"/>
    <w:rsid w:val="00A35458"/>
    <w:rsid w:val="00A35B61"/>
    <w:rsid w:val="00A35C07"/>
    <w:rsid w:val="00A3658D"/>
    <w:rsid w:val="00A36F9A"/>
    <w:rsid w:val="00A378A9"/>
    <w:rsid w:val="00A37B5A"/>
    <w:rsid w:val="00A4006B"/>
    <w:rsid w:val="00A400DA"/>
    <w:rsid w:val="00A4170F"/>
    <w:rsid w:val="00A41D81"/>
    <w:rsid w:val="00A422BC"/>
    <w:rsid w:val="00A423C0"/>
    <w:rsid w:val="00A42B14"/>
    <w:rsid w:val="00A43B42"/>
    <w:rsid w:val="00A446A1"/>
    <w:rsid w:val="00A44A31"/>
    <w:rsid w:val="00A44BA9"/>
    <w:rsid w:val="00A45168"/>
    <w:rsid w:val="00A454EE"/>
    <w:rsid w:val="00A461F3"/>
    <w:rsid w:val="00A47C63"/>
    <w:rsid w:val="00A504BA"/>
    <w:rsid w:val="00A50EC5"/>
    <w:rsid w:val="00A51295"/>
    <w:rsid w:val="00A513E5"/>
    <w:rsid w:val="00A5242A"/>
    <w:rsid w:val="00A52A01"/>
    <w:rsid w:val="00A52B69"/>
    <w:rsid w:val="00A52C5E"/>
    <w:rsid w:val="00A53304"/>
    <w:rsid w:val="00A54A32"/>
    <w:rsid w:val="00A56364"/>
    <w:rsid w:val="00A6002D"/>
    <w:rsid w:val="00A6005E"/>
    <w:rsid w:val="00A60341"/>
    <w:rsid w:val="00A603EB"/>
    <w:rsid w:val="00A62C89"/>
    <w:rsid w:val="00A63A23"/>
    <w:rsid w:val="00A6443E"/>
    <w:rsid w:val="00A644A2"/>
    <w:rsid w:val="00A657D8"/>
    <w:rsid w:val="00A665B5"/>
    <w:rsid w:val="00A6701C"/>
    <w:rsid w:val="00A67058"/>
    <w:rsid w:val="00A67A79"/>
    <w:rsid w:val="00A705F0"/>
    <w:rsid w:val="00A713F6"/>
    <w:rsid w:val="00A71E3F"/>
    <w:rsid w:val="00A720A9"/>
    <w:rsid w:val="00A72CE7"/>
    <w:rsid w:val="00A7408C"/>
    <w:rsid w:val="00A7418B"/>
    <w:rsid w:val="00A76573"/>
    <w:rsid w:val="00A76869"/>
    <w:rsid w:val="00A8010D"/>
    <w:rsid w:val="00A80533"/>
    <w:rsid w:val="00A80A2B"/>
    <w:rsid w:val="00A80F34"/>
    <w:rsid w:val="00A813F9"/>
    <w:rsid w:val="00A814A0"/>
    <w:rsid w:val="00A81719"/>
    <w:rsid w:val="00A82639"/>
    <w:rsid w:val="00A82927"/>
    <w:rsid w:val="00A82E79"/>
    <w:rsid w:val="00A836B3"/>
    <w:rsid w:val="00A84C17"/>
    <w:rsid w:val="00A859CD"/>
    <w:rsid w:val="00A86876"/>
    <w:rsid w:val="00A86F1D"/>
    <w:rsid w:val="00A87150"/>
    <w:rsid w:val="00A87C30"/>
    <w:rsid w:val="00A907BB"/>
    <w:rsid w:val="00A90CAD"/>
    <w:rsid w:val="00A91221"/>
    <w:rsid w:val="00A9159B"/>
    <w:rsid w:val="00A91C16"/>
    <w:rsid w:val="00A920C3"/>
    <w:rsid w:val="00A924CA"/>
    <w:rsid w:val="00A92CED"/>
    <w:rsid w:val="00A942F9"/>
    <w:rsid w:val="00A94F56"/>
    <w:rsid w:val="00A955F0"/>
    <w:rsid w:val="00A95EC6"/>
    <w:rsid w:val="00A96B72"/>
    <w:rsid w:val="00A96C24"/>
    <w:rsid w:val="00A971AD"/>
    <w:rsid w:val="00AA1860"/>
    <w:rsid w:val="00AA2270"/>
    <w:rsid w:val="00AA25CD"/>
    <w:rsid w:val="00AA2989"/>
    <w:rsid w:val="00AA3C77"/>
    <w:rsid w:val="00AA3EF4"/>
    <w:rsid w:val="00AA409C"/>
    <w:rsid w:val="00AA5A90"/>
    <w:rsid w:val="00AA61A9"/>
    <w:rsid w:val="00AA7095"/>
    <w:rsid w:val="00AA71D5"/>
    <w:rsid w:val="00AB0498"/>
    <w:rsid w:val="00AB0880"/>
    <w:rsid w:val="00AB1733"/>
    <w:rsid w:val="00AB176B"/>
    <w:rsid w:val="00AB1AEA"/>
    <w:rsid w:val="00AB4A30"/>
    <w:rsid w:val="00AB4A78"/>
    <w:rsid w:val="00AB52BD"/>
    <w:rsid w:val="00AB5F20"/>
    <w:rsid w:val="00AB6C27"/>
    <w:rsid w:val="00AB6D70"/>
    <w:rsid w:val="00AB79BA"/>
    <w:rsid w:val="00AC0808"/>
    <w:rsid w:val="00AC2052"/>
    <w:rsid w:val="00AC2C87"/>
    <w:rsid w:val="00AC3314"/>
    <w:rsid w:val="00AC339A"/>
    <w:rsid w:val="00AC3834"/>
    <w:rsid w:val="00AC412D"/>
    <w:rsid w:val="00AC452B"/>
    <w:rsid w:val="00AC4EEE"/>
    <w:rsid w:val="00AC5784"/>
    <w:rsid w:val="00AC6AE1"/>
    <w:rsid w:val="00AC6B85"/>
    <w:rsid w:val="00AC7D55"/>
    <w:rsid w:val="00AD1D64"/>
    <w:rsid w:val="00AD2712"/>
    <w:rsid w:val="00AD2853"/>
    <w:rsid w:val="00AD2AFD"/>
    <w:rsid w:val="00AD3F82"/>
    <w:rsid w:val="00AD4ADC"/>
    <w:rsid w:val="00AD556A"/>
    <w:rsid w:val="00AD5770"/>
    <w:rsid w:val="00AD5F4F"/>
    <w:rsid w:val="00AD682B"/>
    <w:rsid w:val="00AD7A9C"/>
    <w:rsid w:val="00AE0CB0"/>
    <w:rsid w:val="00AE0E86"/>
    <w:rsid w:val="00AE1691"/>
    <w:rsid w:val="00AE2885"/>
    <w:rsid w:val="00AE3283"/>
    <w:rsid w:val="00AE355E"/>
    <w:rsid w:val="00AE4C70"/>
    <w:rsid w:val="00AE4ED0"/>
    <w:rsid w:val="00AE5478"/>
    <w:rsid w:val="00AE5539"/>
    <w:rsid w:val="00AE6500"/>
    <w:rsid w:val="00AE6F0E"/>
    <w:rsid w:val="00AE6FEA"/>
    <w:rsid w:val="00AE718A"/>
    <w:rsid w:val="00AE7757"/>
    <w:rsid w:val="00AF143F"/>
    <w:rsid w:val="00AF2783"/>
    <w:rsid w:val="00AF2B6A"/>
    <w:rsid w:val="00AF2F93"/>
    <w:rsid w:val="00AF338B"/>
    <w:rsid w:val="00AF3CA9"/>
    <w:rsid w:val="00AF41EB"/>
    <w:rsid w:val="00AF4FE9"/>
    <w:rsid w:val="00AF5420"/>
    <w:rsid w:val="00AF5432"/>
    <w:rsid w:val="00AF579F"/>
    <w:rsid w:val="00AF581F"/>
    <w:rsid w:val="00AF5DDF"/>
    <w:rsid w:val="00AF71D1"/>
    <w:rsid w:val="00AF787A"/>
    <w:rsid w:val="00AF7901"/>
    <w:rsid w:val="00B0044D"/>
    <w:rsid w:val="00B00DE3"/>
    <w:rsid w:val="00B00FB0"/>
    <w:rsid w:val="00B036EA"/>
    <w:rsid w:val="00B03AE9"/>
    <w:rsid w:val="00B04187"/>
    <w:rsid w:val="00B058F9"/>
    <w:rsid w:val="00B0732C"/>
    <w:rsid w:val="00B0779E"/>
    <w:rsid w:val="00B07ADF"/>
    <w:rsid w:val="00B10ECE"/>
    <w:rsid w:val="00B12B4E"/>
    <w:rsid w:val="00B12FA8"/>
    <w:rsid w:val="00B131AA"/>
    <w:rsid w:val="00B135E6"/>
    <w:rsid w:val="00B13D30"/>
    <w:rsid w:val="00B1492F"/>
    <w:rsid w:val="00B1501B"/>
    <w:rsid w:val="00B174EB"/>
    <w:rsid w:val="00B178EC"/>
    <w:rsid w:val="00B17F59"/>
    <w:rsid w:val="00B21894"/>
    <w:rsid w:val="00B2470E"/>
    <w:rsid w:val="00B2488E"/>
    <w:rsid w:val="00B27556"/>
    <w:rsid w:val="00B27C38"/>
    <w:rsid w:val="00B27DA6"/>
    <w:rsid w:val="00B27F7C"/>
    <w:rsid w:val="00B30D7E"/>
    <w:rsid w:val="00B30F75"/>
    <w:rsid w:val="00B31419"/>
    <w:rsid w:val="00B317AC"/>
    <w:rsid w:val="00B32A8A"/>
    <w:rsid w:val="00B33AB5"/>
    <w:rsid w:val="00B33ED4"/>
    <w:rsid w:val="00B364D0"/>
    <w:rsid w:val="00B37E04"/>
    <w:rsid w:val="00B4055A"/>
    <w:rsid w:val="00B407C8"/>
    <w:rsid w:val="00B4082E"/>
    <w:rsid w:val="00B417B6"/>
    <w:rsid w:val="00B425A0"/>
    <w:rsid w:val="00B42AE4"/>
    <w:rsid w:val="00B43061"/>
    <w:rsid w:val="00B4542F"/>
    <w:rsid w:val="00B47582"/>
    <w:rsid w:val="00B51868"/>
    <w:rsid w:val="00B51D8E"/>
    <w:rsid w:val="00B525B1"/>
    <w:rsid w:val="00B53357"/>
    <w:rsid w:val="00B54EF1"/>
    <w:rsid w:val="00B55B54"/>
    <w:rsid w:val="00B55C58"/>
    <w:rsid w:val="00B55DFE"/>
    <w:rsid w:val="00B56141"/>
    <w:rsid w:val="00B57A31"/>
    <w:rsid w:val="00B609DE"/>
    <w:rsid w:val="00B6176D"/>
    <w:rsid w:val="00B61924"/>
    <w:rsid w:val="00B630D2"/>
    <w:rsid w:val="00B63F39"/>
    <w:rsid w:val="00B6440C"/>
    <w:rsid w:val="00B64620"/>
    <w:rsid w:val="00B64CD9"/>
    <w:rsid w:val="00B65A1C"/>
    <w:rsid w:val="00B65ABA"/>
    <w:rsid w:val="00B6677D"/>
    <w:rsid w:val="00B70081"/>
    <w:rsid w:val="00B714CF"/>
    <w:rsid w:val="00B7167A"/>
    <w:rsid w:val="00B72408"/>
    <w:rsid w:val="00B72C64"/>
    <w:rsid w:val="00B73F42"/>
    <w:rsid w:val="00B763D7"/>
    <w:rsid w:val="00B80324"/>
    <w:rsid w:val="00B8041A"/>
    <w:rsid w:val="00B818E5"/>
    <w:rsid w:val="00B83A86"/>
    <w:rsid w:val="00B83BA0"/>
    <w:rsid w:val="00B84274"/>
    <w:rsid w:val="00B843E6"/>
    <w:rsid w:val="00B8455D"/>
    <w:rsid w:val="00B84906"/>
    <w:rsid w:val="00B852DF"/>
    <w:rsid w:val="00B85344"/>
    <w:rsid w:val="00B86352"/>
    <w:rsid w:val="00B87188"/>
    <w:rsid w:val="00B873C3"/>
    <w:rsid w:val="00B90BCD"/>
    <w:rsid w:val="00B91BA2"/>
    <w:rsid w:val="00B91F77"/>
    <w:rsid w:val="00B92204"/>
    <w:rsid w:val="00B948C1"/>
    <w:rsid w:val="00B9495D"/>
    <w:rsid w:val="00B96354"/>
    <w:rsid w:val="00B97D88"/>
    <w:rsid w:val="00B97F8D"/>
    <w:rsid w:val="00BA0178"/>
    <w:rsid w:val="00BA11C3"/>
    <w:rsid w:val="00BA40F1"/>
    <w:rsid w:val="00BA63DE"/>
    <w:rsid w:val="00BB063F"/>
    <w:rsid w:val="00BB2905"/>
    <w:rsid w:val="00BB29DD"/>
    <w:rsid w:val="00BB2B57"/>
    <w:rsid w:val="00BB63E3"/>
    <w:rsid w:val="00BB71EF"/>
    <w:rsid w:val="00BB7414"/>
    <w:rsid w:val="00BB7526"/>
    <w:rsid w:val="00BB7CD6"/>
    <w:rsid w:val="00BC253F"/>
    <w:rsid w:val="00BC33B7"/>
    <w:rsid w:val="00BC4A3C"/>
    <w:rsid w:val="00BC5E7A"/>
    <w:rsid w:val="00BC7788"/>
    <w:rsid w:val="00BC78C8"/>
    <w:rsid w:val="00BC7929"/>
    <w:rsid w:val="00BC7C69"/>
    <w:rsid w:val="00BD0844"/>
    <w:rsid w:val="00BD163B"/>
    <w:rsid w:val="00BD1EBC"/>
    <w:rsid w:val="00BD1EDC"/>
    <w:rsid w:val="00BD26B8"/>
    <w:rsid w:val="00BD4688"/>
    <w:rsid w:val="00BD4E60"/>
    <w:rsid w:val="00BD51A1"/>
    <w:rsid w:val="00BD6B16"/>
    <w:rsid w:val="00BE0C96"/>
    <w:rsid w:val="00BE0CA2"/>
    <w:rsid w:val="00BE1EBD"/>
    <w:rsid w:val="00BE3491"/>
    <w:rsid w:val="00BE390E"/>
    <w:rsid w:val="00BE4643"/>
    <w:rsid w:val="00BE644D"/>
    <w:rsid w:val="00BE7A7E"/>
    <w:rsid w:val="00BF0147"/>
    <w:rsid w:val="00BF0499"/>
    <w:rsid w:val="00BF2D86"/>
    <w:rsid w:val="00BF32C3"/>
    <w:rsid w:val="00BF7D40"/>
    <w:rsid w:val="00C01E51"/>
    <w:rsid w:val="00C0283A"/>
    <w:rsid w:val="00C0407C"/>
    <w:rsid w:val="00C04E4A"/>
    <w:rsid w:val="00C05F1E"/>
    <w:rsid w:val="00C066AB"/>
    <w:rsid w:val="00C06B57"/>
    <w:rsid w:val="00C0745C"/>
    <w:rsid w:val="00C116B2"/>
    <w:rsid w:val="00C12A0B"/>
    <w:rsid w:val="00C13DCB"/>
    <w:rsid w:val="00C14C4F"/>
    <w:rsid w:val="00C163E6"/>
    <w:rsid w:val="00C16BB1"/>
    <w:rsid w:val="00C17518"/>
    <w:rsid w:val="00C20D05"/>
    <w:rsid w:val="00C21044"/>
    <w:rsid w:val="00C2185E"/>
    <w:rsid w:val="00C22001"/>
    <w:rsid w:val="00C22410"/>
    <w:rsid w:val="00C2281C"/>
    <w:rsid w:val="00C242D4"/>
    <w:rsid w:val="00C2436C"/>
    <w:rsid w:val="00C24AB2"/>
    <w:rsid w:val="00C25542"/>
    <w:rsid w:val="00C25659"/>
    <w:rsid w:val="00C25FA5"/>
    <w:rsid w:val="00C26AF2"/>
    <w:rsid w:val="00C26C32"/>
    <w:rsid w:val="00C26C3D"/>
    <w:rsid w:val="00C26D4D"/>
    <w:rsid w:val="00C27E68"/>
    <w:rsid w:val="00C30F67"/>
    <w:rsid w:val="00C317E5"/>
    <w:rsid w:val="00C31A4B"/>
    <w:rsid w:val="00C31DB7"/>
    <w:rsid w:val="00C31E67"/>
    <w:rsid w:val="00C343EE"/>
    <w:rsid w:val="00C35B5C"/>
    <w:rsid w:val="00C35E01"/>
    <w:rsid w:val="00C3721C"/>
    <w:rsid w:val="00C407D7"/>
    <w:rsid w:val="00C41441"/>
    <w:rsid w:val="00C41BCA"/>
    <w:rsid w:val="00C42468"/>
    <w:rsid w:val="00C429A9"/>
    <w:rsid w:val="00C42AF3"/>
    <w:rsid w:val="00C42DA8"/>
    <w:rsid w:val="00C44228"/>
    <w:rsid w:val="00C44DBA"/>
    <w:rsid w:val="00C451AE"/>
    <w:rsid w:val="00C45E3F"/>
    <w:rsid w:val="00C46509"/>
    <w:rsid w:val="00C465CF"/>
    <w:rsid w:val="00C470F2"/>
    <w:rsid w:val="00C50450"/>
    <w:rsid w:val="00C505CC"/>
    <w:rsid w:val="00C5258C"/>
    <w:rsid w:val="00C530CB"/>
    <w:rsid w:val="00C5545E"/>
    <w:rsid w:val="00C56489"/>
    <w:rsid w:val="00C57802"/>
    <w:rsid w:val="00C57877"/>
    <w:rsid w:val="00C60FAD"/>
    <w:rsid w:val="00C625A0"/>
    <w:rsid w:val="00C62B49"/>
    <w:rsid w:val="00C63D40"/>
    <w:rsid w:val="00C669FA"/>
    <w:rsid w:val="00C66BF2"/>
    <w:rsid w:val="00C66C12"/>
    <w:rsid w:val="00C67C18"/>
    <w:rsid w:val="00C70556"/>
    <w:rsid w:val="00C70646"/>
    <w:rsid w:val="00C70864"/>
    <w:rsid w:val="00C717FE"/>
    <w:rsid w:val="00C7268C"/>
    <w:rsid w:val="00C73318"/>
    <w:rsid w:val="00C739AD"/>
    <w:rsid w:val="00C73E59"/>
    <w:rsid w:val="00C740A7"/>
    <w:rsid w:val="00C74C51"/>
    <w:rsid w:val="00C7522B"/>
    <w:rsid w:val="00C77DF7"/>
    <w:rsid w:val="00C80F86"/>
    <w:rsid w:val="00C8110E"/>
    <w:rsid w:val="00C825CA"/>
    <w:rsid w:val="00C827BD"/>
    <w:rsid w:val="00C82804"/>
    <w:rsid w:val="00C82CEB"/>
    <w:rsid w:val="00C83529"/>
    <w:rsid w:val="00C839E5"/>
    <w:rsid w:val="00C83B7E"/>
    <w:rsid w:val="00C83C9F"/>
    <w:rsid w:val="00C84176"/>
    <w:rsid w:val="00C849F0"/>
    <w:rsid w:val="00C85190"/>
    <w:rsid w:val="00C85CEE"/>
    <w:rsid w:val="00C87DDF"/>
    <w:rsid w:val="00C93D2E"/>
    <w:rsid w:val="00C94788"/>
    <w:rsid w:val="00C952C6"/>
    <w:rsid w:val="00C96C20"/>
    <w:rsid w:val="00C97E65"/>
    <w:rsid w:val="00CA1C07"/>
    <w:rsid w:val="00CA1E74"/>
    <w:rsid w:val="00CA2F22"/>
    <w:rsid w:val="00CA4B3F"/>
    <w:rsid w:val="00CA636A"/>
    <w:rsid w:val="00CA6ABE"/>
    <w:rsid w:val="00CA7C26"/>
    <w:rsid w:val="00CB0F37"/>
    <w:rsid w:val="00CB23AF"/>
    <w:rsid w:val="00CB3BB1"/>
    <w:rsid w:val="00CB480E"/>
    <w:rsid w:val="00CB4E75"/>
    <w:rsid w:val="00CB55B2"/>
    <w:rsid w:val="00CB5645"/>
    <w:rsid w:val="00CB5FAF"/>
    <w:rsid w:val="00CC07E3"/>
    <w:rsid w:val="00CC0C86"/>
    <w:rsid w:val="00CC1739"/>
    <w:rsid w:val="00CC2392"/>
    <w:rsid w:val="00CC2A57"/>
    <w:rsid w:val="00CC2CAC"/>
    <w:rsid w:val="00CC377C"/>
    <w:rsid w:val="00CC43AF"/>
    <w:rsid w:val="00CC52F0"/>
    <w:rsid w:val="00CC5F1D"/>
    <w:rsid w:val="00CC6209"/>
    <w:rsid w:val="00CC73ED"/>
    <w:rsid w:val="00CC7DE3"/>
    <w:rsid w:val="00CD01B2"/>
    <w:rsid w:val="00CD0257"/>
    <w:rsid w:val="00CD06BB"/>
    <w:rsid w:val="00CD2602"/>
    <w:rsid w:val="00CD2AE5"/>
    <w:rsid w:val="00CD2DF6"/>
    <w:rsid w:val="00CD5A4E"/>
    <w:rsid w:val="00CD5D93"/>
    <w:rsid w:val="00CD6EA9"/>
    <w:rsid w:val="00CD7CF9"/>
    <w:rsid w:val="00CE0853"/>
    <w:rsid w:val="00CE0C90"/>
    <w:rsid w:val="00CE10C7"/>
    <w:rsid w:val="00CE291E"/>
    <w:rsid w:val="00CE36B9"/>
    <w:rsid w:val="00CE4C85"/>
    <w:rsid w:val="00CE5AD6"/>
    <w:rsid w:val="00CE61AE"/>
    <w:rsid w:val="00CE667C"/>
    <w:rsid w:val="00CE6747"/>
    <w:rsid w:val="00CE75BD"/>
    <w:rsid w:val="00CE79C0"/>
    <w:rsid w:val="00CF0B62"/>
    <w:rsid w:val="00CF100A"/>
    <w:rsid w:val="00CF117B"/>
    <w:rsid w:val="00CF6CDF"/>
    <w:rsid w:val="00CF71D0"/>
    <w:rsid w:val="00CF726D"/>
    <w:rsid w:val="00CF7806"/>
    <w:rsid w:val="00D0082E"/>
    <w:rsid w:val="00D00E55"/>
    <w:rsid w:val="00D02116"/>
    <w:rsid w:val="00D0243C"/>
    <w:rsid w:val="00D02F83"/>
    <w:rsid w:val="00D049B6"/>
    <w:rsid w:val="00D0550E"/>
    <w:rsid w:val="00D0598A"/>
    <w:rsid w:val="00D05BE2"/>
    <w:rsid w:val="00D05CD9"/>
    <w:rsid w:val="00D068E7"/>
    <w:rsid w:val="00D0785B"/>
    <w:rsid w:val="00D10372"/>
    <w:rsid w:val="00D1189A"/>
    <w:rsid w:val="00D1197C"/>
    <w:rsid w:val="00D11FAE"/>
    <w:rsid w:val="00D13E2B"/>
    <w:rsid w:val="00D14515"/>
    <w:rsid w:val="00D14A4E"/>
    <w:rsid w:val="00D14D94"/>
    <w:rsid w:val="00D14F6F"/>
    <w:rsid w:val="00D153A6"/>
    <w:rsid w:val="00D178AA"/>
    <w:rsid w:val="00D2063A"/>
    <w:rsid w:val="00D211E9"/>
    <w:rsid w:val="00D2152E"/>
    <w:rsid w:val="00D21B0C"/>
    <w:rsid w:val="00D22B62"/>
    <w:rsid w:val="00D23E40"/>
    <w:rsid w:val="00D26A4B"/>
    <w:rsid w:val="00D30663"/>
    <w:rsid w:val="00D31764"/>
    <w:rsid w:val="00D3214A"/>
    <w:rsid w:val="00D35114"/>
    <w:rsid w:val="00D3728E"/>
    <w:rsid w:val="00D3742D"/>
    <w:rsid w:val="00D375B9"/>
    <w:rsid w:val="00D37A3C"/>
    <w:rsid w:val="00D405BA"/>
    <w:rsid w:val="00D406CF"/>
    <w:rsid w:val="00D41020"/>
    <w:rsid w:val="00D41B8D"/>
    <w:rsid w:val="00D44012"/>
    <w:rsid w:val="00D44FED"/>
    <w:rsid w:val="00D45819"/>
    <w:rsid w:val="00D46957"/>
    <w:rsid w:val="00D46C15"/>
    <w:rsid w:val="00D508DB"/>
    <w:rsid w:val="00D50DFD"/>
    <w:rsid w:val="00D51333"/>
    <w:rsid w:val="00D5146A"/>
    <w:rsid w:val="00D5234D"/>
    <w:rsid w:val="00D5270F"/>
    <w:rsid w:val="00D5348A"/>
    <w:rsid w:val="00D534F2"/>
    <w:rsid w:val="00D55201"/>
    <w:rsid w:val="00D5526F"/>
    <w:rsid w:val="00D55601"/>
    <w:rsid w:val="00D55B53"/>
    <w:rsid w:val="00D56443"/>
    <w:rsid w:val="00D5692A"/>
    <w:rsid w:val="00D56A94"/>
    <w:rsid w:val="00D57B01"/>
    <w:rsid w:val="00D60B59"/>
    <w:rsid w:val="00D61D5C"/>
    <w:rsid w:val="00D62DB3"/>
    <w:rsid w:val="00D62E1D"/>
    <w:rsid w:val="00D63076"/>
    <w:rsid w:val="00D63116"/>
    <w:rsid w:val="00D6425D"/>
    <w:rsid w:val="00D64E1B"/>
    <w:rsid w:val="00D660C7"/>
    <w:rsid w:val="00D66519"/>
    <w:rsid w:val="00D669E5"/>
    <w:rsid w:val="00D67211"/>
    <w:rsid w:val="00D67AF2"/>
    <w:rsid w:val="00D67EDC"/>
    <w:rsid w:val="00D71C2F"/>
    <w:rsid w:val="00D72616"/>
    <w:rsid w:val="00D72BC5"/>
    <w:rsid w:val="00D7300B"/>
    <w:rsid w:val="00D733A9"/>
    <w:rsid w:val="00D740EA"/>
    <w:rsid w:val="00D745B6"/>
    <w:rsid w:val="00D75100"/>
    <w:rsid w:val="00D75DCF"/>
    <w:rsid w:val="00D7603F"/>
    <w:rsid w:val="00D77BA6"/>
    <w:rsid w:val="00D77CAB"/>
    <w:rsid w:val="00D800EE"/>
    <w:rsid w:val="00D80894"/>
    <w:rsid w:val="00D80D5D"/>
    <w:rsid w:val="00D81816"/>
    <w:rsid w:val="00D825FB"/>
    <w:rsid w:val="00D83B9E"/>
    <w:rsid w:val="00D841F7"/>
    <w:rsid w:val="00D85E41"/>
    <w:rsid w:val="00D878C0"/>
    <w:rsid w:val="00D900CC"/>
    <w:rsid w:val="00D90367"/>
    <w:rsid w:val="00D914EE"/>
    <w:rsid w:val="00D91A9E"/>
    <w:rsid w:val="00D92385"/>
    <w:rsid w:val="00D92A33"/>
    <w:rsid w:val="00D92E8B"/>
    <w:rsid w:val="00D93DE7"/>
    <w:rsid w:val="00D9403B"/>
    <w:rsid w:val="00D95B33"/>
    <w:rsid w:val="00D95D5D"/>
    <w:rsid w:val="00D96039"/>
    <w:rsid w:val="00D964C9"/>
    <w:rsid w:val="00D9663B"/>
    <w:rsid w:val="00DA15F2"/>
    <w:rsid w:val="00DA21C5"/>
    <w:rsid w:val="00DA23F0"/>
    <w:rsid w:val="00DA364D"/>
    <w:rsid w:val="00DA36AE"/>
    <w:rsid w:val="00DA42AC"/>
    <w:rsid w:val="00DA51A9"/>
    <w:rsid w:val="00DA6738"/>
    <w:rsid w:val="00DA72AB"/>
    <w:rsid w:val="00DB0EFF"/>
    <w:rsid w:val="00DB1908"/>
    <w:rsid w:val="00DB1B6B"/>
    <w:rsid w:val="00DB1F81"/>
    <w:rsid w:val="00DB2653"/>
    <w:rsid w:val="00DB26F9"/>
    <w:rsid w:val="00DB3D4F"/>
    <w:rsid w:val="00DB4972"/>
    <w:rsid w:val="00DB546B"/>
    <w:rsid w:val="00DB5805"/>
    <w:rsid w:val="00DB61F7"/>
    <w:rsid w:val="00DB6543"/>
    <w:rsid w:val="00DB6B14"/>
    <w:rsid w:val="00DB6E7D"/>
    <w:rsid w:val="00DB73E3"/>
    <w:rsid w:val="00DB7BDE"/>
    <w:rsid w:val="00DB7DD1"/>
    <w:rsid w:val="00DC026D"/>
    <w:rsid w:val="00DC0A21"/>
    <w:rsid w:val="00DC2A63"/>
    <w:rsid w:val="00DC3177"/>
    <w:rsid w:val="00DC45DF"/>
    <w:rsid w:val="00DC48E7"/>
    <w:rsid w:val="00DC5D0B"/>
    <w:rsid w:val="00DC6E25"/>
    <w:rsid w:val="00DC769B"/>
    <w:rsid w:val="00DC7FB5"/>
    <w:rsid w:val="00DD083D"/>
    <w:rsid w:val="00DD0F29"/>
    <w:rsid w:val="00DD1819"/>
    <w:rsid w:val="00DD1CA1"/>
    <w:rsid w:val="00DD2539"/>
    <w:rsid w:val="00DD3AD2"/>
    <w:rsid w:val="00DD4014"/>
    <w:rsid w:val="00DD4FAE"/>
    <w:rsid w:val="00DD5948"/>
    <w:rsid w:val="00DD6A2B"/>
    <w:rsid w:val="00DD6E4E"/>
    <w:rsid w:val="00DD7DA8"/>
    <w:rsid w:val="00DD7F00"/>
    <w:rsid w:val="00DE03B7"/>
    <w:rsid w:val="00DE0DB1"/>
    <w:rsid w:val="00DE0F37"/>
    <w:rsid w:val="00DE11DB"/>
    <w:rsid w:val="00DE1E35"/>
    <w:rsid w:val="00DE2297"/>
    <w:rsid w:val="00DE22C0"/>
    <w:rsid w:val="00DE2654"/>
    <w:rsid w:val="00DE2D94"/>
    <w:rsid w:val="00DE6C73"/>
    <w:rsid w:val="00DE75AB"/>
    <w:rsid w:val="00DF0BEE"/>
    <w:rsid w:val="00DF11E9"/>
    <w:rsid w:val="00DF1331"/>
    <w:rsid w:val="00DF19A9"/>
    <w:rsid w:val="00DF1FC7"/>
    <w:rsid w:val="00DF32DA"/>
    <w:rsid w:val="00DF6F16"/>
    <w:rsid w:val="00E0003A"/>
    <w:rsid w:val="00E00865"/>
    <w:rsid w:val="00E00CC0"/>
    <w:rsid w:val="00E01B58"/>
    <w:rsid w:val="00E02D12"/>
    <w:rsid w:val="00E02E63"/>
    <w:rsid w:val="00E03BB9"/>
    <w:rsid w:val="00E04B8B"/>
    <w:rsid w:val="00E056EB"/>
    <w:rsid w:val="00E0666D"/>
    <w:rsid w:val="00E06BAC"/>
    <w:rsid w:val="00E10138"/>
    <w:rsid w:val="00E1134D"/>
    <w:rsid w:val="00E12894"/>
    <w:rsid w:val="00E12C2A"/>
    <w:rsid w:val="00E13BBA"/>
    <w:rsid w:val="00E14200"/>
    <w:rsid w:val="00E1475C"/>
    <w:rsid w:val="00E14C69"/>
    <w:rsid w:val="00E155F7"/>
    <w:rsid w:val="00E15C89"/>
    <w:rsid w:val="00E17003"/>
    <w:rsid w:val="00E17AA7"/>
    <w:rsid w:val="00E17E78"/>
    <w:rsid w:val="00E206FE"/>
    <w:rsid w:val="00E20C10"/>
    <w:rsid w:val="00E23294"/>
    <w:rsid w:val="00E248E5"/>
    <w:rsid w:val="00E24F1C"/>
    <w:rsid w:val="00E25524"/>
    <w:rsid w:val="00E2563C"/>
    <w:rsid w:val="00E25E70"/>
    <w:rsid w:val="00E262CC"/>
    <w:rsid w:val="00E274EE"/>
    <w:rsid w:val="00E27522"/>
    <w:rsid w:val="00E3106F"/>
    <w:rsid w:val="00E322C9"/>
    <w:rsid w:val="00E32AA2"/>
    <w:rsid w:val="00E3462D"/>
    <w:rsid w:val="00E355D5"/>
    <w:rsid w:val="00E3573A"/>
    <w:rsid w:val="00E403B2"/>
    <w:rsid w:val="00E4144B"/>
    <w:rsid w:val="00E43318"/>
    <w:rsid w:val="00E437C0"/>
    <w:rsid w:val="00E44387"/>
    <w:rsid w:val="00E44BA9"/>
    <w:rsid w:val="00E4510A"/>
    <w:rsid w:val="00E45267"/>
    <w:rsid w:val="00E46D21"/>
    <w:rsid w:val="00E503AF"/>
    <w:rsid w:val="00E5289B"/>
    <w:rsid w:val="00E53404"/>
    <w:rsid w:val="00E5344F"/>
    <w:rsid w:val="00E538B1"/>
    <w:rsid w:val="00E5484A"/>
    <w:rsid w:val="00E548E3"/>
    <w:rsid w:val="00E569B6"/>
    <w:rsid w:val="00E6092F"/>
    <w:rsid w:val="00E62BA9"/>
    <w:rsid w:val="00E63058"/>
    <w:rsid w:val="00E63A72"/>
    <w:rsid w:val="00E63B1C"/>
    <w:rsid w:val="00E63D4A"/>
    <w:rsid w:val="00E64E96"/>
    <w:rsid w:val="00E65CB1"/>
    <w:rsid w:val="00E66174"/>
    <w:rsid w:val="00E724CF"/>
    <w:rsid w:val="00E72B0D"/>
    <w:rsid w:val="00E77344"/>
    <w:rsid w:val="00E81200"/>
    <w:rsid w:val="00E820A3"/>
    <w:rsid w:val="00E82104"/>
    <w:rsid w:val="00E832D7"/>
    <w:rsid w:val="00E83450"/>
    <w:rsid w:val="00E837CF"/>
    <w:rsid w:val="00E84255"/>
    <w:rsid w:val="00E84461"/>
    <w:rsid w:val="00E84CA1"/>
    <w:rsid w:val="00E86CD8"/>
    <w:rsid w:val="00E86DDC"/>
    <w:rsid w:val="00E908B7"/>
    <w:rsid w:val="00E90A02"/>
    <w:rsid w:val="00E91A1B"/>
    <w:rsid w:val="00E91E07"/>
    <w:rsid w:val="00E91F6D"/>
    <w:rsid w:val="00E9218D"/>
    <w:rsid w:val="00E92A90"/>
    <w:rsid w:val="00E92C05"/>
    <w:rsid w:val="00E9380A"/>
    <w:rsid w:val="00E94581"/>
    <w:rsid w:val="00E94A19"/>
    <w:rsid w:val="00E95790"/>
    <w:rsid w:val="00E97020"/>
    <w:rsid w:val="00E97E71"/>
    <w:rsid w:val="00E97F51"/>
    <w:rsid w:val="00EA0680"/>
    <w:rsid w:val="00EA3D7E"/>
    <w:rsid w:val="00EA421C"/>
    <w:rsid w:val="00EA4B38"/>
    <w:rsid w:val="00EA558A"/>
    <w:rsid w:val="00EA5FAB"/>
    <w:rsid w:val="00EA6C83"/>
    <w:rsid w:val="00EB0DA9"/>
    <w:rsid w:val="00EB27C8"/>
    <w:rsid w:val="00EB2A20"/>
    <w:rsid w:val="00EB3C20"/>
    <w:rsid w:val="00EB5202"/>
    <w:rsid w:val="00EB5D8B"/>
    <w:rsid w:val="00EB6D60"/>
    <w:rsid w:val="00EB7D4F"/>
    <w:rsid w:val="00EC00C2"/>
    <w:rsid w:val="00EC09BA"/>
    <w:rsid w:val="00EC1620"/>
    <w:rsid w:val="00EC1DC8"/>
    <w:rsid w:val="00EC1E8E"/>
    <w:rsid w:val="00EC2773"/>
    <w:rsid w:val="00EC4885"/>
    <w:rsid w:val="00EC50EA"/>
    <w:rsid w:val="00EC58BC"/>
    <w:rsid w:val="00EC5C20"/>
    <w:rsid w:val="00EC62FF"/>
    <w:rsid w:val="00EC6A86"/>
    <w:rsid w:val="00EC6BED"/>
    <w:rsid w:val="00EC7161"/>
    <w:rsid w:val="00EC755E"/>
    <w:rsid w:val="00ED02EC"/>
    <w:rsid w:val="00ED09CA"/>
    <w:rsid w:val="00ED25E0"/>
    <w:rsid w:val="00ED54D9"/>
    <w:rsid w:val="00ED7285"/>
    <w:rsid w:val="00EE0012"/>
    <w:rsid w:val="00EE24E7"/>
    <w:rsid w:val="00EE27F9"/>
    <w:rsid w:val="00EE30C8"/>
    <w:rsid w:val="00EE314F"/>
    <w:rsid w:val="00EE334D"/>
    <w:rsid w:val="00EE538A"/>
    <w:rsid w:val="00EE6324"/>
    <w:rsid w:val="00EE6DBB"/>
    <w:rsid w:val="00EE7458"/>
    <w:rsid w:val="00EF0C1C"/>
    <w:rsid w:val="00EF0E49"/>
    <w:rsid w:val="00EF119C"/>
    <w:rsid w:val="00EF2035"/>
    <w:rsid w:val="00EF3044"/>
    <w:rsid w:val="00EF3B26"/>
    <w:rsid w:val="00EF4109"/>
    <w:rsid w:val="00EF7586"/>
    <w:rsid w:val="00F005CC"/>
    <w:rsid w:val="00F008FE"/>
    <w:rsid w:val="00F00F0A"/>
    <w:rsid w:val="00F01F3C"/>
    <w:rsid w:val="00F025B0"/>
    <w:rsid w:val="00F027C0"/>
    <w:rsid w:val="00F03D66"/>
    <w:rsid w:val="00F04AEE"/>
    <w:rsid w:val="00F05274"/>
    <w:rsid w:val="00F07796"/>
    <w:rsid w:val="00F07E30"/>
    <w:rsid w:val="00F10510"/>
    <w:rsid w:val="00F10666"/>
    <w:rsid w:val="00F117C8"/>
    <w:rsid w:val="00F1212A"/>
    <w:rsid w:val="00F12340"/>
    <w:rsid w:val="00F12699"/>
    <w:rsid w:val="00F13F79"/>
    <w:rsid w:val="00F14DDA"/>
    <w:rsid w:val="00F15305"/>
    <w:rsid w:val="00F15980"/>
    <w:rsid w:val="00F15FA3"/>
    <w:rsid w:val="00F16895"/>
    <w:rsid w:val="00F17277"/>
    <w:rsid w:val="00F20947"/>
    <w:rsid w:val="00F211C3"/>
    <w:rsid w:val="00F21BE4"/>
    <w:rsid w:val="00F21D12"/>
    <w:rsid w:val="00F22900"/>
    <w:rsid w:val="00F253FE"/>
    <w:rsid w:val="00F258DE"/>
    <w:rsid w:val="00F26844"/>
    <w:rsid w:val="00F2698B"/>
    <w:rsid w:val="00F27A8F"/>
    <w:rsid w:val="00F27AF8"/>
    <w:rsid w:val="00F30380"/>
    <w:rsid w:val="00F30782"/>
    <w:rsid w:val="00F30D18"/>
    <w:rsid w:val="00F31680"/>
    <w:rsid w:val="00F31745"/>
    <w:rsid w:val="00F32587"/>
    <w:rsid w:val="00F32D92"/>
    <w:rsid w:val="00F32FA8"/>
    <w:rsid w:val="00F3311F"/>
    <w:rsid w:val="00F335AE"/>
    <w:rsid w:val="00F339EC"/>
    <w:rsid w:val="00F356E6"/>
    <w:rsid w:val="00F37357"/>
    <w:rsid w:val="00F37C4D"/>
    <w:rsid w:val="00F37E53"/>
    <w:rsid w:val="00F41061"/>
    <w:rsid w:val="00F418B5"/>
    <w:rsid w:val="00F41B4A"/>
    <w:rsid w:val="00F42036"/>
    <w:rsid w:val="00F42520"/>
    <w:rsid w:val="00F42604"/>
    <w:rsid w:val="00F43478"/>
    <w:rsid w:val="00F43558"/>
    <w:rsid w:val="00F43576"/>
    <w:rsid w:val="00F43A0F"/>
    <w:rsid w:val="00F43C25"/>
    <w:rsid w:val="00F446A9"/>
    <w:rsid w:val="00F44BFB"/>
    <w:rsid w:val="00F44E8A"/>
    <w:rsid w:val="00F4543D"/>
    <w:rsid w:val="00F45FB8"/>
    <w:rsid w:val="00F46655"/>
    <w:rsid w:val="00F467E5"/>
    <w:rsid w:val="00F468C6"/>
    <w:rsid w:val="00F468EB"/>
    <w:rsid w:val="00F46CE1"/>
    <w:rsid w:val="00F479CA"/>
    <w:rsid w:val="00F5058A"/>
    <w:rsid w:val="00F50B18"/>
    <w:rsid w:val="00F5167D"/>
    <w:rsid w:val="00F524B0"/>
    <w:rsid w:val="00F549E4"/>
    <w:rsid w:val="00F55EBA"/>
    <w:rsid w:val="00F575C2"/>
    <w:rsid w:val="00F60604"/>
    <w:rsid w:val="00F60B78"/>
    <w:rsid w:val="00F60B97"/>
    <w:rsid w:val="00F60E3F"/>
    <w:rsid w:val="00F6261C"/>
    <w:rsid w:val="00F6274D"/>
    <w:rsid w:val="00F6351B"/>
    <w:rsid w:val="00F63A3A"/>
    <w:rsid w:val="00F64C55"/>
    <w:rsid w:val="00F64CD2"/>
    <w:rsid w:val="00F64F7F"/>
    <w:rsid w:val="00F66667"/>
    <w:rsid w:val="00F67A78"/>
    <w:rsid w:val="00F706F6"/>
    <w:rsid w:val="00F715CB"/>
    <w:rsid w:val="00F7201C"/>
    <w:rsid w:val="00F723A8"/>
    <w:rsid w:val="00F72532"/>
    <w:rsid w:val="00F72A03"/>
    <w:rsid w:val="00F73FC0"/>
    <w:rsid w:val="00F7427A"/>
    <w:rsid w:val="00F75173"/>
    <w:rsid w:val="00F80021"/>
    <w:rsid w:val="00F80247"/>
    <w:rsid w:val="00F80537"/>
    <w:rsid w:val="00F819C9"/>
    <w:rsid w:val="00F81DF8"/>
    <w:rsid w:val="00F82182"/>
    <w:rsid w:val="00F837DF"/>
    <w:rsid w:val="00F84431"/>
    <w:rsid w:val="00F8469B"/>
    <w:rsid w:val="00F8527A"/>
    <w:rsid w:val="00F8536A"/>
    <w:rsid w:val="00F85957"/>
    <w:rsid w:val="00F864CE"/>
    <w:rsid w:val="00F86BC8"/>
    <w:rsid w:val="00F87663"/>
    <w:rsid w:val="00F91241"/>
    <w:rsid w:val="00F924CD"/>
    <w:rsid w:val="00F92D84"/>
    <w:rsid w:val="00F9314C"/>
    <w:rsid w:val="00F933AA"/>
    <w:rsid w:val="00F93D5D"/>
    <w:rsid w:val="00F93FFA"/>
    <w:rsid w:val="00F967A0"/>
    <w:rsid w:val="00F96C25"/>
    <w:rsid w:val="00F96E73"/>
    <w:rsid w:val="00F97ACE"/>
    <w:rsid w:val="00FA4284"/>
    <w:rsid w:val="00FA4CA4"/>
    <w:rsid w:val="00FA4D98"/>
    <w:rsid w:val="00FB0600"/>
    <w:rsid w:val="00FB0D4D"/>
    <w:rsid w:val="00FB1A3E"/>
    <w:rsid w:val="00FB1A9A"/>
    <w:rsid w:val="00FB4957"/>
    <w:rsid w:val="00FB5829"/>
    <w:rsid w:val="00FC2779"/>
    <w:rsid w:val="00FC2CDC"/>
    <w:rsid w:val="00FC3457"/>
    <w:rsid w:val="00FC3B79"/>
    <w:rsid w:val="00FC3DBE"/>
    <w:rsid w:val="00FC4C31"/>
    <w:rsid w:val="00FC4D29"/>
    <w:rsid w:val="00FC5328"/>
    <w:rsid w:val="00FC54E4"/>
    <w:rsid w:val="00FC6062"/>
    <w:rsid w:val="00FC651A"/>
    <w:rsid w:val="00FC68F2"/>
    <w:rsid w:val="00FC7CFF"/>
    <w:rsid w:val="00FC7E22"/>
    <w:rsid w:val="00FD0FBD"/>
    <w:rsid w:val="00FD2B16"/>
    <w:rsid w:val="00FD38BA"/>
    <w:rsid w:val="00FD4909"/>
    <w:rsid w:val="00FE0278"/>
    <w:rsid w:val="00FE0283"/>
    <w:rsid w:val="00FE186E"/>
    <w:rsid w:val="00FE1FAF"/>
    <w:rsid w:val="00FE259B"/>
    <w:rsid w:val="00FE5A8F"/>
    <w:rsid w:val="00FE6FF0"/>
    <w:rsid w:val="00FE7303"/>
    <w:rsid w:val="00FE7777"/>
    <w:rsid w:val="00FE78D9"/>
    <w:rsid w:val="00FE79A6"/>
    <w:rsid w:val="00FF082E"/>
    <w:rsid w:val="00FF29BF"/>
    <w:rsid w:val="00FF32D3"/>
    <w:rsid w:val="00FF5157"/>
    <w:rsid w:val="00FF69D6"/>
    <w:rsid w:val="00FF7804"/>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C41018B"/>
  <w15:docId w15:val="{7E0D8D43-4614-414F-83CB-C8C5554FB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843E6"/>
    <w:pPr>
      <w:pBdr>
        <w:top w:val="none" w:sz="0" w:space="0" w:color="auto"/>
        <w:left w:val="none" w:sz="0" w:space="0" w:color="auto"/>
        <w:bottom w:val="none" w:sz="0" w:space="0" w:color="auto"/>
        <w:right w:val="none" w:sz="0" w:space="0" w:color="auto"/>
        <w:between w:val="none" w:sz="0" w:space="0" w:color="auto"/>
        <w:bar w:val="none" w:sz="0" w:color="auto"/>
      </w:pBdr>
    </w:pPr>
    <w:rPr>
      <w:rFonts w:eastAsiaTheme="minorHAnsi"/>
      <w:sz w:val="24"/>
      <w:szCs w:val="24"/>
      <w:bdr w:val="none" w:sz="0" w:space="0" w:color="auto"/>
    </w:rPr>
  </w:style>
  <w:style w:type="paragraph" w:styleId="Heading1">
    <w:name w:val="heading 1"/>
    <w:aliases w:val=" 1, 2, 11,TCI 1.  Heading,1,11"/>
    <w:basedOn w:val="Normal"/>
    <w:next w:val="Normal"/>
    <w:link w:val="Heading1Char"/>
    <w:uiPriority w:val="9"/>
    <w:qFormat/>
    <w:rsid w:val="008A25C8"/>
    <w:pPr>
      <w:keepNext/>
      <w:numPr>
        <w:numId w:val="41"/>
      </w:numPr>
      <w:pBdr>
        <w:top w:val="single" w:sz="4" w:space="1" w:color="auto"/>
      </w:pBdr>
      <w:suppressAutoHyphens/>
      <w:spacing w:before="104" w:after="226"/>
      <w:jc w:val="both"/>
      <w:outlineLvl w:val="0"/>
    </w:pPr>
    <w:rPr>
      <w:rFonts w:ascii="Century Gothic" w:eastAsia="SimSun" w:hAnsi="Century Gothic"/>
      <w:b/>
      <w:smallCaps/>
      <w:spacing w:val="-2"/>
      <w:sz w:val="28"/>
      <w:szCs w:val="20"/>
      <w:lang w:val="en-US" w:eastAsia="en-US"/>
    </w:rPr>
  </w:style>
  <w:style w:type="paragraph" w:styleId="Heading2">
    <w:name w:val="heading 2"/>
    <w:next w:val="Body"/>
    <w:link w:val="Heading2Char1"/>
    <w:uiPriority w:val="9"/>
    <w:qFormat/>
    <w:pPr>
      <w:keepNext/>
      <w:spacing w:after="60"/>
      <w:ind w:left="720"/>
      <w:jc w:val="both"/>
      <w:outlineLvl w:val="1"/>
    </w:pPr>
    <w:rPr>
      <w:rFonts w:ascii="Arial Narrow" w:eastAsia="Arial Narrow" w:hAnsi="Arial Narrow" w:cs="Arial Narrow"/>
      <w:b/>
      <w:bCs/>
      <w:color w:val="000000"/>
      <w:u w:color="000000"/>
    </w:rPr>
  </w:style>
  <w:style w:type="paragraph" w:styleId="Heading3">
    <w:name w:val="heading 3"/>
    <w:aliases w:val=" Centered,Centered, centered,centered"/>
    <w:next w:val="Body"/>
    <w:link w:val="Heading3Char"/>
    <w:uiPriority w:val="9"/>
    <w:qFormat/>
    <w:pPr>
      <w:keepNext/>
      <w:widowControl w:val="0"/>
      <w:tabs>
        <w:tab w:val="left" w:pos="2160"/>
        <w:tab w:val="left" w:pos="9360"/>
      </w:tabs>
      <w:spacing w:after="60"/>
      <w:jc w:val="both"/>
      <w:outlineLvl w:val="2"/>
    </w:pPr>
    <w:rPr>
      <w:rFonts w:ascii="Courier" w:eastAsia="Courier" w:hAnsi="Courier" w:cs="Courier"/>
      <w:b/>
      <w:bCs/>
      <w:color w:val="000000"/>
      <w:sz w:val="28"/>
      <w:szCs w:val="28"/>
      <w:u w:color="000000"/>
    </w:rPr>
  </w:style>
  <w:style w:type="paragraph" w:styleId="Heading4">
    <w:name w:val="heading 4"/>
    <w:aliases w:val="Centred"/>
    <w:next w:val="Body"/>
    <w:link w:val="Heading4Char"/>
    <w:uiPriority w:val="9"/>
    <w:qFormat/>
    <w:pPr>
      <w:keepNext/>
      <w:widowControl w:val="0"/>
      <w:spacing w:after="540"/>
      <w:ind w:left="116"/>
      <w:jc w:val="both"/>
      <w:outlineLvl w:val="3"/>
    </w:pPr>
    <w:rPr>
      <w:rFonts w:ascii="Calibri" w:eastAsia="Calibri" w:hAnsi="Calibri" w:cs="Calibri"/>
      <w:b/>
      <w:bCs/>
      <w:color w:val="000000"/>
      <w:spacing w:val="15"/>
      <w:sz w:val="28"/>
      <w:szCs w:val="28"/>
      <w:u w:color="000000"/>
      <w:lang w:val="en-US"/>
    </w:rPr>
  </w:style>
  <w:style w:type="paragraph" w:styleId="Heading5">
    <w:name w:val="heading 5"/>
    <w:aliases w:val=" Side,Side"/>
    <w:next w:val="Body"/>
    <w:link w:val="Heading5Char"/>
    <w:uiPriority w:val="99"/>
    <w:qFormat/>
    <w:pPr>
      <w:keepNext/>
      <w:pBdr>
        <w:top w:val="single" w:sz="4" w:space="0" w:color="000000"/>
        <w:left w:val="single" w:sz="4" w:space="0" w:color="000000"/>
        <w:bottom w:val="single" w:sz="4" w:space="0" w:color="000000"/>
        <w:right w:val="single" w:sz="4" w:space="0" w:color="000000"/>
      </w:pBdr>
      <w:spacing w:before="120" w:after="120"/>
      <w:jc w:val="center"/>
      <w:outlineLvl w:val="4"/>
    </w:pPr>
    <w:rPr>
      <w:rFonts w:ascii="Calibri" w:eastAsia="Calibri" w:hAnsi="Calibri" w:cs="Calibri"/>
      <w:b/>
      <w:bCs/>
      <w:color w:val="000000"/>
      <w:sz w:val="24"/>
      <w:szCs w:val="24"/>
      <w:u w:color="000000"/>
      <w:lang w:val="en-US"/>
    </w:rPr>
  </w:style>
  <w:style w:type="paragraph" w:styleId="Heading6">
    <w:name w:val="heading 6"/>
    <w:basedOn w:val="Normal"/>
    <w:next w:val="Normal"/>
    <w:link w:val="Heading6Char"/>
    <w:uiPriority w:val="99"/>
    <w:qFormat/>
    <w:rsid w:val="00EB0DA9"/>
    <w:pPr>
      <w:spacing w:before="240" w:after="60"/>
      <w:jc w:val="both"/>
      <w:outlineLvl w:val="5"/>
    </w:pPr>
    <w:rPr>
      <w:rFonts w:ascii="Arial" w:eastAsia="Times New Roman" w:hAnsi="Arial"/>
      <w:i/>
      <w:sz w:val="22"/>
      <w:lang w:eastAsia="en-US"/>
    </w:rPr>
  </w:style>
  <w:style w:type="paragraph" w:styleId="Heading7">
    <w:name w:val="heading 7"/>
    <w:basedOn w:val="Normal"/>
    <w:next w:val="Normal"/>
    <w:link w:val="Heading7Char"/>
    <w:uiPriority w:val="99"/>
    <w:qFormat/>
    <w:rsid w:val="00EB0DA9"/>
    <w:pPr>
      <w:spacing w:before="240" w:after="60"/>
      <w:ind w:left="1134"/>
      <w:jc w:val="both"/>
      <w:outlineLvl w:val="6"/>
    </w:pPr>
    <w:rPr>
      <w:rFonts w:ascii="Arial" w:eastAsia="Times New Roman" w:hAnsi="Arial"/>
      <w:sz w:val="20"/>
      <w:lang w:eastAsia="en-US"/>
    </w:rPr>
  </w:style>
  <w:style w:type="paragraph" w:styleId="Heading8">
    <w:name w:val="heading 8"/>
    <w:basedOn w:val="Normal"/>
    <w:next w:val="Normal"/>
    <w:link w:val="Heading8Char"/>
    <w:uiPriority w:val="99"/>
    <w:unhideWhenUsed/>
    <w:qFormat/>
    <w:rsid w:val="008A25C8"/>
    <w:pPr>
      <w:spacing w:before="240" w:after="60"/>
      <w:jc w:val="both"/>
      <w:outlineLvl w:val="7"/>
    </w:pPr>
    <w:rPr>
      <w:rFonts w:ascii="Calibri" w:eastAsia="SimSun" w:hAnsi="Calibri"/>
      <w:i/>
      <w:iCs/>
      <w:lang w:val="en-US" w:eastAsia="en-US"/>
    </w:rPr>
  </w:style>
  <w:style w:type="paragraph" w:styleId="Heading9">
    <w:name w:val="heading 9"/>
    <w:basedOn w:val="Normal"/>
    <w:next w:val="Normal"/>
    <w:link w:val="Heading9Char"/>
    <w:uiPriority w:val="99"/>
    <w:qFormat/>
    <w:rsid w:val="00EB0DA9"/>
    <w:pPr>
      <w:spacing w:before="240" w:after="60"/>
      <w:ind w:left="1134"/>
      <w:jc w:val="both"/>
      <w:outlineLvl w:val="8"/>
    </w:pPr>
    <w:rPr>
      <w:rFonts w:ascii="Arial" w:eastAsia="Times New Roman" w:hAnsi="Arial"/>
      <w:i/>
      <w:sz w:val="1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u w:val="single"/>
    </w:rPr>
  </w:style>
  <w:style w:type="paragraph" w:styleId="Header">
    <w:name w:val="header"/>
    <w:link w:val="HeaderChar"/>
    <w:uiPriority w:val="99"/>
    <w:pPr>
      <w:tabs>
        <w:tab w:val="center" w:pos="4153"/>
        <w:tab w:val="right" w:pos="8306"/>
      </w:tabs>
      <w:spacing w:after="60"/>
      <w:jc w:val="both"/>
    </w:pPr>
    <w:rPr>
      <w:rFonts w:ascii="Calibri" w:eastAsia="Calibri" w:hAnsi="Calibri" w:cs="Calibri"/>
      <w:color w:val="000000"/>
      <w:u w:color="000000"/>
      <w:lang w:val="en-US"/>
    </w:rPr>
  </w:style>
  <w:style w:type="paragraph" w:styleId="Caption">
    <w:name w:val="caption"/>
    <w:uiPriority w:val="35"/>
    <w:qFormat/>
    <w:pPr>
      <w:suppressAutoHyphens/>
      <w:outlineLvl w:val="0"/>
    </w:pPr>
    <w:rPr>
      <w:rFonts w:ascii="Calibri" w:eastAsia="Calibri" w:hAnsi="Calibri" w:cs="Calibri"/>
      <w:color w:val="000000"/>
      <w:sz w:val="36"/>
      <w:szCs w:val="36"/>
      <w:lang w:val="de-DE"/>
    </w:rPr>
  </w:style>
  <w:style w:type="paragraph" w:styleId="Footer">
    <w:name w:val="footer"/>
    <w:link w:val="FooterChar"/>
    <w:uiPriority w:val="99"/>
    <w:pPr>
      <w:tabs>
        <w:tab w:val="center" w:pos="4153"/>
        <w:tab w:val="right" w:pos="8306"/>
      </w:tabs>
      <w:spacing w:after="60"/>
      <w:jc w:val="both"/>
    </w:pPr>
    <w:rPr>
      <w:rFonts w:ascii="Calibri" w:eastAsia="Calibri" w:hAnsi="Calibri" w:cs="Calibri"/>
      <w:color w:val="000000"/>
      <w:u w:color="000000"/>
      <w:lang w:val="en-US"/>
    </w:rPr>
  </w:style>
  <w:style w:type="paragraph" w:customStyle="1" w:styleId="Body">
    <w:name w:val="Body"/>
    <w:pPr>
      <w:spacing w:after="60"/>
      <w:jc w:val="both"/>
    </w:pPr>
    <w:rPr>
      <w:rFonts w:ascii="Calibri" w:eastAsia="Calibri" w:hAnsi="Calibri" w:cs="Calibri"/>
      <w:color w:val="000000"/>
      <w:u w:color="000000"/>
    </w:rPr>
  </w:style>
  <w:style w:type="paragraph" w:styleId="ListParagraph">
    <w:name w:val="List Paragraph"/>
    <w:aliases w:val="Titulo 4,Bullets,Paragraphe de liste1,ADB paragraph numbering,List Paragraph1,Colorful List - Accent 11,Paragraphe de liste 1,NULLETS 2,• List Paragraph,List Paragraph (numbered (a)),References,ReferencesCxSpLast,Párrafo de lista,WB Para"/>
    <w:link w:val="ListParagraphChar"/>
    <w:uiPriority w:val="34"/>
    <w:qFormat/>
    <w:pPr>
      <w:ind w:left="720"/>
    </w:pPr>
    <w:rPr>
      <w:rFonts w:cs="Arial Unicode MS"/>
      <w:color w:val="000000"/>
      <w:sz w:val="24"/>
      <w:szCs w:val="24"/>
      <w:u w:color="000000"/>
      <w:lang w:val="en-US"/>
    </w:rPr>
  </w:style>
  <w:style w:type="paragraph" w:styleId="TOCHeading">
    <w:name w:val="TOC Heading"/>
    <w:next w:val="Body"/>
    <w:uiPriority w:val="39"/>
    <w:qFormat/>
    <w:pPr>
      <w:keepNext/>
      <w:keepLines/>
      <w:tabs>
        <w:tab w:val="left" w:pos="720"/>
      </w:tabs>
      <w:spacing w:before="480" w:line="276" w:lineRule="auto"/>
    </w:pPr>
    <w:rPr>
      <w:rFonts w:ascii="Cambria" w:eastAsia="Cambria" w:hAnsi="Cambria" w:cs="Cambria"/>
      <w:b/>
      <w:bCs/>
      <w:color w:val="365F91"/>
      <w:sz w:val="28"/>
      <w:szCs w:val="28"/>
      <w:u w:color="365F91"/>
      <w:lang w:val="en-US"/>
    </w:rPr>
  </w:style>
  <w:style w:type="paragraph" w:customStyle="1" w:styleId="Heading">
    <w:name w:val="Heading"/>
    <w:next w:val="Body"/>
    <w:pPr>
      <w:keepNext/>
      <w:pBdr>
        <w:top w:val="single" w:sz="4" w:space="0" w:color="000000"/>
      </w:pBdr>
      <w:tabs>
        <w:tab w:val="left" w:pos="720"/>
      </w:tabs>
      <w:suppressAutoHyphens/>
      <w:spacing w:before="104" w:after="226"/>
      <w:jc w:val="both"/>
      <w:outlineLvl w:val="3"/>
    </w:pPr>
    <w:rPr>
      <w:rFonts w:ascii="Century Gothic" w:eastAsia="Century Gothic" w:hAnsi="Century Gothic" w:cs="Century Gothic"/>
      <w:b/>
      <w:bCs/>
      <w:smallCaps/>
      <w:color w:val="000000"/>
      <w:spacing w:val="-2"/>
      <w:sz w:val="28"/>
      <w:szCs w:val="28"/>
      <w:u w:color="000000"/>
    </w:rPr>
  </w:style>
  <w:style w:type="numbering" w:customStyle="1" w:styleId="ImportedStyle1">
    <w:name w:val="Imported Style 1"/>
    <w:pPr>
      <w:numPr>
        <w:numId w:val="1"/>
      </w:numPr>
    </w:pPr>
  </w:style>
  <w:style w:type="paragraph" w:styleId="TOC2">
    <w:name w:val="toc 2"/>
    <w:uiPriority w:val="39"/>
    <w:pPr>
      <w:tabs>
        <w:tab w:val="right" w:leader="dot" w:pos="9000"/>
      </w:tabs>
      <w:spacing w:after="60"/>
      <w:ind w:left="220"/>
      <w:jc w:val="both"/>
    </w:pPr>
    <w:rPr>
      <w:rFonts w:ascii="Calibri" w:eastAsia="Calibri" w:hAnsi="Calibri" w:cs="Calibri"/>
      <w:color w:val="000000"/>
      <w:u w:color="000000"/>
      <w:lang w:val="en-US"/>
    </w:rPr>
  </w:style>
  <w:style w:type="paragraph" w:styleId="TOC3">
    <w:name w:val="toc 3"/>
    <w:uiPriority w:val="39"/>
    <w:pPr>
      <w:tabs>
        <w:tab w:val="right" w:leader="dot" w:pos="9000"/>
      </w:tabs>
      <w:spacing w:after="60"/>
      <w:ind w:left="400"/>
      <w:jc w:val="both"/>
    </w:pPr>
    <w:rPr>
      <w:rFonts w:ascii="Calibri" w:eastAsia="Calibri" w:hAnsi="Calibri" w:cs="Calibri"/>
      <w:color w:val="000000"/>
      <w:u w:color="000000"/>
      <w:lang w:val="en-US"/>
    </w:rPr>
  </w:style>
  <w:style w:type="paragraph" w:styleId="TOC4">
    <w:name w:val="toc 4"/>
    <w:uiPriority w:val="39"/>
    <w:pPr>
      <w:tabs>
        <w:tab w:val="left" w:pos="540"/>
        <w:tab w:val="right" w:leader="dot" w:pos="9000"/>
      </w:tabs>
      <w:spacing w:after="60"/>
      <w:jc w:val="both"/>
    </w:pPr>
    <w:rPr>
      <w:rFonts w:ascii="Calibri" w:eastAsia="Calibri" w:hAnsi="Calibri" w:cs="Calibri"/>
      <w:color w:val="000000"/>
      <w:u w:color="000000"/>
      <w:lang w:val="en-US"/>
    </w:rPr>
  </w:style>
  <w:style w:type="paragraph" w:styleId="TOC5">
    <w:name w:val="toc 5"/>
    <w:uiPriority w:val="39"/>
    <w:pPr>
      <w:tabs>
        <w:tab w:val="left" w:pos="540"/>
        <w:tab w:val="right" w:leader="dot" w:pos="9000"/>
      </w:tabs>
      <w:spacing w:after="100" w:line="259" w:lineRule="auto"/>
      <w:ind w:left="660"/>
    </w:pPr>
    <w:rPr>
      <w:rFonts w:ascii="Calibri" w:eastAsia="Calibri" w:hAnsi="Calibri" w:cs="Calibri"/>
      <w:color w:val="000000"/>
      <w:sz w:val="22"/>
      <w:szCs w:val="22"/>
      <w:u w:color="000000"/>
      <w:lang w:val="en-US"/>
    </w:rPr>
  </w:style>
  <w:style w:type="paragraph" w:styleId="TOC6">
    <w:name w:val="toc 6"/>
    <w:uiPriority w:val="39"/>
    <w:pPr>
      <w:tabs>
        <w:tab w:val="left" w:pos="540"/>
        <w:tab w:val="right" w:leader="dot" w:pos="9000"/>
      </w:tabs>
      <w:spacing w:after="160" w:line="259" w:lineRule="auto"/>
    </w:pPr>
    <w:rPr>
      <w:rFonts w:ascii="Calibri" w:eastAsia="Calibri" w:hAnsi="Calibri" w:cs="Calibri"/>
      <w:color w:val="000000"/>
      <w:sz w:val="22"/>
      <w:szCs w:val="22"/>
    </w:rPr>
  </w:style>
  <w:style w:type="numbering" w:customStyle="1" w:styleId="ImportedStyle3">
    <w:name w:val="Imported Style 3"/>
    <w:pPr>
      <w:numPr>
        <w:numId w:val="2"/>
      </w:numPr>
    </w:pPr>
  </w:style>
  <w:style w:type="paragraph" w:styleId="FootnoteText">
    <w:name w:val="footnote text"/>
    <w:aliases w:val="Geneva 9,Font: Geneva 9,Boston 10,f,FOOTNOTES,fn,single space,Footnote Text Char1,Footnote Text Char Char,Char,Char Char,Char Char Char Char,Char Char Char Char Char Char,Char Char2,Char Char21,Char Char211,ft,otnote Text,Footnote"/>
    <w:link w:val="FootnoteTextChar"/>
    <w:uiPriority w:val="99"/>
    <w:qFormat/>
    <w:pPr>
      <w:widowControl w:val="0"/>
      <w:spacing w:after="60"/>
      <w:jc w:val="both"/>
    </w:pPr>
    <w:rPr>
      <w:rFonts w:ascii="Courier" w:eastAsia="Courier" w:hAnsi="Courier" w:cs="Courier"/>
      <w:color w:val="000000"/>
      <w:u w:color="000000"/>
      <w:lang w:val="en-US"/>
    </w:rPr>
  </w:style>
  <w:style w:type="character" w:customStyle="1" w:styleId="None">
    <w:name w:val="None"/>
  </w:style>
  <w:style w:type="character" w:customStyle="1" w:styleId="Hyperlink0">
    <w:name w:val="Hyperlink.0"/>
    <w:basedOn w:val="None"/>
    <w:rPr>
      <w:rFonts w:ascii="Trebuchet MS" w:eastAsia="Trebuchet MS" w:hAnsi="Trebuchet MS" w:cs="Trebuchet MS"/>
      <w:color w:val="000000"/>
      <w:u w:color="000000"/>
    </w:rPr>
  </w:style>
  <w:style w:type="character" w:customStyle="1" w:styleId="Hyperlink1">
    <w:name w:val="Hyperlink.1"/>
    <w:basedOn w:val="None"/>
    <w:rPr>
      <w:rFonts w:ascii="Calibri" w:eastAsia="Calibri" w:hAnsi="Calibri" w:cs="Calibri"/>
      <w:sz w:val="18"/>
      <w:szCs w:val="18"/>
      <w:lang w:val="es-ES_tradnl"/>
    </w:rPr>
  </w:style>
  <w:style w:type="character" w:customStyle="1" w:styleId="Hyperlink2">
    <w:name w:val="Hyperlink.2"/>
    <w:basedOn w:val="None"/>
    <w:rPr>
      <w:color w:val="000000"/>
      <w:u w:color="000000"/>
    </w:rPr>
  </w:style>
  <w:style w:type="character" w:customStyle="1" w:styleId="Hyperlink3">
    <w:name w:val="Hyperlink.3"/>
    <w:basedOn w:val="None"/>
    <w:rPr>
      <w:color w:val="000000"/>
      <w:u w:color="000000"/>
      <w:lang w:val="en-US"/>
    </w:rPr>
  </w:style>
  <w:style w:type="numbering" w:customStyle="1" w:styleId="ImportedStyle4">
    <w:name w:val="Imported Style 4"/>
    <w:pPr>
      <w:numPr>
        <w:numId w:val="4"/>
      </w:numPr>
    </w:pPr>
  </w:style>
  <w:style w:type="paragraph" w:customStyle="1" w:styleId="Default">
    <w:name w:val="Default"/>
    <w:pPr>
      <w:jc w:val="both"/>
    </w:pPr>
    <w:rPr>
      <w:rFonts w:ascii="Arial" w:eastAsia="Arial" w:hAnsi="Arial" w:cs="Arial"/>
      <w:color w:val="000000"/>
      <w:sz w:val="24"/>
      <w:szCs w:val="24"/>
      <w:u w:color="000000"/>
      <w:lang w:val="en-US"/>
    </w:rPr>
  </w:style>
  <w:style w:type="character" w:customStyle="1" w:styleId="Link">
    <w:name w:val="Link"/>
    <w:rPr>
      <w:color w:val="0000FF"/>
      <w:u w:val="single" w:color="0000FF"/>
    </w:rPr>
  </w:style>
  <w:style w:type="character" w:customStyle="1" w:styleId="Hyperlink4">
    <w:name w:val="Hyperlink.4"/>
    <w:basedOn w:val="Link"/>
    <w:rPr>
      <w:rFonts w:ascii="Calibri" w:eastAsia="Calibri" w:hAnsi="Calibri" w:cs="Calibri"/>
      <w:color w:val="0000FF"/>
      <w:sz w:val="18"/>
      <w:szCs w:val="18"/>
      <w:u w:val="single" w:color="0000FF"/>
      <w:lang w:val="es-ES_tradnl"/>
    </w:rPr>
  </w:style>
  <w:style w:type="character" w:customStyle="1" w:styleId="Hyperlink5">
    <w:name w:val="Hyperlink.5"/>
    <w:basedOn w:val="Hyperlink"/>
    <w:rPr>
      <w:u w:val="single"/>
    </w:rPr>
  </w:style>
  <w:style w:type="numbering" w:customStyle="1" w:styleId="ImportedStyle5">
    <w:name w:val="Imported Style 5"/>
    <w:pPr>
      <w:numPr>
        <w:numId w:val="5"/>
      </w:numPr>
    </w:pPr>
  </w:style>
  <w:style w:type="character" w:customStyle="1" w:styleId="Hyperlink6">
    <w:name w:val="Hyperlink.6"/>
    <w:basedOn w:val="Hyperlink"/>
    <w:rPr>
      <w:u w:val="single"/>
    </w:rPr>
  </w:style>
  <w:style w:type="character" w:customStyle="1" w:styleId="Hyperlink7">
    <w:name w:val="Hyperlink.7"/>
    <w:basedOn w:val="Hyperlink"/>
    <w:rPr>
      <w:u w:val="single"/>
    </w:rPr>
  </w:style>
  <w:style w:type="character" w:customStyle="1" w:styleId="Hyperlink8">
    <w:name w:val="Hyperlink.8"/>
    <w:basedOn w:val="None"/>
    <w:rPr>
      <w:lang w:val="en-US"/>
    </w:rPr>
  </w:style>
  <w:style w:type="numbering" w:customStyle="1" w:styleId="ImportedStyle6">
    <w:name w:val="Imported Style 6"/>
    <w:pPr>
      <w:numPr>
        <w:numId w:val="6"/>
      </w:numPr>
    </w:pPr>
  </w:style>
  <w:style w:type="character" w:customStyle="1" w:styleId="Hyperlink9">
    <w:name w:val="Hyperlink.9"/>
    <w:basedOn w:val="Hyperlink"/>
    <w:rPr>
      <w:u w:val="single"/>
    </w:rPr>
  </w:style>
  <w:style w:type="character" w:customStyle="1" w:styleId="Hyperlink10">
    <w:name w:val="Hyperlink.10"/>
    <w:basedOn w:val="None"/>
    <w:rPr>
      <w:sz w:val="18"/>
      <w:szCs w:val="18"/>
    </w:rPr>
  </w:style>
  <w:style w:type="paragraph" w:styleId="NormalWeb">
    <w:name w:val="Normal (Web)"/>
    <w:aliases w:val=" webb,webb"/>
    <w:uiPriority w:val="99"/>
    <w:pPr>
      <w:spacing w:before="100" w:after="100"/>
      <w:jc w:val="both"/>
    </w:pPr>
    <w:rPr>
      <w:rFonts w:cs="Arial Unicode MS"/>
      <w:color w:val="000000"/>
      <w:sz w:val="24"/>
      <w:szCs w:val="24"/>
      <w:u w:color="000000"/>
      <w:lang w:val="en-US"/>
    </w:rPr>
  </w:style>
  <w:style w:type="paragraph" w:styleId="CommentText">
    <w:name w:val="annotation text"/>
    <w:link w:val="CommentTextChar1"/>
    <w:uiPriority w:val="99"/>
    <w:pPr>
      <w:spacing w:after="60"/>
      <w:jc w:val="both"/>
    </w:pPr>
    <w:rPr>
      <w:rFonts w:ascii="Calibri" w:eastAsia="Calibri" w:hAnsi="Calibri" w:cs="Calibri"/>
      <w:color w:val="000000"/>
      <w:u w:color="000000"/>
      <w:lang w:val="en-US"/>
    </w:rPr>
  </w:style>
  <w:style w:type="character" w:customStyle="1" w:styleId="Hyperlink11">
    <w:name w:val="Hyperlink.11"/>
    <w:basedOn w:val="None"/>
    <w:rPr>
      <w:rFonts w:ascii="Trebuchet MS" w:eastAsia="Trebuchet MS" w:hAnsi="Trebuchet MS" w:cs="Trebuchet MS"/>
    </w:rPr>
  </w:style>
  <w:style w:type="character" w:customStyle="1" w:styleId="Hyperlink12">
    <w:name w:val="Hyperlink.12"/>
    <w:basedOn w:val="Hyperlink"/>
    <w:rPr>
      <w:u w:val="single"/>
    </w:rPr>
  </w:style>
  <w:style w:type="character" w:customStyle="1" w:styleId="Hyperlink13">
    <w:name w:val="Hyperlink.13"/>
    <w:basedOn w:val="Hyperlink"/>
    <w:rPr>
      <w:u w:val="single"/>
    </w:rPr>
  </w:style>
  <w:style w:type="character" w:customStyle="1" w:styleId="Hyperlink14">
    <w:name w:val="Hyperlink.14"/>
    <w:basedOn w:val="None"/>
    <w:rPr>
      <w:rFonts w:ascii="Trebuchet MS" w:eastAsia="Trebuchet MS" w:hAnsi="Trebuchet MS" w:cs="Trebuchet MS"/>
      <w:i/>
      <w:iCs/>
      <w:spacing w:val="0"/>
      <w:sz w:val="20"/>
      <w:szCs w:val="20"/>
    </w:rPr>
  </w:style>
  <w:style w:type="character" w:customStyle="1" w:styleId="Hyperlink15">
    <w:name w:val="Hyperlink.15"/>
    <w:basedOn w:val="Hyperlink"/>
    <w:rPr>
      <w:u w:val="single"/>
    </w:rPr>
  </w:style>
  <w:style w:type="character" w:customStyle="1" w:styleId="Hyperlink16">
    <w:name w:val="Hyperlink.16"/>
    <w:basedOn w:val="None"/>
    <w:rPr>
      <w:rFonts w:ascii="Trebuchet MS" w:eastAsia="Trebuchet MS" w:hAnsi="Trebuchet MS" w:cs="Trebuchet MS"/>
      <w:i/>
      <w:iCs/>
      <w:sz w:val="20"/>
      <w:szCs w:val="20"/>
      <w:lang w:val="es-ES_tradnl"/>
    </w:rPr>
  </w:style>
  <w:style w:type="character" w:customStyle="1" w:styleId="Hyperlink17">
    <w:name w:val="Hyperlink.17"/>
    <w:basedOn w:val="Hyperlink"/>
    <w:rPr>
      <w:u w:val="single"/>
    </w:rPr>
  </w:style>
  <w:style w:type="character" w:customStyle="1" w:styleId="Hyperlink18">
    <w:name w:val="Hyperlink.18"/>
    <w:basedOn w:val="None"/>
    <w:rPr>
      <w:rFonts w:ascii="Calibri" w:eastAsia="Calibri" w:hAnsi="Calibri" w:cs="Calibri"/>
      <w:sz w:val="18"/>
      <w:szCs w:val="18"/>
      <w:lang w:val="en-US"/>
    </w:rPr>
  </w:style>
  <w:style w:type="character" w:customStyle="1" w:styleId="Hyperlink19">
    <w:name w:val="Hyperlink.19"/>
    <w:basedOn w:val="None"/>
    <w:rPr>
      <w:rFonts w:ascii="Trebuchet MS" w:eastAsia="Trebuchet MS" w:hAnsi="Trebuchet MS" w:cs="Trebuchet MS"/>
      <w:b/>
      <w:bCs/>
      <w:lang w:val="en-US"/>
    </w:rPr>
  </w:style>
  <w:style w:type="character" w:customStyle="1" w:styleId="Hyperlink20">
    <w:name w:val="Hyperlink.20"/>
    <w:basedOn w:val="Hyperlink"/>
    <w:rPr>
      <w:u w:val="single"/>
    </w:rPr>
  </w:style>
  <w:style w:type="character" w:customStyle="1" w:styleId="Hyperlink21">
    <w:name w:val="Hyperlink.21"/>
    <w:basedOn w:val="Hyperlink"/>
    <w:rPr>
      <w:u w:val="single"/>
    </w:rPr>
  </w:style>
  <w:style w:type="character" w:customStyle="1" w:styleId="Hyperlink22">
    <w:name w:val="Hyperlink.22"/>
    <w:basedOn w:val="Hyperlink"/>
    <w:rPr>
      <w:u w:val="single"/>
    </w:rPr>
  </w:style>
  <w:style w:type="character" w:customStyle="1" w:styleId="Hyperlink23">
    <w:name w:val="Hyperlink.23"/>
    <w:basedOn w:val="None"/>
    <w:rPr>
      <w:rFonts w:ascii="Trebuchet MS" w:eastAsia="Trebuchet MS" w:hAnsi="Trebuchet MS" w:cs="Trebuchet MS"/>
      <w:lang w:val="en-US"/>
    </w:rPr>
  </w:style>
  <w:style w:type="character" w:customStyle="1" w:styleId="Hyperlink24">
    <w:name w:val="Hyperlink.24"/>
    <w:basedOn w:val="Hyperlink"/>
    <w:rPr>
      <w:u w:val="single"/>
    </w:rPr>
  </w:style>
  <w:style w:type="character" w:customStyle="1" w:styleId="Hyperlink25">
    <w:name w:val="Hyperlink.25"/>
    <w:basedOn w:val="Hyperlink"/>
    <w:rPr>
      <w:u w:val="single"/>
    </w:rPr>
  </w:style>
  <w:style w:type="numbering" w:customStyle="1" w:styleId="ImportedStyle12">
    <w:name w:val="Imported Style 12"/>
    <w:pPr>
      <w:numPr>
        <w:numId w:val="7"/>
      </w:numPr>
    </w:pPr>
  </w:style>
  <w:style w:type="character" w:customStyle="1" w:styleId="Hyperlink26">
    <w:name w:val="Hyperlink.26"/>
    <w:basedOn w:val="Hyperlink"/>
    <w:rPr>
      <w:u w:val="single"/>
    </w:rPr>
  </w:style>
  <w:style w:type="character" w:customStyle="1" w:styleId="Hyperlink27">
    <w:name w:val="Hyperlink.27"/>
    <w:basedOn w:val="None"/>
    <w:rPr>
      <w:color w:val="000000"/>
      <w:sz w:val="20"/>
      <w:szCs w:val="20"/>
      <w:u w:color="000000"/>
    </w:rPr>
  </w:style>
  <w:style w:type="character" w:customStyle="1" w:styleId="Hyperlink28">
    <w:name w:val="Hyperlink.28"/>
    <w:basedOn w:val="Hyperlink"/>
    <w:rPr>
      <w:u w:val="single"/>
    </w:rPr>
  </w:style>
  <w:style w:type="character" w:customStyle="1" w:styleId="Hyperlink29">
    <w:name w:val="Hyperlink.29"/>
    <w:basedOn w:val="Hyperlink"/>
    <w:rPr>
      <w:u w:val="single"/>
    </w:rPr>
  </w:style>
  <w:style w:type="character" w:customStyle="1" w:styleId="Hyperlink30">
    <w:name w:val="Hyperlink.30"/>
    <w:basedOn w:val="Hyperlink"/>
    <w:rPr>
      <w:u w:val="single"/>
    </w:rPr>
  </w:style>
  <w:style w:type="character" w:customStyle="1" w:styleId="Hyperlink31">
    <w:name w:val="Hyperlink.31"/>
    <w:basedOn w:val="Hyperlink"/>
    <w:rPr>
      <w:u w:val="single"/>
    </w:rPr>
  </w:style>
  <w:style w:type="character" w:customStyle="1" w:styleId="Hyperlink32">
    <w:name w:val="Hyperlink.32"/>
    <w:basedOn w:val="None"/>
    <w:rPr>
      <w:rFonts w:ascii="Trebuchet MS" w:eastAsia="Trebuchet MS" w:hAnsi="Trebuchet MS" w:cs="Trebuchet MS"/>
      <w:i/>
      <w:iCs/>
    </w:rPr>
  </w:style>
  <w:style w:type="character" w:customStyle="1" w:styleId="Hyperlink33">
    <w:name w:val="Hyperlink.33"/>
    <w:basedOn w:val="Hyperlink"/>
    <w:rPr>
      <w:u w:val="single"/>
    </w:rPr>
  </w:style>
  <w:style w:type="character" w:customStyle="1" w:styleId="Hyperlink34">
    <w:name w:val="Hyperlink.34"/>
    <w:basedOn w:val="None"/>
    <w:rPr>
      <w:rFonts w:ascii="Calibri" w:eastAsia="Calibri" w:hAnsi="Calibri" w:cs="Calibri"/>
      <w:sz w:val="18"/>
      <w:szCs w:val="18"/>
    </w:rPr>
  </w:style>
  <w:style w:type="character" w:customStyle="1" w:styleId="Hyperlink35">
    <w:name w:val="Hyperlink.35"/>
    <w:basedOn w:val="Hyperlink"/>
    <w:rPr>
      <w:u w:val="single"/>
    </w:rPr>
  </w:style>
  <w:style w:type="character" w:customStyle="1" w:styleId="Hyperlink36">
    <w:name w:val="Hyperlink.36"/>
    <w:basedOn w:val="Hyperlink"/>
    <w:rPr>
      <w:u w:val="single"/>
    </w:rPr>
  </w:style>
  <w:style w:type="character" w:customStyle="1" w:styleId="Hyperlink37">
    <w:name w:val="Hyperlink.37"/>
    <w:basedOn w:val="Hyperlink"/>
    <w:rPr>
      <w:u w:val="single"/>
    </w:rPr>
  </w:style>
  <w:style w:type="character" w:customStyle="1" w:styleId="Hyperlink38">
    <w:name w:val="Hyperlink.38"/>
    <w:basedOn w:val="Hyperlink"/>
    <w:rPr>
      <w:u w:val="single"/>
    </w:rPr>
  </w:style>
  <w:style w:type="character" w:customStyle="1" w:styleId="Hyperlink39">
    <w:name w:val="Hyperlink.39"/>
    <w:basedOn w:val="Hyperlink"/>
    <w:rPr>
      <w:u w:val="single"/>
    </w:rPr>
  </w:style>
  <w:style w:type="character" w:customStyle="1" w:styleId="Hyperlink40">
    <w:name w:val="Hyperlink.40"/>
    <w:basedOn w:val="Hyperlink"/>
    <w:rPr>
      <w:u w:val="single"/>
    </w:rPr>
  </w:style>
  <w:style w:type="character" w:customStyle="1" w:styleId="Hyperlink41">
    <w:name w:val="Hyperlink.41"/>
    <w:basedOn w:val="Hyperlink"/>
    <w:rPr>
      <w:u w:val="single"/>
    </w:rPr>
  </w:style>
  <w:style w:type="character" w:customStyle="1" w:styleId="Hyperlink42">
    <w:name w:val="Hyperlink.42"/>
    <w:basedOn w:val="Hyperlink"/>
    <w:rPr>
      <w:u w:val="single"/>
    </w:rPr>
  </w:style>
  <w:style w:type="character" w:customStyle="1" w:styleId="Hyperlink43">
    <w:name w:val="Hyperlink.43"/>
    <w:basedOn w:val="Hyperlink"/>
    <w:rPr>
      <w:u w:val="single"/>
    </w:rPr>
  </w:style>
  <w:style w:type="character" w:customStyle="1" w:styleId="Hyperlink44">
    <w:name w:val="Hyperlink.44"/>
    <w:basedOn w:val="Hyperlink"/>
    <w:rPr>
      <w:u w:val="single"/>
    </w:rPr>
  </w:style>
  <w:style w:type="character" w:customStyle="1" w:styleId="Hyperlink45">
    <w:name w:val="Hyperlink.45"/>
    <w:basedOn w:val="Hyperlink"/>
    <w:rPr>
      <w:u w:val="single"/>
    </w:rPr>
  </w:style>
  <w:style w:type="character" w:customStyle="1" w:styleId="Hyperlink46">
    <w:name w:val="Hyperlink.46"/>
    <w:basedOn w:val="Hyperlink"/>
    <w:rPr>
      <w:u w:val="single"/>
    </w:rPr>
  </w:style>
  <w:style w:type="character" w:customStyle="1" w:styleId="Hyperlink47">
    <w:name w:val="Hyperlink.47"/>
    <w:basedOn w:val="Hyperlink"/>
    <w:rPr>
      <w:u w:val="single"/>
    </w:rPr>
  </w:style>
  <w:style w:type="character" w:customStyle="1" w:styleId="Hyperlink48">
    <w:name w:val="Hyperlink.48"/>
    <w:basedOn w:val="Hyperlink"/>
    <w:rPr>
      <w:u w:val="single"/>
    </w:rPr>
  </w:style>
  <w:style w:type="character" w:customStyle="1" w:styleId="Hyperlink49">
    <w:name w:val="Hyperlink.49"/>
    <w:basedOn w:val="Hyperlink"/>
    <w:rPr>
      <w:u w:val="single"/>
    </w:rPr>
  </w:style>
  <w:style w:type="character" w:customStyle="1" w:styleId="Hyperlink50">
    <w:name w:val="Hyperlink.50"/>
    <w:basedOn w:val="Hyperlink"/>
    <w:rPr>
      <w:u w:val="single"/>
    </w:rPr>
  </w:style>
  <w:style w:type="numbering" w:customStyle="1" w:styleId="ImportedStyle13">
    <w:name w:val="Imported Style 13"/>
    <w:pPr>
      <w:numPr>
        <w:numId w:val="8"/>
      </w:numPr>
    </w:pPr>
  </w:style>
  <w:style w:type="character" w:customStyle="1" w:styleId="Hyperlink51">
    <w:name w:val="Hyperlink.51"/>
    <w:basedOn w:val="None"/>
    <w:rPr>
      <w:color w:val="000000"/>
    </w:rPr>
  </w:style>
  <w:style w:type="character" w:customStyle="1" w:styleId="Hyperlink52">
    <w:name w:val="Hyperlink.52"/>
    <w:basedOn w:val="None"/>
    <w:rPr>
      <w:color w:val="000000"/>
      <w:lang w:val="en-US"/>
    </w:rPr>
  </w:style>
  <w:style w:type="character" w:customStyle="1" w:styleId="Hyperlink53">
    <w:name w:val="Hyperlink.53"/>
    <w:basedOn w:val="Hyperlink"/>
    <w:rPr>
      <w:u w:val="single"/>
    </w:rPr>
  </w:style>
  <w:style w:type="character" w:customStyle="1" w:styleId="Hyperlink54">
    <w:name w:val="Hyperlink.54"/>
    <w:basedOn w:val="Hyperlink"/>
    <w:rPr>
      <w:u w:val="single"/>
    </w:rPr>
  </w:style>
  <w:style w:type="character" w:customStyle="1" w:styleId="Hyperlink55">
    <w:name w:val="Hyperlink.55"/>
    <w:basedOn w:val="Hyperlink"/>
    <w:rPr>
      <w:u w:val="single"/>
    </w:rPr>
  </w:style>
  <w:style w:type="numbering" w:customStyle="1" w:styleId="ImportedStyle14">
    <w:name w:val="Imported Style 14"/>
    <w:pPr>
      <w:numPr>
        <w:numId w:val="9"/>
      </w:numPr>
    </w:pPr>
  </w:style>
  <w:style w:type="character" w:customStyle="1" w:styleId="Hyperlink56">
    <w:name w:val="Hyperlink.56"/>
    <w:basedOn w:val="Hyperlink"/>
    <w:rPr>
      <w:u w:val="single"/>
    </w:rPr>
  </w:style>
  <w:style w:type="character" w:customStyle="1" w:styleId="Hyperlink57">
    <w:name w:val="Hyperlink.57"/>
    <w:basedOn w:val="Hyperlink"/>
    <w:rPr>
      <w:u w:val="single"/>
    </w:rPr>
  </w:style>
  <w:style w:type="character" w:customStyle="1" w:styleId="Hyperlink58">
    <w:name w:val="Hyperlink.58"/>
    <w:basedOn w:val="Hyperlink"/>
    <w:rPr>
      <w:u w:val="single"/>
    </w:rPr>
  </w:style>
  <w:style w:type="character" w:customStyle="1" w:styleId="Hyperlink59">
    <w:name w:val="Hyperlink.59"/>
    <w:basedOn w:val="None"/>
    <w:rPr>
      <w:sz w:val="20"/>
      <w:szCs w:val="20"/>
    </w:rPr>
  </w:style>
  <w:style w:type="numbering" w:customStyle="1" w:styleId="ImportedStyle23">
    <w:name w:val="Imported Style 23"/>
    <w:pPr>
      <w:numPr>
        <w:numId w:val="10"/>
      </w:numPr>
    </w:pPr>
  </w:style>
  <w:style w:type="character" w:customStyle="1" w:styleId="Hyperlink60">
    <w:name w:val="Hyperlink.60"/>
    <w:basedOn w:val="None"/>
    <w:rPr>
      <w:lang w:val="en-US"/>
    </w:rPr>
  </w:style>
  <w:style w:type="character" w:customStyle="1" w:styleId="Hyperlink61">
    <w:name w:val="Hyperlink.61"/>
    <w:basedOn w:val="Hyperlink"/>
    <w:rPr>
      <w:u w:val="single"/>
    </w:rPr>
  </w:style>
  <w:style w:type="character" w:customStyle="1" w:styleId="Hyperlink62">
    <w:name w:val="Hyperlink.62"/>
    <w:basedOn w:val="Hyperlink"/>
    <w:rPr>
      <w:u w:val="single"/>
    </w:rPr>
  </w:style>
  <w:style w:type="character" w:customStyle="1" w:styleId="Hyperlink63">
    <w:name w:val="Hyperlink.63"/>
    <w:basedOn w:val="Hyperlink"/>
    <w:rPr>
      <w:u w:val="single"/>
    </w:rPr>
  </w:style>
  <w:style w:type="numbering" w:customStyle="1" w:styleId="ImportedStyle10">
    <w:name w:val="Imported Style 10"/>
    <w:pPr>
      <w:numPr>
        <w:numId w:val="15"/>
      </w:numPr>
    </w:pPr>
  </w:style>
  <w:style w:type="character" w:customStyle="1" w:styleId="Hyperlink64">
    <w:name w:val="Hyperlink.64"/>
    <w:basedOn w:val="Hyperlink"/>
    <w:rPr>
      <w:u w:val="single"/>
    </w:rPr>
  </w:style>
  <w:style w:type="numbering" w:customStyle="1" w:styleId="ImportedStyle28">
    <w:name w:val="Imported Style 28"/>
    <w:pPr>
      <w:numPr>
        <w:numId w:val="16"/>
      </w:numPr>
    </w:pPr>
  </w:style>
  <w:style w:type="paragraph" w:customStyle="1" w:styleId="TableStyle2A">
    <w:name w:val="Table Style 2 A"/>
    <w:pPr>
      <w:jc w:val="both"/>
    </w:pPr>
    <w:rPr>
      <w:rFonts w:ascii="Helvetica" w:hAnsi="Helvetica" w:cs="Arial Unicode MS"/>
      <w:color w:val="000000"/>
      <w:u w:color="000000"/>
      <w:lang w:val="en-US"/>
    </w:rPr>
  </w:style>
  <w:style w:type="numbering" w:customStyle="1" w:styleId="ImportedStyle29">
    <w:name w:val="Imported Style 29"/>
    <w:pPr>
      <w:numPr>
        <w:numId w:val="17"/>
      </w:numPr>
    </w:pPr>
  </w:style>
  <w:style w:type="character" w:customStyle="1" w:styleId="Hyperlink65">
    <w:name w:val="Hyperlink.65"/>
    <w:basedOn w:val="Hyperlink"/>
    <w:rPr>
      <w:u w:val="single"/>
    </w:rPr>
  </w:style>
  <w:style w:type="numbering" w:customStyle="1" w:styleId="ImportedStyle31">
    <w:name w:val="Imported Style 31"/>
    <w:pPr>
      <w:numPr>
        <w:numId w:val="18"/>
      </w:numPr>
    </w:pPr>
  </w:style>
  <w:style w:type="character" w:customStyle="1" w:styleId="Hyperlink66">
    <w:name w:val="Hyperlink.66"/>
    <w:basedOn w:val="None"/>
    <w:rPr>
      <w:rFonts w:ascii="Trebuchet MS" w:eastAsia="Trebuchet MS" w:hAnsi="Trebuchet MS" w:cs="Trebuchet MS"/>
      <w:b/>
      <w:bCs/>
      <w:lang w:val="en-US"/>
    </w:rPr>
  </w:style>
  <w:style w:type="numbering" w:customStyle="1" w:styleId="ImportedStyle32">
    <w:name w:val="Imported Style 32"/>
    <w:pPr>
      <w:numPr>
        <w:numId w:val="19"/>
      </w:numPr>
    </w:pPr>
  </w:style>
  <w:style w:type="character" w:customStyle="1" w:styleId="Hyperlink67">
    <w:name w:val="Hyperlink.67"/>
    <w:basedOn w:val="Hyperlink"/>
    <w:rPr>
      <w:u w:val="single"/>
    </w:rPr>
  </w:style>
  <w:style w:type="character" w:customStyle="1" w:styleId="Hyperlink68">
    <w:name w:val="Hyperlink.68"/>
    <w:basedOn w:val="Hyperlink"/>
    <w:rPr>
      <w:u w:val="single"/>
    </w:rPr>
  </w:style>
  <w:style w:type="character" w:customStyle="1" w:styleId="Hyperlink69">
    <w:name w:val="Hyperlink.69"/>
    <w:basedOn w:val="Hyperlink"/>
    <w:rPr>
      <w:u w:val="single"/>
    </w:rPr>
  </w:style>
  <w:style w:type="character" w:customStyle="1" w:styleId="Hyperlink70">
    <w:name w:val="Hyperlink.70"/>
    <w:basedOn w:val="Hyperlink"/>
    <w:rPr>
      <w:u w:val="single"/>
    </w:rPr>
  </w:style>
  <w:style w:type="character" w:customStyle="1" w:styleId="Hyperlink71">
    <w:name w:val="Hyperlink.71"/>
    <w:basedOn w:val="Hyperlink"/>
    <w:rPr>
      <w:u w:val="single"/>
    </w:rPr>
  </w:style>
  <w:style w:type="character" w:customStyle="1" w:styleId="Hyperlink72">
    <w:name w:val="Hyperlink.72"/>
    <w:basedOn w:val="None"/>
    <w:rPr>
      <w:rFonts w:ascii="Trebuchet MS" w:eastAsia="Trebuchet MS" w:hAnsi="Trebuchet MS" w:cs="Trebuchet MS"/>
      <w:b/>
      <w:bCs/>
      <w:sz w:val="20"/>
      <w:szCs w:val="20"/>
      <w:lang w:val="en-US"/>
    </w:rPr>
  </w:style>
  <w:style w:type="numbering" w:customStyle="1" w:styleId="ImportedStyle33">
    <w:name w:val="Imported Style 33"/>
    <w:pPr>
      <w:numPr>
        <w:numId w:val="20"/>
      </w:numPr>
    </w:pPr>
  </w:style>
  <w:style w:type="paragraph" w:customStyle="1" w:styleId="HeaderFooter">
    <w:name w:val="Header &amp; Footer"/>
    <w:pPr>
      <w:tabs>
        <w:tab w:val="right" w:pos="9020"/>
      </w:tabs>
    </w:pPr>
    <w:rPr>
      <w:rFonts w:ascii="Helvetica" w:eastAsia="Helvetica" w:hAnsi="Helvetica" w:cs="Helvetica"/>
      <w:color w:val="000000"/>
      <w:sz w:val="24"/>
      <w:szCs w:val="24"/>
    </w:rPr>
  </w:style>
  <w:style w:type="character" w:customStyle="1" w:styleId="Hyperlink73">
    <w:name w:val="Hyperlink.73"/>
    <w:basedOn w:val="Link"/>
    <w:rPr>
      <w:rFonts w:ascii="Trebuchet MS" w:eastAsia="Trebuchet MS" w:hAnsi="Trebuchet MS" w:cs="Trebuchet MS"/>
      <w:color w:val="0000FF"/>
      <w:u w:val="single" w:color="0000FF"/>
    </w:rPr>
  </w:style>
  <w:style w:type="character" w:customStyle="1" w:styleId="Hyperlink74">
    <w:name w:val="Hyperlink.74"/>
    <w:basedOn w:val="Link"/>
    <w:rPr>
      <w:rFonts w:ascii="Calibri" w:eastAsia="Calibri" w:hAnsi="Calibri" w:cs="Calibri"/>
      <w:color w:val="0000FF"/>
      <w:sz w:val="18"/>
      <w:szCs w:val="18"/>
      <w:u w:val="single" w:color="0000FF"/>
    </w:rPr>
  </w:style>
  <w:style w:type="character" w:customStyle="1" w:styleId="Hyperlink75">
    <w:name w:val="Hyperlink.75"/>
    <w:basedOn w:val="Hyperlink"/>
    <w:rPr>
      <w:u w:val="single"/>
    </w:rPr>
  </w:style>
  <w:style w:type="numbering" w:customStyle="1" w:styleId="ImportedStyle36">
    <w:name w:val="Imported Style 36"/>
    <w:pPr>
      <w:numPr>
        <w:numId w:val="21"/>
      </w:numPr>
    </w:pPr>
  </w:style>
  <w:style w:type="paragraph" w:customStyle="1" w:styleId="BodyText23">
    <w:name w:val="Body Text 23"/>
    <w:pPr>
      <w:widowControl w:val="0"/>
      <w:tabs>
        <w:tab w:val="left" w:pos="547"/>
      </w:tabs>
    </w:pPr>
    <w:rPr>
      <w:rFonts w:cs="Arial Unicode MS"/>
      <w:color w:val="000000"/>
      <w:u w:color="000000"/>
      <w:lang w:val="en-US"/>
    </w:rPr>
  </w:style>
  <w:style w:type="numbering" w:customStyle="1" w:styleId="ImportedStyle46">
    <w:name w:val="Imported Style 46"/>
    <w:pPr>
      <w:numPr>
        <w:numId w:val="24"/>
      </w:numPr>
    </w:pPr>
  </w:style>
  <w:style w:type="character" w:customStyle="1" w:styleId="Hyperlink76">
    <w:name w:val="Hyperlink.76"/>
    <w:basedOn w:val="Link"/>
    <w:rPr>
      <w:rFonts w:ascii="Trebuchet MS" w:eastAsia="Trebuchet MS" w:hAnsi="Trebuchet MS" w:cs="Trebuchet MS"/>
      <w:i/>
      <w:iCs/>
      <w:color w:val="0000FF"/>
      <w:u w:val="single" w:color="0000FF"/>
      <w:shd w:val="clear" w:color="auto" w:fill="FFFF00"/>
    </w:rPr>
  </w:style>
  <w:style w:type="numbering" w:customStyle="1" w:styleId="ImportedStyle47">
    <w:name w:val="Imported Style 47"/>
    <w:pPr>
      <w:numPr>
        <w:numId w:val="27"/>
      </w:numPr>
    </w:pPr>
  </w:style>
  <w:style w:type="character" w:customStyle="1" w:styleId="Hyperlink77">
    <w:name w:val="Hyperlink.77"/>
    <w:basedOn w:val="Link"/>
    <w:rPr>
      <w:color w:val="0000FF"/>
      <w:u w:val="single" w:color="0000FF"/>
      <w:lang w:val="en-US"/>
    </w:rPr>
  </w:style>
  <w:style w:type="numbering" w:customStyle="1" w:styleId="ImportedStyle57">
    <w:name w:val="Imported Style 57"/>
    <w:pPr>
      <w:numPr>
        <w:numId w:val="32"/>
      </w:numPr>
    </w:pPr>
  </w:style>
  <w:style w:type="paragraph" w:customStyle="1" w:styleId="BodyA">
    <w:name w:val="Body A"/>
    <w:pPr>
      <w:spacing w:after="60"/>
      <w:jc w:val="both"/>
    </w:pPr>
    <w:rPr>
      <w:rFonts w:ascii="Calibri" w:eastAsia="Calibri" w:hAnsi="Calibri" w:cs="Calibri"/>
      <w:color w:val="000000"/>
      <w:u w:color="000000"/>
      <w:lang w:val="es-ES_tradnl"/>
    </w:rPr>
  </w:style>
  <w:style w:type="paragraph" w:customStyle="1" w:styleId="BodyB">
    <w:name w:val="Body B"/>
    <w:pPr>
      <w:jc w:val="both"/>
    </w:pPr>
    <w:rPr>
      <w:rFonts w:ascii="Helvetica" w:hAnsi="Helvetica" w:cs="Arial Unicode MS"/>
      <w:color w:val="000000"/>
      <w:sz w:val="24"/>
      <w:szCs w:val="24"/>
      <w:u w:color="000000"/>
      <w:lang w:val="en-US"/>
    </w:rPr>
  </w:style>
  <w:style w:type="paragraph" w:customStyle="1" w:styleId="SESPbodynumbered">
    <w:name w:val="SESP body numbered"/>
    <w:qFormat/>
    <w:pPr>
      <w:tabs>
        <w:tab w:val="left" w:pos="360"/>
      </w:tabs>
      <w:spacing w:before="120" w:after="120" w:line="264" w:lineRule="auto"/>
    </w:pPr>
    <w:rPr>
      <w:rFonts w:ascii="Calibri" w:eastAsia="Calibri" w:hAnsi="Calibri" w:cs="Calibri"/>
      <w:color w:val="000000"/>
      <w:u w:color="000000"/>
      <w:lang w:val="en-US"/>
    </w:rPr>
  </w:style>
  <w:style w:type="numbering" w:customStyle="1" w:styleId="ImportedStyle69">
    <w:name w:val="Imported Style 69"/>
    <w:pPr>
      <w:numPr>
        <w:numId w:val="35"/>
      </w:numPr>
    </w:pPr>
  </w:style>
  <w:style w:type="numbering" w:customStyle="1" w:styleId="ImportedStyle70">
    <w:name w:val="Imported Style 70"/>
    <w:pPr>
      <w:numPr>
        <w:numId w:val="36"/>
      </w:numPr>
    </w:pPr>
  </w:style>
  <w:style w:type="numbering" w:customStyle="1" w:styleId="ImportedStyle71">
    <w:name w:val="Imported Style 71"/>
    <w:pPr>
      <w:numPr>
        <w:numId w:val="37"/>
      </w:numPr>
    </w:p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D64E1B"/>
    <w:pPr>
      <w:pBdr>
        <w:top w:val="nil"/>
        <w:left w:val="nil"/>
        <w:bottom w:val="nil"/>
        <w:right w:val="nil"/>
        <w:between w:val="nil"/>
        <w:bar w:val="nil"/>
      </w:pBdr>
    </w:pPr>
    <w:rPr>
      <w:rFonts w:ascii="Segoe UI" w:eastAsia="Arial Unicode MS" w:hAnsi="Segoe UI" w:cs="Segoe UI"/>
      <w:sz w:val="18"/>
      <w:szCs w:val="18"/>
      <w:bdr w:val="nil"/>
      <w:lang w:val="en-US" w:eastAsia="en-US"/>
    </w:rPr>
  </w:style>
  <w:style w:type="character" w:customStyle="1" w:styleId="BalloonTextChar">
    <w:name w:val="Balloon Text Char"/>
    <w:basedOn w:val="DefaultParagraphFont"/>
    <w:link w:val="BalloonText"/>
    <w:uiPriority w:val="99"/>
    <w:semiHidden/>
    <w:rsid w:val="00D64E1B"/>
    <w:rPr>
      <w:rFonts w:ascii="Segoe UI" w:hAnsi="Segoe UI" w:cs="Segoe UI"/>
      <w:sz w:val="18"/>
      <w:szCs w:val="18"/>
      <w:lang w:val="en-US" w:eastAsia="en-US"/>
    </w:rPr>
  </w:style>
  <w:style w:type="character" w:styleId="FootnoteReference">
    <w:name w:val="footnote reference"/>
    <w:aliases w:val="16 Point,Superscript 6 Point,BVI fnr Carattere Char Char Char Carattere Char Char Char Char Char Char1 Char Char Char Carattere Char Char,Ref,Superscript 6 Point + 11 pt,ftref,BVI fnr,BVI fnr Car Car,BVI fnr Car,BVI fnr Car Car Car C"/>
    <w:basedOn w:val="DefaultParagraphFont"/>
    <w:link w:val="BVIfnrCarattereCharCharCharCarattereCharCharCharCharCharChar1CharCharCharCarattereChar"/>
    <w:uiPriority w:val="99"/>
    <w:unhideWhenUsed/>
    <w:qFormat/>
    <w:rsid w:val="00D64E1B"/>
    <w:rPr>
      <w:vertAlign w:val="superscript"/>
    </w:rPr>
  </w:style>
  <w:style w:type="table" w:styleId="TableGrid">
    <w:name w:val="Table Grid"/>
    <w:basedOn w:val="TableNormal"/>
    <w:uiPriority w:val="59"/>
    <w:rsid w:val="00045B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noteTextChar">
    <w:name w:val="Footnote Text Char"/>
    <w:aliases w:val="Geneva 9 Char,Font: Geneva 9 Char,Boston 10 Char,f Char,FOOTNOTES Char,fn Char,single space Char,Footnote Text Char1 Char,Footnote Text Char Char Char,Char Char1,Char Char Char,Char Char Char Char Char,Char Char2 Char,Char Char21 Char"/>
    <w:basedOn w:val="DefaultParagraphFont"/>
    <w:link w:val="FootnoteText"/>
    <w:uiPriority w:val="99"/>
    <w:locked/>
    <w:rsid w:val="00B317AC"/>
    <w:rPr>
      <w:rFonts w:ascii="Courier" w:eastAsia="Courier" w:hAnsi="Courier" w:cs="Courier"/>
      <w:color w:val="000000"/>
      <w:u w:color="000000"/>
      <w:lang w:val="en-US"/>
    </w:rPr>
  </w:style>
  <w:style w:type="character" w:customStyle="1" w:styleId="ListParagraphChar">
    <w:name w:val="List Paragraph Char"/>
    <w:aliases w:val="Titulo 4 Char,Bullets Char,Paragraphe de liste1 Char,ADB paragraph numbering Char,List Paragraph1 Char,Colorful List - Accent 11 Char,Paragraphe de liste 1 Char,NULLETS 2 Char,• List Paragraph Char,List Paragraph (numbered (a)) Char"/>
    <w:link w:val="ListParagraph"/>
    <w:uiPriority w:val="34"/>
    <w:qFormat/>
    <w:locked/>
    <w:rsid w:val="00B317AC"/>
    <w:rPr>
      <w:rFonts w:cs="Arial Unicode MS"/>
      <w:color w:val="000000"/>
      <w:sz w:val="24"/>
      <w:szCs w:val="24"/>
      <w:u w:color="000000"/>
      <w:lang w:val="en-US"/>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B317AC"/>
    <w:pPr>
      <w:spacing w:after="160" w:line="240" w:lineRule="exact"/>
    </w:pPr>
    <w:rPr>
      <w:rFonts w:eastAsia="Arial Unicode MS"/>
      <w:sz w:val="20"/>
      <w:szCs w:val="20"/>
      <w:bdr w:val="nil"/>
      <w:vertAlign w:val="superscript"/>
    </w:rPr>
  </w:style>
  <w:style w:type="character" w:customStyle="1" w:styleId="Ninguno">
    <w:name w:val="Ninguno"/>
    <w:rsid w:val="00B317AC"/>
    <w:rPr>
      <w:lang w:val="en-US"/>
    </w:rPr>
  </w:style>
  <w:style w:type="character" w:customStyle="1" w:styleId="Heading1Char">
    <w:name w:val="Heading 1 Char"/>
    <w:aliases w:val=" 1 Char, 2 Char, 11 Char,TCI 1.  Heading Char,1 Char,11 Char"/>
    <w:basedOn w:val="DefaultParagraphFont"/>
    <w:link w:val="Heading1"/>
    <w:uiPriority w:val="9"/>
    <w:rsid w:val="008A25C8"/>
    <w:rPr>
      <w:rFonts w:ascii="Century Gothic" w:eastAsia="SimSun" w:hAnsi="Century Gothic"/>
      <w:b/>
      <w:smallCaps/>
      <w:spacing w:val="-2"/>
      <w:sz w:val="28"/>
      <w:bdr w:val="none" w:sz="0" w:space="0" w:color="auto"/>
      <w:lang w:val="en-US" w:eastAsia="en-US"/>
    </w:rPr>
  </w:style>
  <w:style w:type="character" w:customStyle="1" w:styleId="Heading8Char">
    <w:name w:val="Heading 8 Char"/>
    <w:basedOn w:val="DefaultParagraphFont"/>
    <w:link w:val="Heading8"/>
    <w:uiPriority w:val="99"/>
    <w:rsid w:val="008A25C8"/>
    <w:rPr>
      <w:rFonts w:ascii="Calibri" w:eastAsia="SimSun" w:hAnsi="Calibri"/>
      <w:i/>
      <w:iCs/>
      <w:sz w:val="24"/>
      <w:szCs w:val="24"/>
      <w:bdr w:val="none" w:sz="0" w:space="0" w:color="auto"/>
      <w:lang w:val="en-US" w:eastAsia="en-US"/>
    </w:rPr>
  </w:style>
  <w:style w:type="character" w:customStyle="1" w:styleId="Heading2Char">
    <w:name w:val="Heading 2 Char"/>
    <w:basedOn w:val="DefaultParagraphFont"/>
    <w:uiPriority w:val="9"/>
    <w:rsid w:val="008A25C8"/>
    <w:rPr>
      <w:rFonts w:asciiTheme="majorHAnsi" w:eastAsiaTheme="majorEastAsia" w:hAnsiTheme="majorHAnsi" w:cstheme="majorBidi"/>
      <w:color w:val="2E74B5" w:themeColor="accent1" w:themeShade="BF"/>
      <w:sz w:val="26"/>
      <w:szCs w:val="26"/>
      <w:lang w:val="en-US"/>
    </w:rPr>
  </w:style>
  <w:style w:type="character" w:customStyle="1" w:styleId="Heading3Char">
    <w:name w:val="Heading 3 Char"/>
    <w:aliases w:val=" Centered Char,Centered Char, centered Char,centered Char"/>
    <w:basedOn w:val="DefaultParagraphFont"/>
    <w:link w:val="Heading3"/>
    <w:uiPriority w:val="9"/>
    <w:rsid w:val="008A25C8"/>
    <w:rPr>
      <w:rFonts w:ascii="Courier" w:eastAsia="Courier" w:hAnsi="Courier" w:cs="Courier"/>
      <w:b/>
      <w:bCs/>
      <w:color w:val="000000"/>
      <w:sz w:val="28"/>
      <w:szCs w:val="28"/>
      <w:u w:color="000000"/>
    </w:rPr>
  </w:style>
  <w:style w:type="character" w:customStyle="1" w:styleId="Heading4Char">
    <w:name w:val="Heading 4 Char"/>
    <w:aliases w:val="Centred Char"/>
    <w:basedOn w:val="DefaultParagraphFont"/>
    <w:link w:val="Heading4"/>
    <w:uiPriority w:val="9"/>
    <w:rsid w:val="008A25C8"/>
    <w:rPr>
      <w:rFonts w:ascii="Calibri" w:eastAsia="Calibri" w:hAnsi="Calibri" w:cs="Calibri"/>
      <w:b/>
      <w:bCs/>
      <w:color w:val="000000"/>
      <w:spacing w:val="15"/>
      <w:sz w:val="28"/>
      <w:szCs w:val="28"/>
      <w:u w:color="000000"/>
      <w:lang w:val="en-US"/>
    </w:rPr>
  </w:style>
  <w:style w:type="character" w:customStyle="1" w:styleId="Heading5Char">
    <w:name w:val="Heading 5 Char"/>
    <w:aliases w:val=" Side Char,Side Char"/>
    <w:basedOn w:val="DefaultParagraphFont"/>
    <w:link w:val="Heading5"/>
    <w:uiPriority w:val="99"/>
    <w:rsid w:val="008A25C8"/>
    <w:rPr>
      <w:rFonts w:ascii="Calibri" w:eastAsia="Calibri" w:hAnsi="Calibri" w:cs="Calibri"/>
      <w:b/>
      <w:bCs/>
      <w:color w:val="000000"/>
      <w:sz w:val="24"/>
      <w:szCs w:val="24"/>
      <w:u w:color="000000"/>
      <w:lang w:val="en-US"/>
    </w:rPr>
  </w:style>
  <w:style w:type="character" w:customStyle="1" w:styleId="Heading2Char1">
    <w:name w:val="Heading 2 Char1"/>
    <w:link w:val="Heading2"/>
    <w:locked/>
    <w:rsid w:val="008A25C8"/>
    <w:rPr>
      <w:rFonts w:ascii="Arial Narrow" w:eastAsia="Arial Narrow" w:hAnsi="Arial Narrow" w:cs="Arial Narrow"/>
      <w:b/>
      <w:bCs/>
      <w:color w:val="000000"/>
      <w:u w:color="000000"/>
    </w:rPr>
  </w:style>
  <w:style w:type="character" w:customStyle="1" w:styleId="HeaderChar">
    <w:name w:val="Header Char"/>
    <w:basedOn w:val="DefaultParagraphFont"/>
    <w:link w:val="Header"/>
    <w:uiPriority w:val="99"/>
    <w:rsid w:val="008A25C8"/>
    <w:rPr>
      <w:rFonts w:ascii="Calibri" w:eastAsia="Calibri" w:hAnsi="Calibri" w:cs="Calibri"/>
      <w:color w:val="000000"/>
      <w:u w:color="000000"/>
      <w:lang w:val="en-US"/>
    </w:rPr>
  </w:style>
  <w:style w:type="character" w:customStyle="1" w:styleId="FooterChar">
    <w:name w:val="Footer Char"/>
    <w:basedOn w:val="DefaultParagraphFont"/>
    <w:link w:val="Footer"/>
    <w:uiPriority w:val="99"/>
    <w:rsid w:val="008A25C8"/>
    <w:rPr>
      <w:rFonts w:ascii="Calibri" w:eastAsia="Calibri" w:hAnsi="Calibri" w:cs="Calibri"/>
      <w:color w:val="000000"/>
      <w:u w:color="000000"/>
      <w:lang w:val="en-US"/>
    </w:rPr>
  </w:style>
  <w:style w:type="character" w:styleId="PageNumber">
    <w:name w:val="page number"/>
    <w:rsid w:val="008A25C8"/>
    <w:rPr>
      <w:rFonts w:cs="Times New Roman"/>
    </w:rPr>
  </w:style>
  <w:style w:type="paragraph" w:styleId="BodyText3">
    <w:name w:val="Body Text 3"/>
    <w:basedOn w:val="Normal"/>
    <w:link w:val="BodyText3Char"/>
    <w:rsid w:val="008A25C8"/>
    <w:pPr>
      <w:spacing w:after="60"/>
      <w:jc w:val="both"/>
    </w:pPr>
    <w:rPr>
      <w:rFonts w:ascii="Calibri" w:eastAsia="SimSun" w:hAnsi="Calibri"/>
      <w:sz w:val="20"/>
      <w:szCs w:val="20"/>
      <w:lang w:val="en-US" w:eastAsia="en-US"/>
    </w:rPr>
  </w:style>
  <w:style w:type="character" w:customStyle="1" w:styleId="BodyText3Char">
    <w:name w:val="Body Text 3 Char"/>
    <w:basedOn w:val="DefaultParagraphFont"/>
    <w:link w:val="BodyText3"/>
    <w:rsid w:val="008A25C8"/>
    <w:rPr>
      <w:rFonts w:ascii="Calibri" w:eastAsia="SimSun" w:hAnsi="Calibri"/>
      <w:bdr w:val="none" w:sz="0" w:space="0" w:color="auto"/>
      <w:lang w:val="en-US" w:eastAsia="en-US"/>
    </w:rPr>
  </w:style>
  <w:style w:type="paragraph" w:styleId="BodyTextIndent">
    <w:name w:val="Body Text Indent"/>
    <w:basedOn w:val="Normal"/>
    <w:link w:val="BodyTextIndentChar"/>
    <w:rsid w:val="008A25C8"/>
    <w:pPr>
      <w:tabs>
        <w:tab w:val="left" w:pos="360"/>
      </w:tabs>
      <w:spacing w:after="60"/>
      <w:jc w:val="both"/>
    </w:pPr>
    <w:rPr>
      <w:rFonts w:ascii="Calibri" w:eastAsia="SimSun" w:hAnsi="Calibri"/>
      <w:b/>
      <w:i/>
      <w:sz w:val="28"/>
      <w:szCs w:val="20"/>
      <w:lang w:val="en-US" w:eastAsia="en-US"/>
    </w:rPr>
  </w:style>
  <w:style w:type="character" w:customStyle="1" w:styleId="BodyTextIndentChar">
    <w:name w:val="Body Text Indent Char"/>
    <w:basedOn w:val="DefaultParagraphFont"/>
    <w:link w:val="BodyTextIndent"/>
    <w:rsid w:val="008A25C8"/>
    <w:rPr>
      <w:rFonts w:ascii="Calibri" w:eastAsia="SimSun" w:hAnsi="Calibri"/>
      <w:b/>
      <w:i/>
      <w:sz w:val="28"/>
      <w:bdr w:val="none" w:sz="0" w:space="0" w:color="auto"/>
      <w:lang w:val="en-US" w:eastAsia="en-US"/>
    </w:rPr>
  </w:style>
  <w:style w:type="character" w:styleId="FollowedHyperlink">
    <w:name w:val="FollowedHyperlink"/>
    <w:uiPriority w:val="99"/>
    <w:rsid w:val="008A25C8"/>
    <w:rPr>
      <w:rFonts w:cs="Times New Roman"/>
      <w:color w:val="800080"/>
      <w:u w:val="single"/>
    </w:rPr>
  </w:style>
  <w:style w:type="paragraph" w:styleId="BodyText">
    <w:name w:val="Body Text"/>
    <w:basedOn w:val="Normal"/>
    <w:link w:val="BodyTextChar"/>
    <w:rsid w:val="008A25C8"/>
    <w:pPr>
      <w:pBdr>
        <w:bottom w:val="single" w:sz="4" w:space="1" w:color="auto"/>
      </w:pBdr>
      <w:spacing w:after="60"/>
      <w:jc w:val="both"/>
    </w:pPr>
    <w:rPr>
      <w:rFonts w:ascii="Arial Narrow" w:eastAsia="SimSun" w:hAnsi="Arial Narrow"/>
      <w:i/>
      <w:iCs/>
      <w:sz w:val="20"/>
      <w:lang w:val="en-US" w:eastAsia="en-US"/>
    </w:rPr>
  </w:style>
  <w:style w:type="character" w:customStyle="1" w:styleId="BodyTextChar">
    <w:name w:val="Body Text Char"/>
    <w:basedOn w:val="DefaultParagraphFont"/>
    <w:link w:val="BodyText"/>
    <w:rsid w:val="008A25C8"/>
    <w:rPr>
      <w:rFonts w:ascii="Arial Narrow" w:eastAsia="SimSun" w:hAnsi="Arial Narrow"/>
      <w:i/>
      <w:iCs/>
      <w:szCs w:val="24"/>
      <w:bdr w:val="none" w:sz="0" w:space="0" w:color="auto"/>
      <w:lang w:val="en-US" w:eastAsia="en-US"/>
    </w:rPr>
  </w:style>
  <w:style w:type="paragraph" w:styleId="BodyText2">
    <w:name w:val="Body Text 2"/>
    <w:basedOn w:val="Normal"/>
    <w:link w:val="BodyText2Char"/>
    <w:rsid w:val="008A25C8"/>
    <w:pPr>
      <w:spacing w:before="120" w:after="120"/>
      <w:jc w:val="both"/>
    </w:pPr>
    <w:rPr>
      <w:rFonts w:ascii="Arial Narrow" w:eastAsia="SimSun" w:hAnsi="Arial Narrow"/>
      <w:sz w:val="20"/>
      <w:lang w:val="en-US" w:eastAsia="en-US"/>
    </w:rPr>
  </w:style>
  <w:style w:type="character" w:customStyle="1" w:styleId="BodyText2Char">
    <w:name w:val="Body Text 2 Char"/>
    <w:basedOn w:val="DefaultParagraphFont"/>
    <w:link w:val="BodyText2"/>
    <w:rsid w:val="008A25C8"/>
    <w:rPr>
      <w:rFonts w:ascii="Arial Narrow" w:eastAsia="SimSun" w:hAnsi="Arial Narrow"/>
      <w:szCs w:val="24"/>
      <w:bdr w:val="none" w:sz="0" w:space="0" w:color="auto"/>
      <w:lang w:val="en-US" w:eastAsia="en-US"/>
    </w:rPr>
  </w:style>
  <w:style w:type="character" w:customStyle="1" w:styleId="CommentTextChar">
    <w:name w:val="Comment Text Char"/>
    <w:basedOn w:val="DefaultParagraphFont"/>
    <w:uiPriority w:val="99"/>
    <w:rsid w:val="008A25C8"/>
    <w:rPr>
      <w:rFonts w:ascii="Calibri" w:eastAsia="SimSun" w:hAnsi="Calibri" w:cs="Times New Roman"/>
      <w:sz w:val="20"/>
      <w:szCs w:val="20"/>
      <w:lang w:val="en-US"/>
    </w:rPr>
  </w:style>
  <w:style w:type="paragraph" w:styleId="CommentSubject">
    <w:name w:val="annotation subject"/>
    <w:basedOn w:val="CommentText"/>
    <w:next w:val="CommentText"/>
    <w:link w:val="CommentSubjectChar"/>
    <w:uiPriority w:val="99"/>
    <w:semiHidden/>
    <w:rsid w:val="008A25C8"/>
    <w:pPr>
      <w:pBdr>
        <w:top w:val="none" w:sz="0" w:space="0" w:color="auto"/>
        <w:left w:val="none" w:sz="0" w:space="0" w:color="auto"/>
        <w:bottom w:val="none" w:sz="0" w:space="0" w:color="auto"/>
        <w:right w:val="none" w:sz="0" w:space="0" w:color="auto"/>
        <w:between w:val="none" w:sz="0" w:space="0" w:color="auto"/>
        <w:bar w:val="none" w:sz="0" w:color="auto"/>
      </w:pBdr>
    </w:pPr>
    <w:rPr>
      <w:rFonts w:eastAsia="SimSun" w:cs="Times New Roman"/>
      <w:b/>
      <w:bCs/>
      <w:color w:val="auto"/>
      <w:bdr w:val="none" w:sz="0" w:space="0" w:color="auto"/>
      <w:lang w:eastAsia="en-US"/>
    </w:rPr>
  </w:style>
  <w:style w:type="character" w:customStyle="1" w:styleId="CommentTextChar1">
    <w:name w:val="Comment Text Char1"/>
    <w:basedOn w:val="DefaultParagraphFont"/>
    <w:link w:val="CommentText"/>
    <w:uiPriority w:val="99"/>
    <w:rsid w:val="008A25C8"/>
    <w:rPr>
      <w:rFonts w:ascii="Calibri" w:eastAsia="Calibri" w:hAnsi="Calibri" w:cs="Calibri"/>
      <w:color w:val="000000"/>
      <w:u w:color="000000"/>
      <w:lang w:val="en-US"/>
    </w:rPr>
  </w:style>
  <w:style w:type="character" w:customStyle="1" w:styleId="CommentSubjectChar">
    <w:name w:val="Comment Subject Char"/>
    <w:basedOn w:val="CommentTextChar1"/>
    <w:link w:val="CommentSubject"/>
    <w:uiPriority w:val="99"/>
    <w:semiHidden/>
    <w:rsid w:val="008A25C8"/>
    <w:rPr>
      <w:rFonts w:ascii="Calibri" w:eastAsia="SimSun" w:hAnsi="Calibri" w:cs="Calibri"/>
      <w:b/>
      <w:bCs/>
      <w:color w:val="000000"/>
      <w:u w:color="000000"/>
      <w:bdr w:val="none" w:sz="0" w:space="0" w:color="auto"/>
      <w:lang w:val="en-US" w:eastAsia="en-US"/>
    </w:rPr>
  </w:style>
  <w:style w:type="character" w:styleId="Emphasis">
    <w:name w:val="Emphasis"/>
    <w:uiPriority w:val="20"/>
    <w:qFormat/>
    <w:rsid w:val="008A25C8"/>
    <w:rPr>
      <w:rFonts w:cs="Times New Roman"/>
      <w:i/>
      <w:iCs/>
    </w:rPr>
  </w:style>
  <w:style w:type="paragraph" w:styleId="Title">
    <w:name w:val="Title"/>
    <w:basedOn w:val="Normal"/>
    <w:link w:val="TitleChar"/>
    <w:qFormat/>
    <w:rsid w:val="008A25C8"/>
    <w:pPr>
      <w:pBdr>
        <w:top w:val="single" w:sz="4" w:space="1" w:color="auto"/>
        <w:left w:val="single" w:sz="4" w:space="4" w:color="auto"/>
        <w:bottom w:val="single" w:sz="4" w:space="1" w:color="auto"/>
        <w:right w:val="single" w:sz="4" w:space="4" w:color="auto"/>
      </w:pBdr>
      <w:spacing w:before="240" w:after="60"/>
      <w:jc w:val="center"/>
      <w:outlineLvl w:val="0"/>
    </w:pPr>
    <w:rPr>
      <w:rFonts w:ascii="Calibri" w:eastAsia="SimSun" w:hAnsi="Calibri" w:cs="Arial"/>
      <w:b/>
      <w:bCs/>
      <w:kern w:val="28"/>
      <w:sz w:val="32"/>
      <w:szCs w:val="32"/>
      <w:lang w:val="en-US" w:eastAsia="en-US"/>
    </w:rPr>
  </w:style>
  <w:style w:type="character" w:customStyle="1" w:styleId="TitleChar">
    <w:name w:val="Title Char"/>
    <w:basedOn w:val="DefaultParagraphFont"/>
    <w:link w:val="Title"/>
    <w:rsid w:val="008A25C8"/>
    <w:rPr>
      <w:rFonts w:ascii="Calibri" w:eastAsia="SimSun" w:hAnsi="Calibri" w:cs="Arial"/>
      <w:b/>
      <w:bCs/>
      <w:kern w:val="28"/>
      <w:sz w:val="32"/>
      <w:szCs w:val="32"/>
      <w:bdr w:val="none" w:sz="0" w:space="0" w:color="auto"/>
      <w:lang w:val="en-US" w:eastAsia="en-US"/>
    </w:rPr>
  </w:style>
  <w:style w:type="paragraph" w:customStyle="1" w:styleId="CharCharChar1">
    <w:name w:val="Char Char Char1"/>
    <w:basedOn w:val="Normal"/>
    <w:rsid w:val="008A25C8"/>
    <w:pPr>
      <w:spacing w:after="160" w:line="240" w:lineRule="exact"/>
    </w:pPr>
    <w:rPr>
      <w:rFonts w:ascii="Calibri" w:eastAsia="SimSun" w:hAnsi="Calibri" w:cs="Arial"/>
      <w:sz w:val="20"/>
      <w:szCs w:val="20"/>
      <w:lang w:val="en-US" w:eastAsia="en-US"/>
    </w:rPr>
  </w:style>
  <w:style w:type="paragraph" w:customStyle="1" w:styleId="JFHeading3">
    <w:name w:val="JF Heading 3"/>
    <w:basedOn w:val="Heading3"/>
    <w:rsid w:val="008A25C8"/>
    <w:pPr>
      <w:keepNext w:val="0"/>
      <w:widowControl/>
      <w:pBdr>
        <w:top w:val="none" w:sz="0" w:space="0" w:color="auto"/>
        <w:left w:val="none" w:sz="0" w:space="0" w:color="auto"/>
        <w:bottom w:val="dotted" w:sz="4" w:space="2" w:color="666666"/>
        <w:right w:val="none" w:sz="0" w:space="0" w:color="auto"/>
        <w:between w:val="none" w:sz="0" w:space="0" w:color="auto"/>
        <w:bar w:val="none" w:sz="0" w:color="auto"/>
      </w:pBdr>
      <w:tabs>
        <w:tab w:val="clear" w:pos="2160"/>
        <w:tab w:val="clear" w:pos="9360"/>
      </w:tabs>
      <w:spacing w:after="0"/>
      <w:jc w:val="left"/>
    </w:pPr>
    <w:rPr>
      <w:rFonts w:ascii="Times New Roman" w:eastAsia="MS Mincho" w:hAnsi="Times New Roman" w:cs="Times New Roman"/>
      <w:b w:val="0"/>
      <w:bCs w:val="0"/>
      <w:i/>
      <w:color w:val="auto"/>
      <w:sz w:val="22"/>
      <w:szCs w:val="22"/>
      <w:bdr w:val="none" w:sz="0" w:space="0" w:color="auto"/>
      <w:lang w:val="en-US" w:eastAsia="ja-JP"/>
    </w:rPr>
  </w:style>
  <w:style w:type="character" w:styleId="Strong">
    <w:name w:val="Strong"/>
    <w:uiPriority w:val="22"/>
    <w:qFormat/>
    <w:rsid w:val="008A25C8"/>
    <w:rPr>
      <w:rFonts w:cs="Times New Roman"/>
      <w:b/>
      <w:bCs/>
    </w:rPr>
  </w:style>
  <w:style w:type="paragraph" w:customStyle="1" w:styleId="bodyfont">
    <w:name w:val="bodyfont"/>
    <w:basedOn w:val="Normal"/>
    <w:rsid w:val="008A25C8"/>
    <w:pPr>
      <w:spacing w:before="100" w:beforeAutospacing="1" w:after="100" w:afterAutospacing="1"/>
    </w:pPr>
    <w:rPr>
      <w:rFonts w:ascii="Calibri" w:eastAsia="MS Mincho" w:hAnsi="Calibri" w:cs="Arial"/>
      <w:sz w:val="12"/>
      <w:szCs w:val="12"/>
      <w:lang w:val="en-US" w:eastAsia="ja-JP"/>
    </w:rPr>
  </w:style>
  <w:style w:type="paragraph" w:customStyle="1" w:styleId="JFHeading1">
    <w:name w:val="JF Heading 1"/>
    <w:basedOn w:val="Heading1"/>
    <w:rsid w:val="008A25C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8A25C8"/>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191" w:lineRule="atLeast"/>
      <w:jc w:val="left"/>
    </w:pPr>
    <w:rPr>
      <w:rFonts w:ascii="Adobe Garamond Pro" w:eastAsia="MS Mincho" w:hAnsi="Adobe Garamond Pro" w:cs="Times New Roman"/>
      <w:color w:val="auto"/>
      <w:bdr w:val="none" w:sz="0" w:space="0" w:color="auto"/>
      <w:lang w:eastAsia="ja-JP"/>
    </w:rPr>
  </w:style>
  <w:style w:type="character" w:customStyle="1" w:styleId="bodytag3">
    <w:name w:val="bodytag3"/>
    <w:rsid w:val="008A25C8"/>
    <w:rPr>
      <w:rFonts w:ascii="Trebuchet MS" w:hAnsi="Trebuchet MS" w:cs="Times New Roman"/>
      <w:sz w:val="15"/>
      <w:szCs w:val="15"/>
    </w:rPr>
  </w:style>
  <w:style w:type="paragraph" w:styleId="EndnoteText">
    <w:name w:val="endnote text"/>
    <w:aliases w:val=" Char"/>
    <w:basedOn w:val="Normal"/>
    <w:link w:val="EndnoteTextChar"/>
    <w:semiHidden/>
    <w:rsid w:val="008A25C8"/>
    <w:rPr>
      <w:rFonts w:ascii="Calibri" w:eastAsia="MS Mincho" w:hAnsi="Calibri"/>
      <w:sz w:val="20"/>
      <w:szCs w:val="20"/>
      <w:lang w:val="en-US" w:eastAsia="ja-JP"/>
    </w:rPr>
  </w:style>
  <w:style w:type="character" w:customStyle="1" w:styleId="EndnoteTextChar">
    <w:name w:val="Endnote Text Char"/>
    <w:aliases w:val=" Char Char"/>
    <w:basedOn w:val="DefaultParagraphFont"/>
    <w:link w:val="EndnoteText"/>
    <w:semiHidden/>
    <w:rsid w:val="008A25C8"/>
    <w:rPr>
      <w:rFonts w:ascii="Calibri" w:eastAsia="MS Mincho" w:hAnsi="Calibri"/>
      <w:bdr w:val="none" w:sz="0" w:space="0" w:color="auto"/>
      <w:lang w:val="en-US" w:eastAsia="ja-JP"/>
    </w:rPr>
  </w:style>
  <w:style w:type="character" w:styleId="EndnoteReference">
    <w:name w:val="endnote reference"/>
    <w:semiHidden/>
    <w:rsid w:val="008A25C8"/>
    <w:rPr>
      <w:rFonts w:cs="Times New Roman"/>
      <w:vertAlign w:val="superscript"/>
    </w:rPr>
  </w:style>
  <w:style w:type="character" w:customStyle="1" w:styleId="mw-headline">
    <w:name w:val="mw-headline"/>
    <w:rsid w:val="008A25C8"/>
    <w:rPr>
      <w:rFonts w:cs="Times New Roman"/>
    </w:rPr>
  </w:style>
  <w:style w:type="paragraph" w:customStyle="1" w:styleId="CharCharCharCharCharCharChar">
    <w:name w:val="Char Char Char Char Char Char Char"/>
    <w:basedOn w:val="Heading2"/>
    <w:rsid w:val="008A25C8"/>
    <w:pPr>
      <w:pageBreakBefore/>
      <w:pBdr>
        <w:top w:val="none" w:sz="0" w:space="0" w:color="auto"/>
        <w:left w:val="none" w:sz="0" w:space="0" w:color="auto"/>
        <w:bottom w:val="none" w:sz="0" w:space="0" w:color="auto"/>
        <w:right w:val="none" w:sz="0" w:space="0" w:color="auto"/>
        <w:between w:val="none" w:sz="0" w:space="0" w:color="auto"/>
        <w:bar w:val="none" w:sz="0" w:color="auto"/>
      </w:pBdr>
      <w:tabs>
        <w:tab w:val="left" w:pos="850"/>
        <w:tab w:val="left" w:pos="1191"/>
        <w:tab w:val="left" w:pos="1531"/>
      </w:tabs>
      <w:spacing w:before="120" w:after="120"/>
      <w:ind w:left="0"/>
      <w:jc w:val="center"/>
    </w:pPr>
    <w:rPr>
      <w:rFonts w:ascii="Tahoma" w:eastAsia="MS Mincho" w:hAnsi="Tahoma" w:cs="Tahoma"/>
      <w:bCs w:val="0"/>
      <w:color w:val="FFFFFF"/>
      <w:spacing w:val="20"/>
      <w:szCs w:val="22"/>
      <w:bdr w:val="none" w:sz="0" w:space="0" w:color="auto"/>
      <w:lang w:val="en-US" w:eastAsia="zh-CN"/>
    </w:rPr>
  </w:style>
  <w:style w:type="paragraph" w:customStyle="1" w:styleId="CarCar">
    <w:name w:val="Car Car"/>
    <w:basedOn w:val="Heading2"/>
    <w:rsid w:val="008A25C8"/>
    <w:pPr>
      <w:pageBreakBefore/>
      <w:pBdr>
        <w:top w:val="none" w:sz="0" w:space="0" w:color="auto"/>
        <w:left w:val="none" w:sz="0" w:space="0" w:color="auto"/>
        <w:bottom w:val="none" w:sz="0" w:space="0" w:color="auto"/>
        <w:right w:val="none" w:sz="0" w:space="0" w:color="auto"/>
        <w:between w:val="none" w:sz="0" w:space="0" w:color="auto"/>
        <w:bar w:val="none" w:sz="0" w:color="auto"/>
      </w:pBdr>
      <w:tabs>
        <w:tab w:val="left" w:pos="850"/>
        <w:tab w:val="left" w:pos="1191"/>
        <w:tab w:val="left" w:pos="1531"/>
      </w:tabs>
      <w:spacing w:before="120" w:after="120"/>
      <w:ind w:left="0"/>
      <w:jc w:val="center"/>
    </w:pPr>
    <w:rPr>
      <w:rFonts w:ascii="Tahoma" w:eastAsia="MS Mincho" w:hAnsi="Tahoma" w:cs="Tahoma"/>
      <w:bCs w:val="0"/>
      <w:color w:val="FFFFFF"/>
      <w:spacing w:val="20"/>
      <w:szCs w:val="22"/>
      <w:bdr w:val="none" w:sz="0" w:space="0" w:color="auto"/>
      <w:lang w:val="en-US" w:eastAsia="zh-CN"/>
    </w:rPr>
  </w:style>
  <w:style w:type="paragraph" w:customStyle="1" w:styleId="Arial">
    <w:name w:val="Arial"/>
    <w:basedOn w:val="Normal"/>
    <w:rsid w:val="008A25C8"/>
    <w:pPr>
      <w:jc w:val="both"/>
    </w:pPr>
    <w:rPr>
      <w:rFonts w:ascii="Arial Narrow" w:eastAsia="SimSun" w:hAnsi="Arial Narrow" w:cs="Arial"/>
      <w:sz w:val="20"/>
      <w:szCs w:val="20"/>
      <w:lang w:val="en-US" w:eastAsia="en-US"/>
    </w:rPr>
  </w:style>
  <w:style w:type="paragraph" w:customStyle="1" w:styleId="Paragraph">
    <w:name w:val="Paragraph"/>
    <w:basedOn w:val="Normal"/>
    <w:link w:val="ParagraphChar"/>
    <w:qFormat/>
    <w:rsid w:val="008A25C8"/>
    <w:pPr>
      <w:numPr>
        <w:numId w:val="42"/>
      </w:numPr>
      <w:spacing w:after="240"/>
    </w:pPr>
    <w:rPr>
      <w:rFonts w:eastAsia="SimSun" w:cs="Angsana New"/>
      <w:noProof/>
      <w:sz w:val="20"/>
      <w:szCs w:val="22"/>
      <w:lang w:val="en-US" w:eastAsia="en-US"/>
    </w:rPr>
  </w:style>
  <w:style w:type="character" w:customStyle="1" w:styleId="ParagraphChar">
    <w:name w:val="Paragraph Char"/>
    <w:link w:val="Paragraph"/>
    <w:rsid w:val="008A25C8"/>
    <w:rPr>
      <w:rFonts w:eastAsia="SimSun" w:cs="Angsana New"/>
      <w:noProof/>
      <w:szCs w:val="22"/>
      <w:bdr w:val="none" w:sz="0" w:space="0" w:color="auto"/>
      <w:lang w:val="en-US" w:eastAsia="en-US"/>
    </w:rPr>
  </w:style>
  <w:style w:type="paragraph" w:styleId="TOC1">
    <w:name w:val="toc 1"/>
    <w:basedOn w:val="Normal"/>
    <w:next w:val="Normal"/>
    <w:autoRedefine/>
    <w:uiPriority w:val="39"/>
    <w:rsid w:val="008A25C8"/>
    <w:pPr>
      <w:tabs>
        <w:tab w:val="left" w:pos="540"/>
        <w:tab w:val="right" w:leader="dot" w:pos="9304"/>
      </w:tabs>
      <w:spacing w:after="60"/>
      <w:jc w:val="both"/>
    </w:pPr>
    <w:rPr>
      <w:rFonts w:ascii="Calibri" w:eastAsia="SimSun" w:hAnsi="Calibri"/>
      <w:sz w:val="20"/>
      <w:lang w:val="en-US" w:eastAsia="en-US"/>
    </w:rPr>
  </w:style>
  <w:style w:type="paragraph" w:customStyle="1" w:styleId="Normalbullets">
    <w:name w:val="Normal bullets"/>
    <w:basedOn w:val="Normal"/>
    <w:rsid w:val="008A25C8"/>
    <w:pPr>
      <w:numPr>
        <w:numId w:val="43"/>
      </w:numPr>
      <w:spacing w:after="60"/>
      <w:jc w:val="both"/>
    </w:pPr>
    <w:rPr>
      <w:rFonts w:ascii="Calibri" w:eastAsia="SimSun" w:hAnsi="Calibri"/>
      <w:sz w:val="20"/>
      <w:lang w:val="en-US" w:eastAsia="en-US"/>
    </w:rPr>
  </w:style>
  <w:style w:type="paragraph" w:customStyle="1" w:styleId="Text">
    <w:name w:val="Text"/>
    <w:basedOn w:val="Normal"/>
    <w:rsid w:val="008A25C8"/>
    <w:pPr>
      <w:spacing w:before="240" w:line="252" w:lineRule="auto"/>
      <w:jc w:val="both"/>
    </w:pPr>
    <w:rPr>
      <w:rFonts w:eastAsia="SimSun"/>
      <w:sz w:val="20"/>
      <w:szCs w:val="20"/>
      <w:lang w:val="en-US" w:eastAsia="en-US"/>
    </w:rPr>
  </w:style>
  <w:style w:type="paragraph" w:customStyle="1" w:styleId="CharCharChar11">
    <w:name w:val="Char Char Char11"/>
    <w:basedOn w:val="Normal"/>
    <w:rsid w:val="008A25C8"/>
    <w:pPr>
      <w:spacing w:after="160" w:line="240" w:lineRule="exact"/>
    </w:pPr>
    <w:rPr>
      <w:rFonts w:ascii="Calibri" w:eastAsia="SimSun" w:hAnsi="Calibri" w:cs="Arial"/>
      <w:sz w:val="20"/>
      <w:szCs w:val="20"/>
      <w:lang w:val="en-US" w:eastAsia="en-US"/>
    </w:rPr>
  </w:style>
  <w:style w:type="paragraph" w:customStyle="1" w:styleId="TableT">
    <w:name w:val="TableT"/>
    <w:basedOn w:val="Normal"/>
    <w:autoRedefine/>
    <w:rsid w:val="008A25C8"/>
    <w:pPr>
      <w:spacing w:after="60"/>
    </w:pPr>
    <w:rPr>
      <w:rFonts w:eastAsia="SimSun"/>
      <w:noProof/>
      <w:sz w:val="20"/>
      <w:szCs w:val="20"/>
      <w:lang w:val="en-US" w:eastAsia="en-US"/>
    </w:rPr>
  </w:style>
  <w:style w:type="paragraph" w:customStyle="1" w:styleId="ParaCharChar">
    <w:name w:val="Para Char Char"/>
    <w:basedOn w:val="Normal"/>
    <w:link w:val="ParaCharCharChar"/>
    <w:autoRedefine/>
    <w:rsid w:val="008A25C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ind w:right="-7"/>
    </w:pPr>
    <w:rPr>
      <w:rFonts w:ascii="Calibri" w:eastAsia="Arial Unicode MS" w:hAnsi="Calibri" w:cs="Arial"/>
      <w:sz w:val="20"/>
      <w:szCs w:val="20"/>
      <w:lang w:val="en-US" w:eastAsia="en-US"/>
    </w:rPr>
  </w:style>
  <w:style w:type="character" w:customStyle="1" w:styleId="ParaCharCharChar">
    <w:name w:val="Para Char Char Char"/>
    <w:link w:val="ParaCharChar"/>
    <w:rsid w:val="008A25C8"/>
    <w:rPr>
      <w:rFonts w:ascii="Calibri" w:hAnsi="Calibri" w:cs="Arial"/>
      <w:bdr w:val="none" w:sz="0" w:space="0" w:color="auto"/>
      <w:lang w:val="en-US" w:eastAsia="en-US"/>
    </w:rPr>
  </w:style>
  <w:style w:type="paragraph" w:customStyle="1" w:styleId="TableHCharCharChar">
    <w:name w:val="TableH Char Char Char"/>
    <w:basedOn w:val="Normal"/>
    <w:link w:val="TableHCharCharCharChar"/>
    <w:autoRedefine/>
    <w:rsid w:val="008A25C8"/>
    <w:pPr>
      <w:spacing w:before="240" w:after="60"/>
    </w:pPr>
    <w:rPr>
      <w:rFonts w:eastAsia="SimSun"/>
      <w:b/>
      <w:sz w:val="21"/>
      <w:szCs w:val="22"/>
      <w:lang w:val="en-US" w:eastAsia="en-US"/>
    </w:rPr>
  </w:style>
  <w:style w:type="character" w:customStyle="1" w:styleId="TableHCharCharCharChar">
    <w:name w:val="TableH Char Char Char Char"/>
    <w:link w:val="TableHCharCharChar"/>
    <w:rsid w:val="008A25C8"/>
    <w:rPr>
      <w:rFonts w:eastAsia="SimSun"/>
      <w:b/>
      <w:sz w:val="21"/>
      <w:szCs w:val="22"/>
      <w:bdr w:val="none" w:sz="0" w:space="0" w:color="auto"/>
      <w:lang w:val="en-US" w:eastAsia="en-US"/>
    </w:rPr>
  </w:style>
  <w:style w:type="character" w:customStyle="1" w:styleId="highlighttext">
    <w:name w:val="highlighttext"/>
    <w:rsid w:val="008A25C8"/>
    <w:rPr>
      <w:rFonts w:ascii="Times New Roman" w:hAnsi="Times New Roman"/>
      <w:sz w:val="22"/>
      <w:bdr w:val="none" w:sz="0" w:space="0" w:color="auto"/>
      <w:shd w:val="clear" w:color="auto" w:fill="B3B3B3"/>
    </w:rPr>
  </w:style>
  <w:style w:type="paragraph" w:customStyle="1" w:styleId="steptext">
    <w:name w:val="steptext"/>
    <w:basedOn w:val="Normal"/>
    <w:rsid w:val="008A25C8"/>
    <w:rPr>
      <w:rFonts w:eastAsia="SimSun"/>
      <w:sz w:val="20"/>
      <w:lang w:val="en-US" w:eastAsia="en-US"/>
    </w:rPr>
  </w:style>
  <w:style w:type="paragraph" w:customStyle="1" w:styleId="NumberedList2">
    <w:name w:val="Numbered List 2"/>
    <w:aliases w:val="nl2"/>
    <w:basedOn w:val="Normal"/>
    <w:rsid w:val="008A25C8"/>
    <w:pPr>
      <w:spacing w:line="240" w:lineRule="atLeast"/>
      <w:ind w:hanging="360"/>
    </w:pPr>
    <w:rPr>
      <w:rFonts w:ascii="Arial Unicode MS" w:eastAsia="SimSun" w:hAnsi="Arial Unicode MS"/>
      <w:sz w:val="20"/>
      <w:szCs w:val="22"/>
      <w:lang w:val="en-US" w:eastAsia="en-US"/>
    </w:rPr>
  </w:style>
  <w:style w:type="paragraph" w:customStyle="1" w:styleId="CharChar">
    <w:name w:val="Char Char Знак Знак"/>
    <w:basedOn w:val="Normal"/>
    <w:rsid w:val="008A25C8"/>
    <w:pPr>
      <w:spacing w:after="160" w:line="240" w:lineRule="exact"/>
    </w:pPr>
    <w:rPr>
      <w:rFonts w:eastAsia="SimSun" w:cs="Arial"/>
      <w:sz w:val="20"/>
      <w:szCs w:val="20"/>
      <w:lang w:val="de-CH" w:eastAsia="de-CH"/>
    </w:rPr>
  </w:style>
  <w:style w:type="paragraph" w:styleId="PlainText">
    <w:name w:val="Plain Text"/>
    <w:basedOn w:val="Normal"/>
    <w:link w:val="PlainTextChar"/>
    <w:uiPriority w:val="99"/>
    <w:unhideWhenUsed/>
    <w:rsid w:val="008A25C8"/>
    <w:rPr>
      <w:rFonts w:ascii="Consolas" w:eastAsia="Calibri" w:hAnsi="Consolas"/>
      <w:sz w:val="21"/>
      <w:szCs w:val="21"/>
      <w:lang w:val="en-US" w:eastAsia="en-US"/>
    </w:rPr>
  </w:style>
  <w:style w:type="character" w:customStyle="1" w:styleId="PlainTextChar">
    <w:name w:val="Plain Text Char"/>
    <w:basedOn w:val="DefaultParagraphFont"/>
    <w:link w:val="PlainText"/>
    <w:uiPriority w:val="99"/>
    <w:rsid w:val="008A25C8"/>
    <w:rPr>
      <w:rFonts w:ascii="Consolas" w:eastAsia="Calibri" w:hAnsi="Consolas"/>
      <w:sz w:val="21"/>
      <w:szCs w:val="21"/>
      <w:bdr w:val="none" w:sz="0" w:space="0" w:color="auto"/>
      <w:lang w:val="en-US" w:eastAsia="en-US"/>
    </w:rPr>
  </w:style>
  <w:style w:type="paragraph" w:styleId="NoSpacing">
    <w:name w:val="No Spacing"/>
    <w:link w:val="NoSpacingChar"/>
    <w:uiPriority w:val="1"/>
    <w:qFormat/>
    <w:rsid w:val="008A25C8"/>
    <w:pPr>
      <w:pBdr>
        <w:top w:val="none" w:sz="0" w:space="0" w:color="auto"/>
        <w:left w:val="none" w:sz="0" w:space="0" w:color="auto"/>
        <w:bottom w:val="none" w:sz="0" w:space="0" w:color="auto"/>
        <w:right w:val="none" w:sz="0" w:space="0" w:color="auto"/>
        <w:between w:val="none" w:sz="0" w:space="0" w:color="auto"/>
        <w:bar w:val="none" w:sz="0" w:color="auto"/>
      </w:pBdr>
    </w:pPr>
    <w:rPr>
      <w:rFonts w:ascii="Times" w:eastAsia="Times" w:hAnsi="Times"/>
      <w:sz w:val="24"/>
      <w:szCs w:val="24"/>
      <w:bdr w:val="none" w:sz="0" w:space="0" w:color="auto"/>
      <w:lang w:val="en-US" w:eastAsia="en-US"/>
    </w:rPr>
  </w:style>
  <w:style w:type="character" w:customStyle="1" w:styleId="NoSpacingChar">
    <w:name w:val="No Spacing Char"/>
    <w:link w:val="NoSpacing"/>
    <w:uiPriority w:val="1"/>
    <w:rsid w:val="008A25C8"/>
    <w:rPr>
      <w:rFonts w:ascii="Times" w:eastAsia="Times" w:hAnsi="Times"/>
      <w:sz w:val="24"/>
      <w:szCs w:val="24"/>
      <w:bdr w:val="none" w:sz="0" w:space="0" w:color="auto"/>
      <w:lang w:val="en-US" w:eastAsia="en-US"/>
    </w:rPr>
  </w:style>
  <w:style w:type="character" w:customStyle="1" w:styleId="PlainTextChar1">
    <w:name w:val="Plain Text Char1"/>
    <w:uiPriority w:val="99"/>
    <w:locked/>
    <w:rsid w:val="008A25C8"/>
    <w:rPr>
      <w:rFonts w:ascii="Consolas" w:eastAsia="Times New Roman" w:hAnsi="Consolas" w:cs="Times New Roman"/>
      <w:sz w:val="20"/>
      <w:szCs w:val="20"/>
    </w:rPr>
  </w:style>
  <w:style w:type="character" w:styleId="IntenseReference">
    <w:name w:val="Intense Reference"/>
    <w:uiPriority w:val="32"/>
    <w:qFormat/>
    <w:rsid w:val="008A25C8"/>
    <w:rPr>
      <w:b/>
      <w:bCs/>
      <w:smallCaps/>
      <w:color w:val="C0504D"/>
      <w:spacing w:val="5"/>
      <w:u w:val="single"/>
    </w:rPr>
  </w:style>
  <w:style w:type="character" w:customStyle="1" w:styleId="StyleHeading2NotBoldChar">
    <w:name w:val="Style Heading 2 + Not Bold Char"/>
    <w:rsid w:val="008A25C8"/>
    <w:rPr>
      <w:rFonts w:ascii="Book Antiqua" w:hAnsi="Book Antiqua" w:cs="Arial"/>
      <w:b/>
      <w:i/>
      <w:sz w:val="22"/>
      <w:szCs w:val="28"/>
      <w:lang w:val="en-US" w:eastAsia="ar-SA"/>
    </w:rPr>
  </w:style>
  <w:style w:type="character" w:customStyle="1" w:styleId="apple-converted-space">
    <w:name w:val="apple-converted-space"/>
    <w:basedOn w:val="DefaultParagraphFont"/>
    <w:rsid w:val="008A25C8"/>
  </w:style>
  <w:style w:type="paragraph" w:customStyle="1" w:styleId="GEFFieldtoFillout">
    <w:name w:val="GEF Field to Fill out"/>
    <w:basedOn w:val="Normal"/>
    <w:link w:val="GEFFieldtoFilloutChar"/>
    <w:qFormat/>
    <w:rsid w:val="008A25C8"/>
    <w:pPr>
      <w:ind w:left="-720"/>
    </w:pPr>
    <w:rPr>
      <w:rFonts w:eastAsia="Times New Roman"/>
      <w:color w:val="000000"/>
      <w:sz w:val="22"/>
      <w:szCs w:val="22"/>
      <w:lang w:val="x-none" w:eastAsia="x-none"/>
    </w:rPr>
  </w:style>
  <w:style w:type="character" w:customStyle="1" w:styleId="GEFFieldtoFilloutChar">
    <w:name w:val="GEF Field to Fill out Char"/>
    <w:link w:val="GEFFieldtoFillout"/>
    <w:rsid w:val="008A25C8"/>
    <w:rPr>
      <w:rFonts w:eastAsia="Times New Roman"/>
      <w:color w:val="000000"/>
      <w:sz w:val="22"/>
      <w:szCs w:val="22"/>
      <w:bdr w:val="none" w:sz="0" w:space="0" w:color="auto"/>
      <w:lang w:val="x-none" w:eastAsia="x-none"/>
    </w:rPr>
  </w:style>
  <w:style w:type="paragraph" w:customStyle="1" w:styleId="ListParagraph2">
    <w:name w:val="List Paragraph2"/>
    <w:basedOn w:val="Normal"/>
    <w:rsid w:val="008A25C8"/>
    <w:pPr>
      <w:spacing w:after="200" w:line="276" w:lineRule="auto"/>
      <w:ind w:left="720"/>
    </w:pPr>
    <w:rPr>
      <w:rFonts w:ascii="Calibri" w:eastAsia="MS Mincho" w:hAnsi="Calibri"/>
      <w:sz w:val="22"/>
      <w:szCs w:val="22"/>
      <w:lang w:val="es-MX" w:eastAsia="en-US"/>
    </w:rPr>
  </w:style>
  <w:style w:type="table" w:customStyle="1" w:styleId="TableGrid1">
    <w:name w:val="Table Grid1"/>
    <w:basedOn w:val="TableNormal"/>
    <w:next w:val="TableGrid"/>
    <w:uiPriority w:val="59"/>
    <w:rsid w:val="008A25C8"/>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8A25C8"/>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A25C8"/>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A25C8"/>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SimSun" w:hAnsi="Calibri"/>
      <w:szCs w:val="24"/>
      <w:bdr w:val="none" w:sz="0" w:space="0" w:color="auto"/>
      <w:lang w:val="en-US" w:eastAsia="en-US"/>
    </w:rPr>
  </w:style>
  <w:style w:type="paragraph" w:customStyle="1" w:styleId="TableStyle2">
    <w:name w:val="Table Style 2"/>
    <w:rsid w:val="008A25C8"/>
    <w:rPr>
      <w:rFonts w:ascii="Helvetica" w:eastAsia="Helvetica" w:hAnsi="Helvetica" w:cs="Helvetica"/>
      <w:color w:val="000000"/>
    </w:rPr>
  </w:style>
  <w:style w:type="table" w:customStyle="1" w:styleId="TableNormal1">
    <w:name w:val="Table Normal1"/>
    <w:rsid w:val="008A25C8"/>
    <w:pPr>
      <w:pBdr>
        <w:top w:val="none" w:sz="96" w:space="31" w:color="FFFFFF" w:shadow="1" w:frame="1"/>
        <w:left w:val="none" w:sz="96" w:space="31" w:color="FFFFFF" w:shadow="1" w:frame="1"/>
        <w:bottom w:val="none" w:sz="96" w:space="31" w:color="FFFFFF" w:shadow="1" w:frame="1"/>
        <w:right w:val="none" w:sz="96" w:space="31" w:color="FFFFFF" w:shadow="1" w:frame="1"/>
        <w:between w:val="none" w:sz="0" w:space="0" w:color="auto"/>
        <w:bar w:val="none" w:sz="0" w:color="auto"/>
      </w:pBdr>
    </w:pPr>
    <w:rPr>
      <w:rFonts w:eastAsia="Times New Roman"/>
      <w:bdr w:val="none" w:sz="0" w:space="0" w:color="auto"/>
      <w:lang w:val="es-PE" w:eastAsia="es-PE"/>
    </w:rPr>
    <w:tblPr>
      <w:tblInd w:w="0" w:type="dxa"/>
      <w:tblCellMar>
        <w:top w:w="0" w:type="dxa"/>
        <w:left w:w="0" w:type="dxa"/>
        <w:bottom w:w="0" w:type="dxa"/>
        <w:right w:w="0" w:type="dxa"/>
      </w:tblCellMar>
    </w:tblPr>
  </w:style>
  <w:style w:type="paragraph" w:customStyle="1" w:styleId="TableStyle1">
    <w:name w:val="Table Style 1"/>
    <w:rsid w:val="008A25C8"/>
    <w:rPr>
      <w:rFonts w:ascii="Helvetica" w:eastAsia="Helvetica" w:hAnsi="Helvetica" w:cs="Helvetica"/>
      <w:b/>
      <w:bCs/>
      <w:color w:val="000000"/>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uiPriority w:val="99"/>
    <w:rsid w:val="008A25C8"/>
    <w:pPr>
      <w:spacing w:after="160" w:line="240" w:lineRule="exact"/>
      <w:jc w:val="both"/>
    </w:pPr>
    <w:rPr>
      <w:rFonts w:ascii="Arial" w:hAnsi="Arial"/>
      <w:sz w:val="18"/>
      <w:szCs w:val="22"/>
      <w:vertAlign w:val="superscript"/>
      <w:lang w:eastAsia="en-US"/>
    </w:rPr>
  </w:style>
  <w:style w:type="paragraph" w:styleId="ListBullet">
    <w:name w:val="List Bullet"/>
    <w:basedOn w:val="Normal"/>
    <w:uiPriority w:val="9"/>
    <w:qFormat/>
    <w:rsid w:val="008A25C8"/>
    <w:pPr>
      <w:numPr>
        <w:numId w:val="49"/>
      </w:numPr>
      <w:spacing w:after="120" w:line="259" w:lineRule="auto"/>
    </w:pPr>
    <w:rPr>
      <w:rFonts w:asciiTheme="minorHAnsi" w:hAnsiTheme="minorHAnsi" w:cstheme="minorBidi"/>
      <w:color w:val="595959" w:themeColor="text1" w:themeTint="A6"/>
      <w:sz w:val="30"/>
      <w:szCs w:val="30"/>
      <w:lang w:val="es-ES" w:eastAsia="ja-JP"/>
    </w:rPr>
  </w:style>
  <w:style w:type="character" w:customStyle="1" w:styleId="Heading6Char">
    <w:name w:val="Heading 6 Char"/>
    <w:basedOn w:val="DefaultParagraphFont"/>
    <w:link w:val="Heading6"/>
    <w:uiPriority w:val="99"/>
    <w:rsid w:val="00EB0DA9"/>
    <w:rPr>
      <w:rFonts w:ascii="Arial" w:eastAsia="Times New Roman" w:hAnsi="Arial"/>
      <w:i/>
      <w:sz w:val="22"/>
      <w:szCs w:val="24"/>
      <w:bdr w:val="none" w:sz="0" w:space="0" w:color="auto"/>
      <w:lang w:eastAsia="en-US"/>
    </w:rPr>
  </w:style>
  <w:style w:type="character" w:customStyle="1" w:styleId="Heading7Char">
    <w:name w:val="Heading 7 Char"/>
    <w:basedOn w:val="DefaultParagraphFont"/>
    <w:link w:val="Heading7"/>
    <w:uiPriority w:val="99"/>
    <w:rsid w:val="00EB0DA9"/>
    <w:rPr>
      <w:rFonts w:ascii="Arial" w:eastAsia="Times New Roman" w:hAnsi="Arial"/>
      <w:szCs w:val="24"/>
      <w:bdr w:val="none" w:sz="0" w:space="0" w:color="auto"/>
      <w:lang w:eastAsia="en-US"/>
    </w:rPr>
  </w:style>
  <w:style w:type="character" w:customStyle="1" w:styleId="Heading9Char">
    <w:name w:val="Heading 9 Char"/>
    <w:basedOn w:val="DefaultParagraphFont"/>
    <w:link w:val="Heading9"/>
    <w:uiPriority w:val="99"/>
    <w:rsid w:val="00EB0DA9"/>
    <w:rPr>
      <w:rFonts w:ascii="Arial" w:eastAsia="Times New Roman" w:hAnsi="Arial"/>
      <w:i/>
      <w:sz w:val="18"/>
      <w:szCs w:val="24"/>
      <w:bdr w:val="none" w:sz="0" w:space="0" w:color="auto"/>
      <w:lang w:eastAsia="en-US"/>
    </w:rPr>
  </w:style>
  <w:style w:type="paragraph" w:customStyle="1" w:styleId="no-numBodyText4">
    <w:name w:val="no-num Body Text 4"/>
    <w:basedOn w:val="Normal"/>
    <w:link w:val="no-numBodyText4Char"/>
    <w:autoRedefine/>
    <w:qFormat/>
    <w:rsid w:val="00EB0DA9"/>
    <w:pPr>
      <w:spacing w:before="80" w:after="80"/>
      <w:ind w:right="128"/>
      <w:jc w:val="right"/>
    </w:pPr>
    <w:rPr>
      <w:rFonts w:eastAsia="Calibri"/>
      <w:color w:val="000000"/>
      <w:sz w:val="22"/>
      <w:szCs w:val="22"/>
    </w:rPr>
  </w:style>
  <w:style w:type="character" w:customStyle="1" w:styleId="no-numBodyText4Char">
    <w:name w:val="no-num Body Text 4 Char"/>
    <w:link w:val="no-numBodyText4"/>
    <w:rsid w:val="00EB0DA9"/>
    <w:rPr>
      <w:rFonts w:eastAsia="Calibri"/>
      <w:color w:val="000000"/>
      <w:sz w:val="22"/>
      <w:szCs w:val="22"/>
      <w:bdr w:val="none" w:sz="0" w:space="0" w:color="auto"/>
    </w:rPr>
  </w:style>
  <w:style w:type="paragraph" w:customStyle="1" w:styleId="GEFleveltwoheadings">
    <w:name w:val="GEF level two headings"/>
    <w:basedOn w:val="Footer"/>
    <w:link w:val="GEFleveltwoheadingsChar"/>
    <w:autoRedefine/>
    <w:qFormat/>
    <w:rsid w:val="00EB0DA9"/>
    <w:pPr>
      <w:pBdr>
        <w:top w:val="none" w:sz="0" w:space="0" w:color="auto"/>
        <w:left w:val="none" w:sz="0" w:space="0" w:color="auto"/>
        <w:bottom w:val="none" w:sz="0" w:space="0" w:color="auto"/>
        <w:right w:val="none" w:sz="0" w:space="0" w:color="auto"/>
        <w:between w:val="none" w:sz="0" w:space="0" w:color="auto"/>
        <w:bar w:val="none" w:sz="0" w:color="auto"/>
      </w:pBdr>
      <w:tabs>
        <w:tab w:val="clear" w:pos="4153"/>
        <w:tab w:val="clear" w:pos="8306"/>
        <w:tab w:val="left" w:pos="270"/>
      </w:tabs>
      <w:spacing w:before="240" w:after="80"/>
      <w:jc w:val="left"/>
    </w:pPr>
    <w:rPr>
      <w:rFonts w:ascii="Times New Roman" w:eastAsia="MS Mincho" w:hAnsi="Times New Roman" w:cs="Times New Roman"/>
      <w:bCs/>
      <w:smallCaps/>
      <w:color w:val="auto"/>
      <w:sz w:val="22"/>
      <w:szCs w:val="22"/>
      <w:bdr w:val="none" w:sz="0" w:space="0" w:color="auto"/>
      <w:lang w:val="en-GB"/>
    </w:rPr>
  </w:style>
  <w:style w:type="character" w:customStyle="1" w:styleId="GEFleveltwoheadingsChar">
    <w:name w:val="GEF level two headings Char"/>
    <w:link w:val="GEFleveltwoheadings"/>
    <w:rsid w:val="00EB0DA9"/>
    <w:rPr>
      <w:rFonts w:eastAsia="MS Mincho"/>
      <w:bCs/>
      <w:smallCaps/>
      <w:sz w:val="22"/>
      <w:szCs w:val="22"/>
      <w:bdr w:val="none" w:sz="0" w:space="0" w:color="auto"/>
    </w:rPr>
  </w:style>
  <w:style w:type="paragraph" w:styleId="TOC7">
    <w:name w:val="toc 7"/>
    <w:basedOn w:val="Normal"/>
    <w:next w:val="Normal"/>
    <w:autoRedefine/>
    <w:uiPriority w:val="39"/>
    <w:unhideWhenUsed/>
    <w:rsid w:val="000E757D"/>
    <w:pPr>
      <w:spacing w:after="100" w:line="259"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0E757D"/>
    <w:pPr>
      <w:spacing w:after="100" w:line="259"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0E757D"/>
    <w:pPr>
      <w:spacing w:after="100" w:line="259" w:lineRule="auto"/>
      <w:ind w:left="1760"/>
    </w:pPr>
    <w:rPr>
      <w:rFonts w:asciiTheme="minorHAnsi" w:eastAsiaTheme="minorEastAsia" w:hAnsiTheme="minorHAnsi" w:cstheme="minorBidi"/>
      <w:sz w:val="22"/>
      <w:szCs w:val="22"/>
    </w:rPr>
  </w:style>
  <w:style w:type="paragraph" w:customStyle="1" w:styleId="msonormal0">
    <w:name w:val="msonormal"/>
    <w:basedOn w:val="Normal"/>
    <w:rsid w:val="002E7EDA"/>
    <w:pPr>
      <w:spacing w:before="100" w:beforeAutospacing="1" w:after="100" w:afterAutospacing="1"/>
    </w:pPr>
    <w:rPr>
      <w:rFonts w:eastAsia="Times New Roman"/>
    </w:rPr>
  </w:style>
  <w:style w:type="paragraph" w:customStyle="1" w:styleId="xl65">
    <w:name w:val="xl65"/>
    <w:basedOn w:val="Normal"/>
    <w:rsid w:val="002E7ED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textAlignment w:val="center"/>
    </w:pPr>
    <w:rPr>
      <w:rFonts w:eastAsia="Times New Roman"/>
      <w:b/>
      <w:bCs/>
      <w:sz w:val="18"/>
      <w:szCs w:val="18"/>
    </w:rPr>
  </w:style>
  <w:style w:type="paragraph" w:customStyle="1" w:styleId="xl66">
    <w:name w:val="xl66"/>
    <w:basedOn w:val="Normal"/>
    <w:rsid w:val="002E7EDA"/>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eastAsia="Times New Roman"/>
      <w:sz w:val="18"/>
      <w:szCs w:val="18"/>
    </w:rPr>
  </w:style>
  <w:style w:type="paragraph" w:customStyle="1" w:styleId="xl67">
    <w:name w:val="xl67"/>
    <w:basedOn w:val="Normal"/>
    <w:rsid w:val="002E7ED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rPr>
  </w:style>
  <w:style w:type="paragraph" w:customStyle="1" w:styleId="xl68">
    <w:name w:val="xl68"/>
    <w:basedOn w:val="Normal"/>
    <w:rsid w:val="002E7E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rFonts w:eastAsia="Times New Roman"/>
      <w:sz w:val="18"/>
      <w:szCs w:val="18"/>
    </w:rPr>
  </w:style>
  <w:style w:type="paragraph" w:customStyle="1" w:styleId="xl69">
    <w:name w:val="xl69"/>
    <w:basedOn w:val="Normal"/>
    <w:rsid w:val="002E7E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18"/>
      <w:szCs w:val="18"/>
    </w:rPr>
  </w:style>
  <w:style w:type="paragraph" w:customStyle="1" w:styleId="xl70">
    <w:name w:val="xl70"/>
    <w:basedOn w:val="Normal"/>
    <w:rsid w:val="002E7ED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right"/>
      <w:textAlignment w:val="center"/>
    </w:pPr>
    <w:rPr>
      <w:rFonts w:eastAsia="Times New Roman"/>
      <w:b/>
      <w:bCs/>
      <w:sz w:val="18"/>
      <w:szCs w:val="18"/>
    </w:rPr>
  </w:style>
  <w:style w:type="paragraph" w:customStyle="1" w:styleId="xl71">
    <w:name w:val="xl71"/>
    <w:basedOn w:val="Normal"/>
    <w:rsid w:val="002E7EDA"/>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right"/>
      <w:textAlignment w:val="center"/>
    </w:pPr>
    <w:rPr>
      <w:rFonts w:eastAsia="Times New Roman"/>
      <w:b/>
      <w:bCs/>
      <w:sz w:val="18"/>
      <w:szCs w:val="18"/>
    </w:rPr>
  </w:style>
  <w:style w:type="paragraph" w:customStyle="1" w:styleId="xl72">
    <w:name w:val="xl72"/>
    <w:basedOn w:val="Normal"/>
    <w:rsid w:val="002E7EDA"/>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eastAsia="Times New Roman"/>
      <w:b/>
      <w:bCs/>
      <w:sz w:val="18"/>
      <w:szCs w:val="18"/>
    </w:rPr>
  </w:style>
  <w:style w:type="paragraph" w:customStyle="1" w:styleId="xl73">
    <w:name w:val="xl73"/>
    <w:basedOn w:val="Normal"/>
    <w:rsid w:val="002E7ED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rFonts w:eastAsia="Times New Roman"/>
      <w:sz w:val="18"/>
      <w:szCs w:val="18"/>
    </w:rPr>
  </w:style>
  <w:style w:type="paragraph" w:customStyle="1" w:styleId="xl74">
    <w:name w:val="xl74"/>
    <w:basedOn w:val="Normal"/>
    <w:rsid w:val="002E7ED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sz w:val="18"/>
      <w:szCs w:val="18"/>
    </w:rPr>
  </w:style>
  <w:style w:type="paragraph" w:customStyle="1" w:styleId="xl75">
    <w:name w:val="xl75"/>
    <w:basedOn w:val="Normal"/>
    <w:rsid w:val="002E7ED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center"/>
      <w:textAlignment w:val="center"/>
    </w:pPr>
    <w:rPr>
      <w:rFonts w:eastAsia="Times New Roman"/>
      <w:b/>
      <w:bCs/>
      <w:sz w:val="18"/>
      <w:szCs w:val="18"/>
    </w:rPr>
  </w:style>
  <w:style w:type="paragraph" w:customStyle="1" w:styleId="xl76">
    <w:name w:val="xl76"/>
    <w:basedOn w:val="Normal"/>
    <w:rsid w:val="002E7ED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sz w:val="18"/>
      <w:szCs w:val="18"/>
    </w:rPr>
  </w:style>
  <w:style w:type="paragraph" w:customStyle="1" w:styleId="xl77">
    <w:name w:val="xl77"/>
    <w:basedOn w:val="Normal"/>
    <w:rsid w:val="002E7EDA"/>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eastAsia="Times New Roman"/>
      <w:b/>
      <w:bCs/>
      <w:sz w:val="18"/>
      <w:szCs w:val="18"/>
    </w:rPr>
  </w:style>
  <w:style w:type="paragraph" w:customStyle="1" w:styleId="xl78">
    <w:name w:val="xl78"/>
    <w:basedOn w:val="Normal"/>
    <w:rsid w:val="002E7ED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rPr>
  </w:style>
  <w:style w:type="paragraph" w:customStyle="1" w:styleId="xl79">
    <w:name w:val="xl79"/>
    <w:basedOn w:val="Normal"/>
    <w:rsid w:val="002E7EDA"/>
    <w:pPr>
      <w:pBdr>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18"/>
      <w:szCs w:val="18"/>
    </w:rPr>
  </w:style>
  <w:style w:type="paragraph" w:customStyle="1" w:styleId="xl80">
    <w:name w:val="xl80"/>
    <w:basedOn w:val="Normal"/>
    <w:rsid w:val="002E7EDA"/>
    <w:pPr>
      <w:pBdr>
        <w:left w:val="single" w:sz="4" w:space="0" w:color="auto"/>
        <w:right w:val="single" w:sz="4" w:space="0" w:color="auto"/>
      </w:pBdr>
      <w:shd w:val="clear" w:color="000000" w:fill="FFFFFF"/>
      <w:spacing w:before="100" w:beforeAutospacing="1" w:after="100" w:afterAutospacing="1"/>
      <w:jc w:val="both"/>
      <w:textAlignment w:val="center"/>
    </w:pPr>
    <w:rPr>
      <w:rFonts w:eastAsia="Times New Roman"/>
      <w:sz w:val="18"/>
      <w:szCs w:val="18"/>
    </w:rPr>
  </w:style>
  <w:style w:type="paragraph" w:customStyle="1" w:styleId="xl81">
    <w:name w:val="xl81"/>
    <w:basedOn w:val="Normal"/>
    <w:rsid w:val="002E7ED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8"/>
      <w:szCs w:val="18"/>
    </w:rPr>
  </w:style>
  <w:style w:type="paragraph" w:customStyle="1" w:styleId="xl82">
    <w:name w:val="xl82"/>
    <w:basedOn w:val="Normal"/>
    <w:rsid w:val="002E7ED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both"/>
      <w:textAlignment w:val="center"/>
    </w:pPr>
    <w:rPr>
      <w:rFonts w:eastAsia="Times New Roman"/>
      <w:b/>
      <w:bCs/>
      <w:sz w:val="18"/>
      <w:szCs w:val="18"/>
    </w:rPr>
  </w:style>
  <w:style w:type="paragraph" w:customStyle="1" w:styleId="xl83">
    <w:name w:val="xl83"/>
    <w:basedOn w:val="Normal"/>
    <w:rsid w:val="002E7EDA"/>
    <w:pPr>
      <w:pBdr>
        <w:left w:val="single" w:sz="4" w:space="0" w:color="auto"/>
        <w:right w:val="single" w:sz="4" w:space="0" w:color="auto"/>
      </w:pBdr>
      <w:spacing w:before="100" w:beforeAutospacing="1" w:after="100" w:afterAutospacing="1"/>
      <w:jc w:val="center"/>
      <w:textAlignment w:val="center"/>
    </w:pPr>
    <w:rPr>
      <w:rFonts w:eastAsia="Times New Roman"/>
      <w:sz w:val="18"/>
      <w:szCs w:val="18"/>
    </w:rPr>
  </w:style>
  <w:style w:type="paragraph" w:customStyle="1" w:styleId="xl84">
    <w:name w:val="xl84"/>
    <w:basedOn w:val="Normal"/>
    <w:rsid w:val="002E7ED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rPr>
  </w:style>
  <w:style w:type="paragraph" w:customStyle="1" w:styleId="xl85">
    <w:name w:val="xl85"/>
    <w:basedOn w:val="Normal"/>
    <w:rsid w:val="002E7ED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rPr>
  </w:style>
  <w:style w:type="paragraph" w:customStyle="1" w:styleId="xl86">
    <w:name w:val="xl86"/>
    <w:basedOn w:val="Normal"/>
    <w:rsid w:val="002E7EDA"/>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jc w:val="both"/>
      <w:textAlignment w:val="center"/>
    </w:pPr>
    <w:rPr>
      <w:rFonts w:eastAsia="Times New Roman"/>
      <w:sz w:val="18"/>
      <w:szCs w:val="18"/>
    </w:rPr>
  </w:style>
  <w:style w:type="paragraph" w:customStyle="1" w:styleId="xl87">
    <w:name w:val="xl87"/>
    <w:basedOn w:val="Normal"/>
    <w:rsid w:val="002E7EDA"/>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eastAsia="Times New Roman"/>
      <w:sz w:val="18"/>
      <w:szCs w:val="18"/>
    </w:rPr>
  </w:style>
  <w:style w:type="paragraph" w:customStyle="1" w:styleId="xl88">
    <w:name w:val="xl88"/>
    <w:basedOn w:val="Normal"/>
    <w:rsid w:val="002E7EDA"/>
    <w:pPr>
      <w:pBdr>
        <w:left w:val="single" w:sz="4" w:space="0" w:color="auto"/>
        <w:right w:val="single" w:sz="4" w:space="0" w:color="auto"/>
      </w:pBdr>
      <w:spacing w:before="100" w:beforeAutospacing="1" w:after="100" w:afterAutospacing="1"/>
      <w:jc w:val="center"/>
      <w:textAlignment w:val="center"/>
    </w:pPr>
    <w:rPr>
      <w:rFonts w:eastAsia="Times New Roman"/>
      <w:sz w:val="18"/>
      <w:szCs w:val="18"/>
    </w:rPr>
  </w:style>
  <w:style w:type="paragraph" w:customStyle="1" w:styleId="xl89">
    <w:name w:val="xl89"/>
    <w:basedOn w:val="Normal"/>
    <w:rsid w:val="002E7ED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18"/>
      <w:szCs w:val="18"/>
    </w:rPr>
  </w:style>
  <w:style w:type="paragraph" w:customStyle="1" w:styleId="xl90">
    <w:name w:val="xl90"/>
    <w:basedOn w:val="Normal"/>
    <w:rsid w:val="002E7EDA"/>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rPr>
  </w:style>
  <w:style w:type="paragraph" w:customStyle="1" w:styleId="xl91">
    <w:name w:val="xl91"/>
    <w:basedOn w:val="Normal"/>
    <w:rsid w:val="002E7ED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rPr>
  </w:style>
  <w:style w:type="paragraph" w:customStyle="1" w:styleId="xl92">
    <w:name w:val="xl92"/>
    <w:basedOn w:val="Normal"/>
    <w:rsid w:val="002E7ED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rPr>
  </w:style>
  <w:style w:type="paragraph" w:customStyle="1" w:styleId="xl93">
    <w:name w:val="xl93"/>
    <w:basedOn w:val="Normal"/>
    <w:rsid w:val="002E7ED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sz w:val="18"/>
      <w:szCs w:val="18"/>
    </w:rPr>
  </w:style>
  <w:style w:type="paragraph" w:customStyle="1" w:styleId="xl94">
    <w:name w:val="xl94"/>
    <w:basedOn w:val="Normal"/>
    <w:rsid w:val="002E7ED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rPr>
  </w:style>
  <w:style w:type="paragraph" w:customStyle="1" w:styleId="xl95">
    <w:name w:val="xl95"/>
    <w:basedOn w:val="Normal"/>
    <w:rsid w:val="002E7EDA"/>
    <w:pPr>
      <w:pBdr>
        <w:left w:val="single" w:sz="4" w:space="0" w:color="auto"/>
        <w:right w:val="single" w:sz="4" w:space="0" w:color="auto"/>
      </w:pBdr>
      <w:spacing w:before="100" w:beforeAutospacing="1" w:after="100" w:afterAutospacing="1"/>
      <w:jc w:val="center"/>
      <w:textAlignment w:val="center"/>
    </w:pPr>
    <w:rPr>
      <w:rFonts w:eastAsia="Times New Roman"/>
      <w:b/>
      <w:bCs/>
      <w:sz w:val="18"/>
      <w:szCs w:val="18"/>
    </w:rPr>
  </w:style>
  <w:style w:type="paragraph" w:customStyle="1" w:styleId="xl96">
    <w:name w:val="xl96"/>
    <w:basedOn w:val="Normal"/>
    <w:rsid w:val="002E7EDA"/>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sz w:val="18"/>
      <w:szCs w:val="18"/>
    </w:rPr>
  </w:style>
  <w:style w:type="paragraph" w:customStyle="1" w:styleId="xl97">
    <w:name w:val="xl97"/>
    <w:basedOn w:val="Normal"/>
    <w:rsid w:val="002E7EDA"/>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b/>
      <w:bCs/>
      <w:sz w:val="18"/>
      <w:szCs w:val="18"/>
    </w:rPr>
  </w:style>
  <w:style w:type="paragraph" w:customStyle="1" w:styleId="xl98">
    <w:name w:val="xl98"/>
    <w:basedOn w:val="Normal"/>
    <w:rsid w:val="002E7EDA"/>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right"/>
      <w:textAlignment w:val="center"/>
    </w:pPr>
    <w:rPr>
      <w:rFonts w:eastAsia="Times New Roman"/>
      <w:sz w:val="18"/>
      <w:szCs w:val="18"/>
    </w:rPr>
  </w:style>
  <w:style w:type="paragraph" w:customStyle="1" w:styleId="Body2">
    <w:name w:val="Body 2"/>
    <w:rsid w:val="00C717FE"/>
    <w:pPr>
      <w:suppressAutoHyphens/>
      <w:spacing w:line="288" w:lineRule="auto"/>
    </w:pPr>
    <w:rPr>
      <w:rFonts w:ascii="Helvetica Neue Light" w:eastAsia="Helvetica Neue Light" w:hAnsi="Helvetica Neue Light" w:cs="Helvetica Neue Light"/>
      <w:color w:val="000000"/>
      <w:lang w:val="es-PE" w:eastAsia="es-PE"/>
    </w:rPr>
  </w:style>
  <w:style w:type="paragraph" w:customStyle="1" w:styleId="Subheading">
    <w:name w:val="Subheading"/>
    <w:next w:val="Body2"/>
    <w:rsid w:val="00C717FE"/>
    <w:pPr>
      <w:spacing w:line="288" w:lineRule="auto"/>
      <w:outlineLvl w:val="0"/>
    </w:pPr>
    <w:rPr>
      <w:rFonts w:ascii="Helvetica Neue" w:hAnsi="Helvetica Neue" w:cs="Arial Unicode MS"/>
      <w:b/>
      <w:bCs/>
      <w:caps/>
      <w:color w:val="357CA2"/>
      <w:spacing w:val="4"/>
      <w:sz w:val="22"/>
      <w:szCs w:val="22"/>
      <w:lang w:val="es-ES_tradnl" w:eastAsia="es-PE"/>
    </w:rPr>
  </w:style>
  <w:style w:type="paragraph" w:styleId="Subtitle">
    <w:name w:val="Subtitle"/>
    <w:next w:val="Body2"/>
    <w:link w:val="SubtitleChar"/>
    <w:rsid w:val="00C717FE"/>
    <w:pPr>
      <w:spacing w:after="20" w:line="288" w:lineRule="auto"/>
      <w:outlineLvl w:val="3"/>
    </w:pPr>
    <w:rPr>
      <w:rFonts w:ascii="Helvetica Neue" w:eastAsia="Helvetica Neue" w:hAnsi="Helvetica Neue" w:cs="Helvetica Neue"/>
      <w:b/>
      <w:bCs/>
      <w:caps/>
      <w:color w:val="357CA2"/>
      <w:spacing w:val="13"/>
      <w:sz w:val="26"/>
      <w:szCs w:val="26"/>
      <w:lang w:val="es-PE" w:eastAsia="es-PE"/>
    </w:rPr>
  </w:style>
  <w:style w:type="character" w:customStyle="1" w:styleId="SubtitleChar">
    <w:name w:val="Subtitle Char"/>
    <w:basedOn w:val="DefaultParagraphFont"/>
    <w:link w:val="Subtitle"/>
    <w:rsid w:val="00C717FE"/>
    <w:rPr>
      <w:rFonts w:ascii="Helvetica Neue" w:eastAsia="Helvetica Neue" w:hAnsi="Helvetica Neue" w:cs="Helvetica Neue"/>
      <w:b/>
      <w:bCs/>
      <w:caps/>
      <w:color w:val="357CA2"/>
      <w:spacing w:val="13"/>
      <w:sz w:val="26"/>
      <w:szCs w:val="26"/>
      <w:lang w:val="es-PE" w:eastAsia="es-PE"/>
    </w:rPr>
  </w:style>
  <w:style w:type="numbering" w:customStyle="1" w:styleId="Bullet">
    <w:name w:val="Bullet"/>
    <w:rsid w:val="00C717FE"/>
    <w:pPr>
      <w:numPr>
        <w:numId w:val="78"/>
      </w:numPr>
    </w:pPr>
  </w:style>
  <w:style w:type="numbering" w:customStyle="1" w:styleId="Numbered">
    <w:name w:val="Numbered"/>
    <w:rsid w:val="00C717FE"/>
    <w:pPr>
      <w:numPr>
        <w:numId w:val="79"/>
      </w:numPr>
    </w:pPr>
  </w:style>
  <w:style w:type="paragraph" w:styleId="HTMLPreformatted">
    <w:name w:val="HTML Preformatted"/>
    <w:link w:val="HTMLPreformattedChar"/>
    <w:uiPriority w:val="99"/>
    <w:rsid w:val="00C717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color w:val="000000"/>
      <w:u w:color="000000"/>
      <w:lang w:val="es-ES_tradnl" w:eastAsia="es-PE"/>
    </w:rPr>
  </w:style>
  <w:style w:type="character" w:customStyle="1" w:styleId="HTMLPreformattedChar">
    <w:name w:val="HTML Preformatted Char"/>
    <w:basedOn w:val="DefaultParagraphFont"/>
    <w:link w:val="HTMLPreformatted"/>
    <w:uiPriority w:val="99"/>
    <w:rsid w:val="00C717FE"/>
    <w:rPr>
      <w:rFonts w:ascii="Courier New" w:eastAsia="Courier New" w:hAnsi="Courier New" w:cs="Courier New"/>
      <w:color w:val="000000"/>
      <w:u w:color="000000"/>
      <w:lang w:val="es-ES_tradnl" w:eastAsia="es-PE"/>
    </w:rPr>
  </w:style>
  <w:style w:type="paragraph" w:customStyle="1" w:styleId="FreeForm">
    <w:name w:val="Free Form"/>
    <w:rsid w:val="00C717FE"/>
    <w:rPr>
      <w:rFonts w:ascii="Helvetica Neue Light" w:eastAsia="Helvetica Neue Light" w:hAnsi="Helvetica Neue Light" w:cs="Helvetica Neue Light"/>
      <w:color w:val="000000"/>
      <w:lang w:val="es-PE" w:eastAsia="es-PE"/>
    </w:rPr>
  </w:style>
  <w:style w:type="paragraph" w:customStyle="1" w:styleId="Pa16">
    <w:name w:val="Pa16"/>
    <w:basedOn w:val="Default"/>
    <w:next w:val="Default"/>
    <w:uiPriority w:val="99"/>
    <w:rsid w:val="00C717FE"/>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line="301" w:lineRule="atLeast"/>
      <w:jc w:val="left"/>
    </w:pPr>
    <w:rPr>
      <w:rFonts w:ascii="Myriad Pro Cond" w:eastAsia="Arial Unicode MS" w:hAnsi="Myriad Pro Cond" w:cs="Times New Roman"/>
      <w:color w:val="auto"/>
      <w:lang w:val="es-PE" w:eastAsia="es-PE"/>
    </w:rPr>
  </w:style>
  <w:style w:type="character" w:customStyle="1" w:styleId="A6">
    <w:name w:val="A6"/>
    <w:uiPriority w:val="99"/>
    <w:rsid w:val="00C717FE"/>
    <w:rPr>
      <w:rFonts w:ascii="Myriad Pro" w:hAnsi="Myriad Pro" w:cs="Myriad Pro"/>
      <w:color w:val="000000"/>
      <w:sz w:val="11"/>
      <w:szCs w:val="11"/>
    </w:rPr>
  </w:style>
  <w:style w:type="paragraph" w:customStyle="1" w:styleId="p1">
    <w:name w:val="p1"/>
    <w:basedOn w:val="Normal"/>
    <w:rsid w:val="0062122A"/>
    <w:pPr>
      <w:spacing w:after="150" w:line="152" w:lineRule="atLeast"/>
      <w:jc w:val="both"/>
    </w:pPr>
    <w:rPr>
      <w:rFonts w:ascii="Helvetica" w:hAnsi="Helvetica"/>
      <w:sz w:val="14"/>
      <w:szCs w:val="14"/>
    </w:rPr>
  </w:style>
  <w:style w:type="table" w:customStyle="1" w:styleId="NormalTable0">
    <w:name w:val="Normal Table0"/>
    <w:rsid w:val="0010648B"/>
    <w:rPr>
      <w:lang w:val="es-PE" w:eastAsia="es-PE"/>
    </w:rPr>
    <w:tblPr>
      <w:tblInd w:w="0" w:type="dxa"/>
      <w:tblCellMar>
        <w:top w:w="0" w:type="dxa"/>
        <w:left w:w="0" w:type="dxa"/>
        <w:bottom w:w="0" w:type="dxa"/>
        <w:right w:w="0" w:type="dxa"/>
      </w:tblCellMar>
    </w:tblPr>
  </w:style>
  <w:style w:type="paragraph" w:customStyle="1" w:styleId="TableStyle3">
    <w:name w:val="Table Style 3"/>
    <w:rsid w:val="0010648B"/>
    <w:rPr>
      <w:rFonts w:ascii="Helvetica" w:eastAsia="Helvetica" w:hAnsi="Helvetica" w:cs="Helvetica"/>
      <w:color w:val="FEFFFE"/>
      <w:lang w:val="es-PE" w:eastAsia="es-PE"/>
    </w:rPr>
  </w:style>
  <w:style w:type="numbering" w:customStyle="1" w:styleId="ImportedStyle15">
    <w:name w:val="Imported Style 15"/>
    <w:rsid w:val="0010648B"/>
    <w:pPr>
      <w:numPr>
        <w:numId w:val="80"/>
      </w:numPr>
    </w:pPr>
  </w:style>
  <w:style w:type="numbering" w:customStyle="1" w:styleId="ImportedStyle16">
    <w:name w:val="Imported Style 16"/>
    <w:rsid w:val="0010648B"/>
    <w:pPr>
      <w:numPr>
        <w:numId w:val="81"/>
      </w:numPr>
    </w:pPr>
  </w:style>
  <w:style w:type="numbering" w:customStyle="1" w:styleId="ImportedStyle17">
    <w:name w:val="Imported Style 17"/>
    <w:rsid w:val="0010648B"/>
    <w:pPr>
      <w:numPr>
        <w:numId w:val="82"/>
      </w:numPr>
    </w:pPr>
  </w:style>
  <w:style w:type="numbering" w:customStyle="1" w:styleId="ImportedStyle18">
    <w:name w:val="Imported Style 18"/>
    <w:rsid w:val="0010648B"/>
    <w:pPr>
      <w:numPr>
        <w:numId w:val="83"/>
      </w:numPr>
    </w:pPr>
  </w:style>
  <w:style w:type="character" w:customStyle="1" w:styleId="PrrafodelistaCar">
    <w:name w:val="Párrafo de lista Car"/>
    <w:aliases w:val="Titulo 4 Car,Bullets Car,Paragraphe de liste1 Car,ADB paragraph numbering Car,List Paragraph1 Car,Colorful List - Accent 11 Car,Paragraphe de liste 1 Car,NULLETS 2 Car,• List Paragraph Car,List Paragraph (numbered (a)) Car"/>
    <w:basedOn w:val="DefaultParagraphFont"/>
    <w:uiPriority w:val="34"/>
    <w:locked/>
    <w:rsid w:val="00936CA1"/>
    <w:rPr>
      <w:rFonts w:ascii="Arial Unicode MS" w:hAnsi="Arial Unicode MS" w:cs="Arial Unicode MS"/>
      <w:color w:val="000000"/>
    </w:rPr>
  </w:style>
  <w:style w:type="paragraph" w:customStyle="1" w:styleId="Caption2">
    <w:name w:val="Caption 2"/>
    <w:rsid w:val="00B364D0"/>
    <w:pPr>
      <w:spacing w:after="20" w:line="288" w:lineRule="auto"/>
      <w:outlineLvl w:val="0"/>
    </w:pPr>
    <w:rPr>
      <w:rFonts w:ascii="Helvetica Neue Light" w:eastAsia="Helvetica Neue Light" w:hAnsi="Helvetica Neue Light" w:cs="Helvetica Neue Light"/>
      <w:smallCaps/>
      <w:color w:val="424242"/>
      <w:lang w:val="es-ES_tradnl" w:eastAsia="zh-CN"/>
    </w:rPr>
  </w:style>
  <w:style w:type="numbering" w:customStyle="1" w:styleId="Lettered">
    <w:name w:val="Lettered"/>
    <w:rsid w:val="00B364D0"/>
    <w:pPr>
      <w:numPr>
        <w:numId w:val="85"/>
      </w:numPr>
    </w:pPr>
  </w:style>
  <w:style w:type="character" w:customStyle="1" w:styleId="UnresolvedMention1">
    <w:name w:val="Unresolved Mention1"/>
    <w:basedOn w:val="DefaultParagraphFont"/>
    <w:uiPriority w:val="99"/>
    <w:semiHidden/>
    <w:unhideWhenUsed/>
    <w:rsid w:val="002020AD"/>
    <w:rPr>
      <w:color w:val="808080"/>
      <w:shd w:val="clear" w:color="auto" w:fill="E6E6E6"/>
    </w:rPr>
  </w:style>
  <w:style w:type="table" w:customStyle="1" w:styleId="TableGrid0">
    <w:name w:val="TableGrid"/>
    <w:rsid w:val="007411B4"/>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sz w:val="22"/>
      <w:szCs w:val="22"/>
      <w:bdr w:val="none" w:sz="0" w:space="0" w:color="auto"/>
      <w:lang w:val="en-US" w:eastAsia="en-US"/>
    </w:rPr>
    <w:tblPr>
      <w:tblCellMar>
        <w:top w:w="0" w:type="dxa"/>
        <w:left w:w="0" w:type="dxa"/>
        <w:bottom w:w="0" w:type="dxa"/>
        <w:right w:w="0" w:type="dxa"/>
      </w:tblCellMar>
    </w:tblPr>
  </w:style>
  <w:style w:type="paragraph" w:customStyle="1" w:styleId="H4">
    <w:name w:val="H4"/>
    <w:basedOn w:val="Normal"/>
    <w:next w:val="Normal"/>
    <w:uiPriority w:val="99"/>
    <w:rsid w:val="009C218C"/>
    <w:pPr>
      <w:keepNext/>
      <w:widowControl w:val="0"/>
      <w:snapToGrid w:val="0"/>
      <w:spacing w:before="100" w:after="100"/>
      <w:outlineLvl w:val="4"/>
    </w:pPr>
    <w:rPr>
      <w:rFonts w:eastAsia="Times New Roman"/>
      <w:b/>
      <w:bCs/>
      <w:lang w:eastAsia="en-US"/>
    </w:rPr>
  </w:style>
  <w:style w:type="paragraph" w:customStyle="1" w:styleId="Heading1a">
    <w:name w:val="Heading 1a"/>
    <w:basedOn w:val="Normal"/>
    <w:next w:val="Normal"/>
    <w:qFormat/>
    <w:rsid w:val="00CA4B3F"/>
    <w:pPr>
      <w:suppressAutoHyphens/>
      <w:spacing w:line="288" w:lineRule="auto"/>
    </w:pPr>
    <w:rPr>
      <w:rFonts w:ascii="Calibri" w:eastAsia="Times" w:hAnsi="Calibri"/>
      <w:b/>
      <w:sz w:val="26"/>
      <w:szCs w:val="20"/>
      <w:lang w:val="en-US" w:eastAsia="ja-JP"/>
    </w:rPr>
  </w:style>
  <w:style w:type="paragraph" w:customStyle="1" w:styleId="Char2">
    <w:name w:val="Char2"/>
    <w:basedOn w:val="Normal"/>
    <w:uiPriority w:val="99"/>
    <w:rsid w:val="00AE3283"/>
    <w:pPr>
      <w:spacing w:line="240" w:lineRule="exact"/>
    </w:pPr>
    <w:rPr>
      <w:rFonts w:eastAsia="Times New Roman"/>
      <w:vertAlign w:val="superscript"/>
      <w:lang w:val="en-US" w:eastAsia="en-US"/>
    </w:rPr>
  </w:style>
  <w:style w:type="paragraph" w:customStyle="1" w:styleId="BVIfnrZchn">
    <w:name w:val="BVI fnr Zchn"/>
    <w:aliases w:val="BVI fnr Car Car Zchn,BVI fnr Car Zchn,BVI fnr Car Car Car Car Zchn,BVI fnr Car Car Car Car Char Zchn Zchn,BVI fnr Zchn Char Zchn Char1 Zchn, BVI fnr Car Car Zchn, BVI fnr Car Car Car Car Zchn, BVI fnr Car Car Car Car Char Zchn Zchn"/>
    <w:basedOn w:val="Normal"/>
    <w:uiPriority w:val="99"/>
    <w:rsid w:val="00AE3283"/>
    <w:pPr>
      <w:spacing w:line="240" w:lineRule="exact"/>
    </w:pPr>
    <w:rPr>
      <w:rFonts w:eastAsia="Times New Roman"/>
      <w:vertAlign w:val="superscript"/>
      <w:lang w:val="en-US" w:eastAsia="en-US"/>
    </w:rPr>
  </w:style>
  <w:style w:type="paragraph" w:customStyle="1" w:styleId="Bullet1G">
    <w:name w:val="_Bullet 1_G"/>
    <w:basedOn w:val="Normal"/>
    <w:rsid w:val="00AE3283"/>
    <w:pPr>
      <w:numPr>
        <w:numId w:val="126"/>
      </w:numPr>
      <w:suppressAutoHyphens/>
      <w:spacing w:after="120" w:line="240" w:lineRule="atLeast"/>
      <w:ind w:right="1134"/>
      <w:jc w:val="both"/>
    </w:pPr>
    <w:rPr>
      <w:rFonts w:eastAsia="MS Mincho"/>
      <w:sz w:val="20"/>
      <w:szCs w:val="20"/>
      <w:lang w:val="en-US" w:eastAsia="en-US"/>
    </w:rPr>
  </w:style>
  <w:style w:type="paragraph" w:customStyle="1" w:styleId="SingleTxtG">
    <w:name w:val="_ Single Txt_G"/>
    <w:basedOn w:val="Normal"/>
    <w:rsid w:val="00AE3283"/>
    <w:pPr>
      <w:suppressAutoHyphens/>
      <w:spacing w:after="120" w:line="240" w:lineRule="atLeast"/>
      <w:ind w:left="1134" w:right="1134"/>
      <w:jc w:val="both"/>
    </w:pPr>
    <w:rPr>
      <w:rFonts w:eastAsia="MS Mincho"/>
      <w:sz w:val="20"/>
      <w:szCs w:val="20"/>
      <w:lang w:val="en-US" w:eastAsia="en-US"/>
    </w:rPr>
  </w:style>
  <w:style w:type="paragraph" w:customStyle="1" w:styleId="ParagraphGenderAssessment">
    <w:name w:val="Paragraph_GenderAssessment"/>
    <w:basedOn w:val="Normal"/>
    <w:qFormat/>
    <w:rsid w:val="00AE3283"/>
    <w:pPr>
      <w:widowControl w:val="0"/>
      <w:autoSpaceDE w:val="0"/>
      <w:autoSpaceDN w:val="0"/>
      <w:adjustRightInd w:val="0"/>
      <w:spacing w:before="120" w:after="120"/>
      <w:jc w:val="both"/>
    </w:pPr>
    <w:rPr>
      <w:rFonts w:asciiTheme="majorHAnsi" w:eastAsia="Times New Roman" w:hAnsiTheme="majorHAnsi"/>
      <w:sz w:val="22"/>
      <w:lang w:val="en-US" w:eastAsia="en-US"/>
    </w:rPr>
  </w:style>
  <w:style w:type="paragraph" w:customStyle="1" w:styleId="FootnoteRefGenderAssessment">
    <w:name w:val="Footnote Ref_GenderAssessment"/>
    <w:basedOn w:val="FootnoteText"/>
    <w:qFormat/>
    <w:rsid w:val="00AE3283"/>
    <w:pPr>
      <w:widowControl/>
      <w:pBdr>
        <w:top w:val="none" w:sz="0" w:space="0" w:color="auto"/>
        <w:left w:val="none" w:sz="0" w:space="0" w:color="auto"/>
        <w:bottom w:val="none" w:sz="0" w:space="0" w:color="auto"/>
        <w:right w:val="none" w:sz="0" w:space="0" w:color="auto"/>
        <w:between w:val="none" w:sz="0" w:space="0" w:color="auto"/>
        <w:bar w:val="none" w:sz="0" w:color="auto"/>
      </w:pBdr>
      <w:spacing w:after="0"/>
      <w:ind w:left="142" w:hanging="142"/>
      <w:jc w:val="left"/>
    </w:pPr>
    <w:rPr>
      <w:rFonts w:asciiTheme="majorHAnsi" w:eastAsia="Times New Roman" w:hAnsiTheme="majorHAnsi" w:cs="Times New Roman"/>
      <w:color w:val="000000" w:themeColor="text1"/>
      <w:sz w:val="16"/>
      <w:szCs w:val="18"/>
      <w:bdr w:val="none" w:sz="0" w:space="0" w:color="auto"/>
      <w:lang w:eastAsia="en-US"/>
    </w:rPr>
  </w:style>
  <w:style w:type="character" w:customStyle="1" w:styleId="UnresolvedMention11">
    <w:name w:val="Unresolved Mention11"/>
    <w:basedOn w:val="DefaultParagraphFont"/>
    <w:uiPriority w:val="99"/>
    <w:semiHidden/>
    <w:unhideWhenUsed/>
    <w:rsid w:val="00AE3283"/>
    <w:rPr>
      <w:color w:val="808080"/>
      <w:shd w:val="clear" w:color="auto" w:fill="E6E6E6"/>
    </w:rPr>
  </w:style>
  <w:style w:type="paragraph" w:customStyle="1" w:styleId="BodyText1">
    <w:name w:val="Body Text1"/>
    <w:basedOn w:val="Normal"/>
    <w:link w:val="BodyText1Char"/>
    <w:autoRedefine/>
    <w:qFormat/>
    <w:rsid w:val="00AE3283"/>
    <w:pPr>
      <w:numPr>
        <w:numId w:val="130"/>
      </w:numPr>
      <w:spacing w:before="120" w:after="240"/>
      <w:ind w:left="425" w:hanging="425"/>
      <w:jc w:val="both"/>
    </w:pPr>
    <w:rPr>
      <w:rFonts w:asciiTheme="majorHAnsi" w:eastAsiaTheme="minorEastAsia" w:hAnsiTheme="majorHAnsi" w:cs="Arial"/>
      <w:color w:val="FF0000"/>
      <w:sz w:val="20"/>
      <w:szCs w:val="22"/>
      <w:lang w:val="en-US" w:eastAsia="ja-JP"/>
    </w:rPr>
  </w:style>
  <w:style w:type="character" w:customStyle="1" w:styleId="BodyText1Char">
    <w:name w:val="Body Text1 Char"/>
    <w:basedOn w:val="DefaultParagraphFont"/>
    <w:link w:val="BodyText1"/>
    <w:rsid w:val="00AE3283"/>
    <w:rPr>
      <w:rFonts w:asciiTheme="majorHAnsi" w:eastAsiaTheme="minorEastAsia" w:hAnsiTheme="majorHAnsi" w:cs="Arial"/>
      <w:color w:val="FF0000"/>
      <w:szCs w:val="22"/>
      <w:bdr w:val="none" w:sz="0" w:space="0" w:color="auto"/>
      <w:lang w:val="en-US" w:eastAsia="ja-JP"/>
    </w:rPr>
  </w:style>
  <w:style w:type="paragraph" w:customStyle="1" w:styleId="textetero">
    <w:name w:val="texte tero"/>
    <w:basedOn w:val="Normal"/>
    <w:link w:val="texteteroCar"/>
    <w:autoRedefine/>
    <w:qFormat/>
    <w:rsid w:val="00AE3283"/>
    <w:pPr>
      <w:numPr>
        <w:ilvl w:val="1"/>
        <w:numId w:val="134"/>
      </w:numPr>
      <w:tabs>
        <w:tab w:val="left" w:pos="2835"/>
      </w:tabs>
      <w:spacing w:after="120" w:line="276" w:lineRule="auto"/>
      <w:jc w:val="both"/>
    </w:pPr>
    <w:rPr>
      <w:rFonts w:ascii="Calibri" w:eastAsia="Calibri" w:hAnsi="Calibri"/>
      <w:sz w:val="22"/>
      <w:szCs w:val="22"/>
      <w:lang w:eastAsia="en-US"/>
    </w:rPr>
  </w:style>
  <w:style w:type="character" w:customStyle="1" w:styleId="texteteroCar">
    <w:name w:val="texte tero Car"/>
    <w:link w:val="textetero"/>
    <w:rsid w:val="00AE3283"/>
    <w:rPr>
      <w:rFonts w:ascii="Calibri" w:eastAsia="Calibri" w:hAnsi="Calibri"/>
      <w:sz w:val="22"/>
      <w:szCs w:val="22"/>
      <w:bdr w:val="none" w:sz="0" w:space="0" w:color="auto"/>
      <w:lang w:eastAsia="en-US"/>
    </w:rPr>
  </w:style>
  <w:style w:type="character" w:customStyle="1" w:styleId="UnresolvedMention2">
    <w:name w:val="Unresolved Mention2"/>
    <w:basedOn w:val="DefaultParagraphFont"/>
    <w:uiPriority w:val="99"/>
    <w:semiHidden/>
    <w:unhideWhenUsed/>
    <w:rsid w:val="00A454EE"/>
    <w:rPr>
      <w:color w:val="605E5C"/>
      <w:shd w:val="clear" w:color="auto" w:fill="E1DFDD"/>
    </w:rPr>
  </w:style>
  <w:style w:type="numbering" w:customStyle="1" w:styleId="ImportedStyle471">
    <w:name w:val="Imported Style 471"/>
    <w:rsid w:val="00F91241"/>
  </w:style>
  <w:style w:type="table" w:customStyle="1" w:styleId="TableGrid4">
    <w:name w:val="Table Grid4"/>
    <w:basedOn w:val="TableNormal"/>
    <w:next w:val="TableGrid"/>
    <w:uiPriority w:val="59"/>
    <w:rsid w:val="00F91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6">
    <w:name w:val="p6"/>
    <w:basedOn w:val="Normal"/>
    <w:rsid w:val="000D1B37"/>
    <w:pPr>
      <w:widowControl w:val="0"/>
      <w:tabs>
        <w:tab w:val="left" w:pos="720"/>
      </w:tabs>
      <w:spacing w:line="260" w:lineRule="atLeast"/>
    </w:pPr>
    <w:rPr>
      <w:rFonts w:eastAsia="Times New Roman"/>
      <w:snapToGrid w:val="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23233">
      <w:bodyDiv w:val="1"/>
      <w:marLeft w:val="0"/>
      <w:marRight w:val="0"/>
      <w:marTop w:val="0"/>
      <w:marBottom w:val="0"/>
      <w:divBdr>
        <w:top w:val="none" w:sz="0" w:space="0" w:color="auto"/>
        <w:left w:val="none" w:sz="0" w:space="0" w:color="auto"/>
        <w:bottom w:val="none" w:sz="0" w:space="0" w:color="auto"/>
        <w:right w:val="none" w:sz="0" w:space="0" w:color="auto"/>
      </w:divBdr>
    </w:div>
    <w:div w:id="15548332">
      <w:bodyDiv w:val="1"/>
      <w:marLeft w:val="0"/>
      <w:marRight w:val="0"/>
      <w:marTop w:val="0"/>
      <w:marBottom w:val="0"/>
      <w:divBdr>
        <w:top w:val="none" w:sz="0" w:space="0" w:color="auto"/>
        <w:left w:val="none" w:sz="0" w:space="0" w:color="auto"/>
        <w:bottom w:val="none" w:sz="0" w:space="0" w:color="auto"/>
        <w:right w:val="none" w:sz="0" w:space="0" w:color="auto"/>
      </w:divBdr>
    </w:div>
    <w:div w:id="31423491">
      <w:bodyDiv w:val="1"/>
      <w:marLeft w:val="0"/>
      <w:marRight w:val="0"/>
      <w:marTop w:val="0"/>
      <w:marBottom w:val="0"/>
      <w:divBdr>
        <w:top w:val="none" w:sz="0" w:space="0" w:color="auto"/>
        <w:left w:val="none" w:sz="0" w:space="0" w:color="auto"/>
        <w:bottom w:val="none" w:sz="0" w:space="0" w:color="auto"/>
        <w:right w:val="none" w:sz="0" w:space="0" w:color="auto"/>
      </w:divBdr>
    </w:div>
    <w:div w:id="36903080">
      <w:bodyDiv w:val="1"/>
      <w:marLeft w:val="0"/>
      <w:marRight w:val="0"/>
      <w:marTop w:val="0"/>
      <w:marBottom w:val="0"/>
      <w:divBdr>
        <w:top w:val="none" w:sz="0" w:space="0" w:color="auto"/>
        <w:left w:val="none" w:sz="0" w:space="0" w:color="auto"/>
        <w:bottom w:val="none" w:sz="0" w:space="0" w:color="auto"/>
        <w:right w:val="none" w:sz="0" w:space="0" w:color="auto"/>
      </w:divBdr>
    </w:div>
    <w:div w:id="58674433">
      <w:bodyDiv w:val="1"/>
      <w:marLeft w:val="0"/>
      <w:marRight w:val="0"/>
      <w:marTop w:val="0"/>
      <w:marBottom w:val="0"/>
      <w:divBdr>
        <w:top w:val="none" w:sz="0" w:space="0" w:color="auto"/>
        <w:left w:val="none" w:sz="0" w:space="0" w:color="auto"/>
        <w:bottom w:val="none" w:sz="0" w:space="0" w:color="auto"/>
        <w:right w:val="none" w:sz="0" w:space="0" w:color="auto"/>
      </w:divBdr>
    </w:div>
    <w:div w:id="74209878">
      <w:bodyDiv w:val="1"/>
      <w:marLeft w:val="0"/>
      <w:marRight w:val="0"/>
      <w:marTop w:val="0"/>
      <w:marBottom w:val="0"/>
      <w:divBdr>
        <w:top w:val="none" w:sz="0" w:space="0" w:color="auto"/>
        <w:left w:val="none" w:sz="0" w:space="0" w:color="auto"/>
        <w:bottom w:val="none" w:sz="0" w:space="0" w:color="auto"/>
        <w:right w:val="none" w:sz="0" w:space="0" w:color="auto"/>
      </w:divBdr>
    </w:div>
    <w:div w:id="130297313">
      <w:bodyDiv w:val="1"/>
      <w:marLeft w:val="0"/>
      <w:marRight w:val="0"/>
      <w:marTop w:val="0"/>
      <w:marBottom w:val="0"/>
      <w:divBdr>
        <w:top w:val="none" w:sz="0" w:space="0" w:color="auto"/>
        <w:left w:val="none" w:sz="0" w:space="0" w:color="auto"/>
        <w:bottom w:val="none" w:sz="0" w:space="0" w:color="auto"/>
        <w:right w:val="none" w:sz="0" w:space="0" w:color="auto"/>
      </w:divBdr>
    </w:div>
    <w:div w:id="139351340">
      <w:bodyDiv w:val="1"/>
      <w:marLeft w:val="0"/>
      <w:marRight w:val="0"/>
      <w:marTop w:val="0"/>
      <w:marBottom w:val="0"/>
      <w:divBdr>
        <w:top w:val="none" w:sz="0" w:space="0" w:color="auto"/>
        <w:left w:val="none" w:sz="0" w:space="0" w:color="auto"/>
        <w:bottom w:val="none" w:sz="0" w:space="0" w:color="auto"/>
        <w:right w:val="none" w:sz="0" w:space="0" w:color="auto"/>
      </w:divBdr>
    </w:div>
    <w:div w:id="154339813">
      <w:bodyDiv w:val="1"/>
      <w:marLeft w:val="0"/>
      <w:marRight w:val="0"/>
      <w:marTop w:val="0"/>
      <w:marBottom w:val="0"/>
      <w:divBdr>
        <w:top w:val="none" w:sz="0" w:space="0" w:color="auto"/>
        <w:left w:val="none" w:sz="0" w:space="0" w:color="auto"/>
        <w:bottom w:val="none" w:sz="0" w:space="0" w:color="auto"/>
        <w:right w:val="none" w:sz="0" w:space="0" w:color="auto"/>
      </w:divBdr>
    </w:div>
    <w:div w:id="157885288">
      <w:bodyDiv w:val="1"/>
      <w:marLeft w:val="0"/>
      <w:marRight w:val="0"/>
      <w:marTop w:val="0"/>
      <w:marBottom w:val="0"/>
      <w:divBdr>
        <w:top w:val="none" w:sz="0" w:space="0" w:color="auto"/>
        <w:left w:val="none" w:sz="0" w:space="0" w:color="auto"/>
        <w:bottom w:val="none" w:sz="0" w:space="0" w:color="auto"/>
        <w:right w:val="none" w:sz="0" w:space="0" w:color="auto"/>
      </w:divBdr>
    </w:div>
    <w:div w:id="190647819">
      <w:bodyDiv w:val="1"/>
      <w:marLeft w:val="0"/>
      <w:marRight w:val="0"/>
      <w:marTop w:val="0"/>
      <w:marBottom w:val="0"/>
      <w:divBdr>
        <w:top w:val="none" w:sz="0" w:space="0" w:color="auto"/>
        <w:left w:val="none" w:sz="0" w:space="0" w:color="auto"/>
        <w:bottom w:val="none" w:sz="0" w:space="0" w:color="auto"/>
        <w:right w:val="none" w:sz="0" w:space="0" w:color="auto"/>
      </w:divBdr>
    </w:div>
    <w:div w:id="231627138">
      <w:bodyDiv w:val="1"/>
      <w:marLeft w:val="0"/>
      <w:marRight w:val="0"/>
      <w:marTop w:val="0"/>
      <w:marBottom w:val="0"/>
      <w:divBdr>
        <w:top w:val="none" w:sz="0" w:space="0" w:color="auto"/>
        <w:left w:val="none" w:sz="0" w:space="0" w:color="auto"/>
        <w:bottom w:val="none" w:sz="0" w:space="0" w:color="auto"/>
        <w:right w:val="none" w:sz="0" w:space="0" w:color="auto"/>
      </w:divBdr>
    </w:div>
    <w:div w:id="243497052">
      <w:bodyDiv w:val="1"/>
      <w:marLeft w:val="0"/>
      <w:marRight w:val="0"/>
      <w:marTop w:val="0"/>
      <w:marBottom w:val="0"/>
      <w:divBdr>
        <w:top w:val="none" w:sz="0" w:space="0" w:color="auto"/>
        <w:left w:val="none" w:sz="0" w:space="0" w:color="auto"/>
        <w:bottom w:val="none" w:sz="0" w:space="0" w:color="auto"/>
        <w:right w:val="none" w:sz="0" w:space="0" w:color="auto"/>
      </w:divBdr>
    </w:div>
    <w:div w:id="256718400">
      <w:bodyDiv w:val="1"/>
      <w:marLeft w:val="0"/>
      <w:marRight w:val="0"/>
      <w:marTop w:val="0"/>
      <w:marBottom w:val="0"/>
      <w:divBdr>
        <w:top w:val="none" w:sz="0" w:space="0" w:color="auto"/>
        <w:left w:val="none" w:sz="0" w:space="0" w:color="auto"/>
        <w:bottom w:val="none" w:sz="0" w:space="0" w:color="auto"/>
        <w:right w:val="none" w:sz="0" w:space="0" w:color="auto"/>
      </w:divBdr>
    </w:div>
    <w:div w:id="288781267">
      <w:bodyDiv w:val="1"/>
      <w:marLeft w:val="0"/>
      <w:marRight w:val="0"/>
      <w:marTop w:val="0"/>
      <w:marBottom w:val="0"/>
      <w:divBdr>
        <w:top w:val="none" w:sz="0" w:space="0" w:color="auto"/>
        <w:left w:val="none" w:sz="0" w:space="0" w:color="auto"/>
        <w:bottom w:val="none" w:sz="0" w:space="0" w:color="auto"/>
        <w:right w:val="none" w:sz="0" w:space="0" w:color="auto"/>
      </w:divBdr>
    </w:div>
    <w:div w:id="291863382">
      <w:bodyDiv w:val="1"/>
      <w:marLeft w:val="0"/>
      <w:marRight w:val="0"/>
      <w:marTop w:val="0"/>
      <w:marBottom w:val="0"/>
      <w:divBdr>
        <w:top w:val="none" w:sz="0" w:space="0" w:color="auto"/>
        <w:left w:val="none" w:sz="0" w:space="0" w:color="auto"/>
        <w:bottom w:val="none" w:sz="0" w:space="0" w:color="auto"/>
        <w:right w:val="none" w:sz="0" w:space="0" w:color="auto"/>
      </w:divBdr>
    </w:div>
    <w:div w:id="322009794">
      <w:bodyDiv w:val="1"/>
      <w:marLeft w:val="0"/>
      <w:marRight w:val="0"/>
      <w:marTop w:val="0"/>
      <w:marBottom w:val="0"/>
      <w:divBdr>
        <w:top w:val="none" w:sz="0" w:space="0" w:color="auto"/>
        <w:left w:val="none" w:sz="0" w:space="0" w:color="auto"/>
        <w:bottom w:val="none" w:sz="0" w:space="0" w:color="auto"/>
        <w:right w:val="none" w:sz="0" w:space="0" w:color="auto"/>
      </w:divBdr>
    </w:div>
    <w:div w:id="341973832">
      <w:bodyDiv w:val="1"/>
      <w:marLeft w:val="0"/>
      <w:marRight w:val="0"/>
      <w:marTop w:val="0"/>
      <w:marBottom w:val="0"/>
      <w:divBdr>
        <w:top w:val="none" w:sz="0" w:space="0" w:color="auto"/>
        <w:left w:val="none" w:sz="0" w:space="0" w:color="auto"/>
        <w:bottom w:val="none" w:sz="0" w:space="0" w:color="auto"/>
        <w:right w:val="none" w:sz="0" w:space="0" w:color="auto"/>
      </w:divBdr>
    </w:div>
    <w:div w:id="349263951">
      <w:bodyDiv w:val="1"/>
      <w:marLeft w:val="0"/>
      <w:marRight w:val="0"/>
      <w:marTop w:val="0"/>
      <w:marBottom w:val="0"/>
      <w:divBdr>
        <w:top w:val="none" w:sz="0" w:space="0" w:color="auto"/>
        <w:left w:val="none" w:sz="0" w:space="0" w:color="auto"/>
        <w:bottom w:val="none" w:sz="0" w:space="0" w:color="auto"/>
        <w:right w:val="none" w:sz="0" w:space="0" w:color="auto"/>
      </w:divBdr>
    </w:div>
    <w:div w:id="370496572">
      <w:bodyDiv w:val="1"/>
      <w:marLeft w:val="0"/>
      <w:marRight w:val="0"/>
      <w:marTop w:val="0"/>
      <w:marBottom w:val="0"/>
      <w:divBdr>
        <w:top w:val="none" w:sz="0" w:space="0" w:color="auto"/>
        <w:left w:val="none" w:sz="0" w:space="0" w:color="auto"/>
        <w:bottom w:val="none" w:sz="0" w:space="0" w:color="auto"/>
        <w:right w:val="none" w:sz="0" w:space="0" w:color="auto"/>
      </w:divBdr>
    </w:div>
    <w:div w:id="375356076">
      <w:bodyDiv w:val="1"/>
      <w:marLeft w:val="0"/>
      <w:marRight w:val="0"/>
      <w:marTop w:val="0"/>
      <w:marBottom w:val="0"/>
      <w:divBdr>
        <w:top w:val="none" w:sz="0" w:space="0" w:color="auto"/>
        <w:left w:val="none" w:sz="0" w:space="0" w:color="auto"/>
        <w:bottom w:val="none" w:sz="0" w:space="0" w:color="auto"/>
        <w:right w:val="none" w:sz="0" w:space="0" w:color="auto"/>
      </w:divBdr>
    </w:div>
    <w:div w:id="483740227">
      <w:bodyDiv w:val="1"/>
      <w:marLeft w:val="0"/>
      <w:marRight w:val="0"/>
      <w:marTop w:val="0"/>
      <w:marBottom w:val="0"/>
      <w:divBdr>
        <w:top w:val="none" w:sz="0" w:space="0" w:color="auto"/>
        <w:left w:val="none" w:sz="0" w:space="0" w:color="auto"/>
        <w:bottom w:val="none" w:sz="0" w:space="0" w:color="auto"/>
        <w:right w:val="none" w:sz="0" w:space="0" w:color="auto"/>
      </w:divBdr>
    </w:div>
    <w:div w:id="488441472">
      <w:bodyDiv w:val="1"/>
      <w:marLeft w:val="0"/>
      <w:marRight w:val="0"/>
      <w:marTop w:val="0"/>
      <w:marBottom w:val="0"/>
      <w:divBdr>
        <w:top w:val="none" w:sz="0" w:space="0" w:color="auto"/>
        <w:left w:val="none" w:sz="0" w:space="0" w:color="auto"/>
        <w:bottom w:val="none" w:sz="0" w:space="0" w:color="auto"/>
        <w:right w:val="none" w:sz="0" w:space="0" w:color="auto"/>
      </w:divBdr>
    </w:div>
    <w:div w:id="543299297">
      <w:bodyDiv w:val="1"/>
      <w:marLeft w:val="0"/>
      <w:marRight w:val="0"/>
      <w:marTop w:val="0"/>
      <w:marBottom w:val="0"/>
      <w:divBdr>
        <w:top w:val="none" w:sz="0" w:space="0" w:color="auto"/>
        <w:left w:val="none" w:sz="0" w:space="0" w:color="auto"/>
        <w:bottom w:val="none" w:sz="0" w:space="0" w:color="auto"/>
        <w:right w:val="none" w:sz="0" w:space="0" w:color="auto"/>
      </w:divBdr>
    </w:div>
    <w:div w:id="622418513">
      <w:bodyDiv w:val="1"/>
      <w:marLeft w:val="0"/>
      <w:marRight w:val="0"/>
      <w:marTop w:val="0"/>
      <w:marBottom w:val="0"/>
      <w:divBdr>
        <w:top w:val="none" w:sz="0" w:space="0" w:color="auto"/>
        <w:left w:val="none" w:sz="0" w:space="0" w:color="auto"/>
        <w:bottom w:val="none" w:sz="0" w:space="0" w:color="auto"/>
        <w:right w:val="none" w:sz="0" w:space="0" w:color="auto"/>
      </w:divBdr>
    </w:div>
    <w:div w:id="670838901">
      <w:bodyDiv w:val="1"/>
      <w:marLeft w:val="0"/>
      <w:marRight w:val="0"/>
      <w:marTop w:val="0"/>
      <w:marBottom w:val="0"/>
      <w:divBdr>
        <w:top w:val="none" w:sz="0" w:space="0" w:color="auto"/>
        <w:left w:val="none" w:sz="0" w:space="0" w:color="auto"/>
        <w:bottom w:val="none" w:sz="0" w:space="0" w:color="auto"/>
        <w:right w:val="none" w:sz="0" w:space="0" w:color="auto"/>
      </w:divBdr>
    </w:div>
    <w:div w:id="672729358">
      <w:bodyDiv w:val="1"/>
      <w:marLeft w:val="0"/>
      <w:marRight w:val="0"/>
      <w:marTop w:val="0"/>
      <w:marBottom w:val="0"/>
      <w:divBdr>
        <w:top w:val="none" w:sz="0" w:space="0" w:color="auto"/>
        <w:left w:val="none" w:sz="0" w:space="0" w:color="auto"/>
        <w:bottom w:val="none" w:sz="0" w:space="0" w:color="auto"/>
        <w:right w:val="none" w:sz="0" w:space="0" w:color="auto"/>
      </w:divBdr>
    </w:div>
    <w:div w:id="694037143">
      <w:bodyDiv w:val="1"/>
      <w:marLeft w:val="0"/>
      <w:marRight w:val="0"/>
      <w:marTop w:val="0"/>
      <w:marBottom w:val="0"/>
      <w:divBdr>
        <w:top w:val="none" w:sz="0" w:space="0" w:color="auto"/>
        <w:left w:val="none" w:sz="0" w:space="0" w:color="auto"/>
        <w:bottom w:val="none" w:sz="0" w:space="0" w:color="auto"/>
        <w:right w:val="none" w:sz="0" w:space="0" w:color="auto"/>
      </w:divBdr>
    </w:div>
    <w:div w:id="704250913">
      <w:bodyDiv w:val="1"/>
      <w:marLeft w:val="0"/>
      <w:marRight w:val="0"/>
      <w:marTop w:val="0"/>
      <w:marBottom w:val="0"/>
      <w:divBdr>
        <w:top w:val="none" w:sz="0" w:space="0" w:color="auto"/>
        <w:left w:val="none" w:sz="0" w:space="0" w:color="auto"/>
        <w:bottom w:val="none" w:sz="0" w:space="0" w:color="auto"/>
        <w:right w:val="none" w:sz="0" w:space="0" w:color="auto"/>
      </w:divBdr>
    </w:div>
    <w:div w:id="763308896">
      <w:bodyDiv w:val="1"/>
      <w:marLeft w:val="0"/>
      <w:marRight w:val="0"/>
      <w:marTop w:val="0"/>
      <w:marBottom w:val="0"/>
      <w:divBdr>
        <w:top w:val="none" w:sz="0" w:space="0" w:color="auto"/>
        <w:left w:val="none" w:sz="0" w:space="0" w:color="auto"/>
        <w:bottom w:val="none" w:sz="0" w:space="0" w:color="auto"/>
        <w:right w:val="none" w:sz="0" w:space="0" w:color="auto"/>
      </w:divBdr>
    </w:div>
    <w:div w:id="763652961">
      <w:bodyDiv w:val="1"/>
      <w:marLeft w:val="0"/>
      <w:marRight w:val="0"/>
      <w:marTop w:val="0"/>
      <w:marBottom w:val="0"/>
      <w:divBdr>
        <w:top w:val="none" w:sz="0" w:space="0" w:color="auto"/>
        <w:left w:val="none" w:sz="0" w:space="0" w:color="auto"/>
        <w:bottom w:val="none" w:sz="0" w:space="0" w:color="auto"/>
        <w:right w:val="none" w:sz="0" w:space="0" w:color="auto"/>
      </w:divBdr>
    </w:div>
    <w:div w:id="895778796">
      <w:bodyDiv w:val="1"/>
      <w:marLeft w:val="0"/>
      <w:marRight w:val="0"/>
      <w:marTop w:val="0"/>
      <w:marBottom w:val="0"/>
      <w:divBdr>
        <w:top w:val="none" w:sz="0" w:space="0" w:color="auto"/>
        <w:left w:val="none" w:sz="0" w:space="0" w:color="auto"/>
        <w:bottom w:val="none" w:sz="0" w:space="0" w:color="auto"/>
        <w:right w:val="none" w:sz="0" w:space="0" w:color="auto"/>
      </w:divBdr>
    </w:div>
    <w:div w:id="898441584">
      <w:bodyDiv w:val="1"/>
      <w:marLeft w:val="0"/>
      <w:marRight w:val="0"/>
      <w:marTop w:val="0"/>
      <w:marBottom w:val="0"/>
      <w:divBdr>
        <w:top w:val="none" w:sz="0" w:space="0" w:color="auto"/>
        <w:left w:val="none" w:sz="0" w:space="0" w:color="auto"/>
        <w:bottom w:val="none" w:sz="0" w:space="0" w:color="auto"/>
        <w:right w:val="none" w:sz="0" w:space="0" w:color="auto"/>
      </w:divBdr>
    </w:div>
    <w:div w:id="921765408">
      <w:bodyDiv w:val="1"/>
      <w:marLeft w:val="0"/>
      <w:marRight w:val="0"/>
      <w:marTop w:val="0"/>
      <w:marBottom w:val="0"/>
      <w:divBdr>
        <w:top w:val="none" w:sz="0" w:space="0" w:color="auto"/>
        <w:left w:val="none" w:sz="0" w:space="0" w:color="auto"/>
        <w:bottom w:val="none" w:sz="0" w:space="0" w:color="auto"/>
        <w:right w:val="none" w:sz="0" w:space="0" w:color="auto"/>
      </w:divBdr>
    </w:div>
    <w:div w:id="966425107">
      <w:bodyDiv w:val="1"/>
      <w:marLeft w:val="0"/>
      <w:marRight w:val="0"/>
      <w:marTop w:val="0"/>
      <w:marBottom w:val="0"/>
      <w:divBdr>
        <w:top w:val="none" w:sz="0" w:space="0" w:color="auto"/>
        <w:left w:val="none" w:sz="0" w:space="0" w:color="auto"/>
        <w:bottom w:val="none" w:sz="0" w:space="0" w:color="auto"/>
        <w:right w:val="none" w:sz="0" w:space="0" w:color="auto"/>
      </w:divBdr>
    </w:div>
    <w:div w:id="1032725855">
      <w:bodyDiv w:val="1"/>
      <w:marLeft w:val="0"/>
      <w:marRight w:val="0"/>
      <w:marTop w:val="0"/>
      <w:marBottom w:val="0"/>
      <w:divBdr>
        <w:top w:val="none" w:sz="0" w:space="0" w:color="auto"/>
        <w:left w:val="none" w:sz="0" w:space="0" w:color="auto"/>
        <w:bottom w:val="none" w:sz="0" w:space="0" w:color="auto"/>
        <w:right w:val="none" w:sz="0" w:space="0" w:color="auto"/>
      </w:divBdr>
    </w:div>
    <w:div w:id="1076199359">
      <w:bodyDiv w:val="1"/>
      <w:marLeft w:val="0"/>
      <w:marRight w:val="0"/>
      <w:marTop w:val="0"/>
      <w:marBottom w:val="0"/>
      <w:divBdr>
        <w:top w:val="none" w:sz="0" w:space="0" w:color="auto"/>
        <w:left w:val="none" w:sz="0" w:space="0" w:color="auto"/>
        <w:bottom w:val="none" w:sz="0" w:space="0" w:color="auto"/>
        <w:right w:val="none" w:sz="0" w:space="0" w:color="auto"/>
      </w:divBdr>
    </w:div>
    <w:div w:id="1126388836">
      <w:bodyDiv w:val="1"/>
      <w:marLeft w:val="0"/>
      <w:marRight w:val="0"/>
      <w:marTop w:val="0"/>
      <w:marBottom w:val="0"/>
      <w:divBdr>
        <w:top w:val="none" w:sz="0" w:space="0" w:color="auto"/>
        <w:left w:val="none" w:sz="0" w:space="0" w:color="auto"/>
        <w:bottom w:val="none" w:sz="0" w:space="0" w:color="auto"/>
        <w:right w:val="none" w:sz="0" w:space="0" w:color="auto"/>
      </w:divBdr>
    </w:div>
    <w:div w:id="1210994046">
      <w:bodyDiv w:val="1"/>
      <w:marLeft w:val="0"/>
      <w:marRight w:val="0"/>
      <w:marTop w:val="0"/>
      <w:marBottom w:val="0"/>
      <w:divBdr>
        <w:top w:val="none" w:sz="0" w:space="0" w:color="auto"/>
        <w:left w:val="none" w:sz="0" w:space="0" w:color="auto"/>
        <w:bottom w:val="none" w:sz="0" w:space="0" w:color="auto"/>
        <w:right w:val="none" w:sz="0" w:space="0" w:color="auto"/>
      </w:divBdr>
    </w:div>
    <w:div w:id="1212889239">
      <w:bodyDiv w:val="1"/>
      <w:marLeft w:val="0"/>
      <w:marRight w:val="0"/>
      <w:marTop w:val="0"/>
      <w:marBottom w:val="0"/>
      <w:divBdr>
        <w:top w:val="none" w:sz="0" w:space="0" w:color="auto"/>
        <w:left w:val="none" w:sz="0" w:space="0" w:color="auto"/>
        <w:bottom w:val="none" w:sz="0" w:space="0" w:color="auto"/>
        <w:right w:val="none" w:sz="0" w:space="0" w:color="auto"/>
      </w:divBdr>
    </w:div>
    <w:div w:id="1287854354">
      <w:bodyDiv w:val="1"/>
      <w:marLeft w:val="0"/>
      <w:marRight w:val="0"/>
      <w:marTop w:val="0"/>
      <w:marBottom w:val="0"/>
      <w:divBdr>
        <w:top w:val="none" w:sz="0" w:space="0" w:color="auto"/>
        <w:left w:val="none" w:sz="0" w:space="0" w:color="auto"/>
        <w:bottom w:val="none" w:sz="0" w:space="0" w:color="auto"/>
        <w:right w:val="none" w:sz="0" w:space="0" w:color="auto"/>
      </w:divBdr>
    </w:div>
    <w:div w:id="1292780924">
      <w:bodyDiv w:val="1"/>
      <w:marLeft w:val="0"/>
      <w:marRight w:val="0"/>
      <w:marTop w:val="0"/>
      <w:marBottom w:val="0"/>
      <w:divBdr>
        <w:top w:val="none" w:sz="0" w:space="0" w:color="auto"/>
        <w:left w:val="none" w:sz="0" w:space="0" w:color="auto"/>
        <w:bottom w:val="none" w:sz="0" w:space="0" w:color="auto"/>
        <w:right w:val="none" w:sz="0" w:space="0" w:color="auto"/>
      </w:divBdr>
    </w:div>
    <w:div w:id="1303392041">
      <w:bodyDiv w:val="1"/>
      <w:marLeft w:val="0"/>
      <w:marRight w:val="0"/>
      <w:marTop w:val="0"/>
      <w:marBottom w:val="0"/>
      <w:divBdr>
        <w:top w:val="none" w:sz="0" w:space="0" w:color="auto"/>
        <w:left w:val="none" w:sz="0" w:space="0" w:color="auto"/>
        <w:bottom w:val="none" w:sz="0" w:space="0" w:color="auto"/>
        <w:right w:val="none" w:sz="0" w:space="0" w:color="auto"/>
      </w:divBdr>
    </w:div>
    <w:div w:id="1322346960">
      <w:bodyDiv w:val="1"/>
      <w:marLeft w:val="0"/>
      <w:marRight w:val="0"/>
      <w:marTop w:val="0"/>
      <w:marBottom w:val="0"/>
      <w:divBdr>
        <w:top w:val="none" w:sz="0" w:space="0" w:color="auto"/>
        <w:left w:val="none" w:sz="0" w:space="0" w:color="auto"/>
        <w:bottom w:val="none" w:sz="0" w:space="0" w:color="auto"/>
        <w:right w:val="none" w:sz="0" w:space="0" w:color="auto"/>
      </w:divBdr>
    </w:div>
    <w:div w:id="1365523274">
      <w:bodyDiv w:val="1"/>
      <w:marLeft w:val="0"/>
      <w:marRight w:val="0"/>
      <w:marTop w:val="0"/>
      <w:marBottom w:val="0"/>
      <w:divBdr>
        <w:top w:val="none" w:sz="0" w:space="0" w:color="auto"/>
        <w:left w:val="none" w:sz="0" w:space="0" w:color="auto"/>
        <w:bottom w:val="none" w:sz="0" w:space="0" w:color="auto"/>
        <w:right w:val="none" w:sz="0" w:space="0" w:color="auto"/>
      </w:divBdr>
    </w:div>
    <w:div w:id="1386828372">
      <w:bodyDiv w:val="1"/>
      <w:marLeft w:val="0"/>
      <w:marRight w:val="0"/>
      <w:marTop w:val="0"/>
      <w:marBottom w:val="0"/>
      <w:divBdr>
        <w:top w:val="none" w:sz="0" w:space="0" w:color="auto"/>
        <w:left w:val="none" w:sz="0" w:space="0" w:color="auto"/>
        <w:bottom w:val="none" w:sz="0" w:space="0" w:color="auto"/>
        <w:right w:val="none" w:sz="0" w:space="0" w:color="auto"/>
      </w:divBdr>
    </w:div>
    <w:div w:id="1389300165">
      <w:bodyDiv w:val="1"/>
      <w:marLeft w:val="0"/>
      <w:marRight w:val="0"/>
      <w:marTop w:val="0"/>
      <w:marBottom w:val="0"/>
      <w:divBdr>
        <w:top w:val="none" w:sz="0" w:space="0" w:color="auto"/>
        <w:left w:val="none" w:sz="0" w:space="0" w:color="auto"/>
        <w:bottom w:val="none" w:sz="0" w:space="0" w:color="auto"/>
        <w:right w:val="none" w:sz="0" w:space="0" w:color="auto"/>
      </w:divBdr>
    </w:div>
    <w:div w:id="1395085557">
      <w:bodyDiv w:val="1"/>
      <w:marLeft w:val="0"/>
      <w:marRight w:val="0"/>
      <w:marTop w:val="0"/>
      <w:marBottom w:val="0"/>
      <w:divBdr>
        <w:top w:val="none" w:sz="0" w:space="0" w:color="auto"/>
        <w:left w:val="none" w:sz="0" w:space="0" w:color="auto"/>
        <w:bottom w:val="none" w:sz="0" w:space="0" w:color="auto"/>
        <w:right w:val="none" w:sz="0" w:space="0" w:color="auto"/>
      </w:divBdr>
    </w:div>
    <w:div w:id="1427383491">
      <w:bodyDiv w:val="1"/>
      <w:marLeft w:val="0"/>
      <w:marRight w:val="0"/>
      <w:marTop w:val="0"/>
      <w:marBottom w:val="0"/>
      <w:divBdr>
        <w:top w:val="none" w:sz="0" w:space="0" w:color="auto"/>
        <w:left w:val="none" w:sz="0" w:space="0" w:color="auto"/>
        <w:bottom w:val="none" w:sz="0" w:space="0" w:color="auto"/>
        <w:right w:val="none" w:sz="0" w:space="0" w:color="auto"/>
      </w:divBdr>
    </w:div>
    <w:div w:id="1450976048">
      <w:bodyDiv w:val="1"/>
      <w:marLeft w:val="0"/>
      <w:marRight w:val="0"/>
      <w:marTop w:val="0"/>
      <w:marBottom w:val="0"/>
      <w:divBdr>
        <w:top w:val="none" w:sz="0" w:space="0" w:color="auto"/>
        <w:left w:val="none" w:sz="0" w:space="0" w:color="auto"/>
        <w:bottom w:val="none" w:sz="0" w:space="0" w:color="auto"/>
        <w:right w:val="none" w:sz="0" w:space="0" w:color="auto"/>
      </w:divBdr>
    </w:div>
    <w:div w:id="1474906911">
      <w:bodyDiv w:val="1"/>
      <w:marLeft w:val="0"/>
      <w:marRight w:val="0"/>
      <w:marTop w:val="0"/>
      <w:marBottom w:val="0"/>
      <w:divBdr>
        <w:top w:val="none" w:sz="0" w:space="0" w:color="auto"/>
        <w:left w:val="none" w:sz="0" w:space="0" w:color="auto"/>
        <w:bottom w:val="none" w:sz="0" w:space="0" w:color="auto"/>
        <w:right w:val="none" w:sz="0" w:space="0" w:color="auto"/>
      </w:divBdr>
    </w:div>
    <w:div w:id="1483615715">
      <w:bodyDiv w:val="1"/>
      <w:marLeft w:val="0"/>
      <w:marRight w:val="0"/>
      <w:marTop w:val="0"/>
      <w:marBottom w:val="0"/>
      <w:divBdr>
        <w:top w:val="none" w:sz="0" w:space="0" w:color="auto"/>
        <w:left w:val="none" w:sz="0" w:space="0" w:color="auto"/>
        <w:bottom w:val="none" w:sz="0" w:space="0" w:color="auto"/>
        <w:right w:val="none" w:sz="0" w:space="0" w:color="auto"/>
      </w:divBdr>
    </w:div>
    <w:div w:id="1509178883">
      <w:bodyDiv w:val="1"/>
      <w:marLeft w:val="0"/>
      <w:marRight w:val="0"/>
      <w:marTop w:val="0"/>
      <w:marBottom w:val="0"/>
      <w:divBdr>
        <w:top w:val="none" w:sz="0" w:space="0" w:color="auto"/>
        <w:left w:val="none" w:sz="0" w:space="0" w:color="auto"/>
        <w:bottom w:val="none" w:sz="0" w:space="0" w:color="auto"/>
        <w:right w:val="none" w:sz="0" w:space="0" w:color="auto"/>
      </w:divBdr>
    </w:div>
    <w:div w:id="1511406865">
      <w:bodyDiv w:val="1"/>
      <w:marLeft w:val="0"/>
      <w:marRight w:val="0"/>
      <w:marTop w:val="0"/>
      <w:marBottom w:val="0"/>
      <w:divBdr>
        <w:top w:val="none" w:sz="0" w:space="0" w:color="auto"/>
        <w:left w:val="none" w:sz="0" w:space="0" w:color="auto"/>
        <w:bottom w:val="none" w:sz="0" w:space="0" w:color="auto"/>
        <w:right w:val="none" w:sz="0" w:space="0" w:color="auto"/>
      </w:divBdr>
    </w:div>
    <w:div w:id="1521896015">
      <w:bodyDiv w:val="1"/>
      <w:marLeft w:val="0"/>
      <w:marRight w:val="0"/>
      <w:marTop w:val="0"/>
      <w:marBottom w:val="0"/>
      <w:divBdr>
        <w:top w:val="none" w:sz="0" w:space="0" w:color="auto"/>
        <w:left w:val="none" w:sz="0" w:space="0" w:color="auto"/>
        <w:bottom w:val="none" w:sz="0" w:space="0" w:color="auto"/>
        <w:right w:val="none" w:sz="0" w:space="0" w:color="auto"/>
      </w:divBdr>
    </w:div>
    <w:div w:id="1535846850">
      <w:bodyDiv w:val="1"/>
      <w:marLeft w:val="0"/>
      <w:marRight w:val="0"/>
      <w:marTop w:val="0"/>
      <w:marBottom w:val="0"/>
      <w:divBdr>
        <w:top w:val="none" w:sz="0" w:space="0" w:color="auto"/>
        <w:left w:val="none" w:sz="0" w:space="0" w:color="auto"/>
        <w:bottom w:val="none" w:sz="0" w:space="0" w:color="auto"/>
        <w:right w:val="none" w:sz="0" w:space="0" w:color="auto"/>
      </w:divBdr>
    </w:div>
    <w:div w:id="1537965362">
      <w:bodyDiv w:val="1"/>
      <w:marLeft w:val="0"/>
      <w:marRight w:val="0"/>
      <w:marTop w:val="0"/>
      <w:marBottom w:val="0"/>
      <w:divBdr>
        <w:top w:val="none" w:sz="0" w:space="0" w:color="auto"/>
        <w:left w:val="none" w:sz="0" w:space="0" w:color="auto"/>
        <w:bottom w:val="none" w:sz="0" w:space="0" w:color="auto"/>
        <w:right w:val="none" w:sz="0" w:space="0" w:color="auto"/>
      </w:divBdr>
    </w:div>
    <w:div w:id="1555851007">
      <w:bodyDiv w:val="1"/>
      <w:marLeft w:val="0"/>
      <w:marRight w:val="0"/>
      <w:marTop w:val="0"/>
      <w:marBottom w:val="0"/>
      <w:divBdr>
        <w:top w:val="none" w:sz="0" w:space="0" w:color="auto"/>
        <w:left w:val="none" w:sz="0" w:space="0" w:color="auto"/>
        <w:bottom w:val="none" w:sz="0" w:space="0" w:color="auto"/>
        <w:right w:val="none" w:sz="0" w:space="0" w:color="auto"/>
      </w:divBdr>
    </w:div>
    <w:div w:id="1631745790">
      <w:bodyDiv w:val="1"/>
      <w:marLeft w:val="0"/>
      <w:marRight w:val="0"/>
      <w:marTop w:val="0"/>
      <w:marBottom w:val="0"/>
      <w:divBdr>
        <w:top w:val="none" w:sz="0" w:space="0" w:color="auto"/>
        <w:left w:val="none" w:sz="0" w:space="0" w:color="auto"/>
        <w:bottom w:val="none" w:sz="0" w:space="0" w:color="auto"/>
        <w:right w:val="none" w:sz="0" w:space="0" w:color="auto"/>
      </w:divBdr>
    </w:div>
    <w:div w:id="1670133740">
      <w:bodyDiv w:val="1"/>
      <w:marLeft w:val="0"/>
      <w:marRight w:val="0"/>
      <w:marTop w:val="0"/>
      <w:marBottom w:val="0"/>
      <w:divBdr>
        <w:top w:val="none" w:sz="0" w:space="0" w:color="auto"/>
        <w:left w:val="none" w:sz="0" w:space="0" w:color="auto"/>
        <w:bottom w:val="none" w:sz="0" w:space="0" w:color="auto"/>
        <w:right w:val="none" w:sz="0" w:space="0" w:color="auto"/>
      </w:divBdr>
    </w:div>
    <w:div w:id="1674642305">
      <w:bodyDiv w:val="1"/>
      <w:marLeft w:val="0"/>
      <w:marRight w:val="0"/>
      <w:marTop w:val="0"/>
      <w:marBottom w:val="0"/>
      <w:divBdr>
        <w:top w:val="none" w:sz="0" w:space="0" w:color="auto"/>
        <w:left w:val="none" w:sz="0" w:space="0" w:color="auto"/>
        <w:bottom w:val="none" w:sz="0" w:space="0" w:color="auto"/>
        <w:right w:val="none" w:sz="0" w:space="0" w:color="auto"/>
      </w:divBdr>
    </w:div>
    <w:div w:id="1780098446">
      <w:bodyDiv w:val="1"/>
      <w:marLeft w:val="0"/>
      <w:marRight w:val="0"/>
      <w:marTop w:val="0"/>
      <w:marBottom w:val="0"/>
      <w:divBdr>
        <w:top w:val="none" w:sz="0" w:space="0" w:color="auto"/>
        <w:left w:val="none" w:sz="0" w:space="0" w:color="auto"/>
        <w:bottom w:val="none" w:sz="0" w:space="0" w:color="auto"/>
        <w:right w:val="none" w:sz="0" w:space="0" w:color="auto"/>
      </w:divBdr>
    </w:div>
    <w:div w:id="1786190673">
      <w:bodyDiv w:val="1"/>
      <w:marLeft w:val="0"/>
      <w:marRight w:val="0"/>
      <w:marTop w:val="0"/>
      <w:marBottom w:val="0"/>
      <w:divBdr>
        <w:top w:val="none" w:sz="0" w:space="0" w:color="auto"/>
        <w:left w:val="none" w:sz="0" w:space="0" w:color="auto"/>
        <w:bottom w:val="none" w:sz="0" w:space="0" w:color="auto"/>
        <w:right w:val="none" w:sz="0" w:space="0" w:color="auto"/>
      </w:divBdr>
    </w:div>
    <w:div w:id="1818449080">
      <w:bodyDiv w:val="1"/>
      <w:marLeft w:val="0"/>
      <w:marRight w:val="0"/>
      <w:marTop w:val="0"/>
      <w:marBottom w:val="0"/>
      <w:divBdr>
        <w:top w:val="none" w:sz="0" w:space="0" w:color="auto"/>
        <w:left w:val="none" w:sz="0" w:space="0" w:color="auto"/>
        <w:bottom w:val="none" w:sz="0" w:space="0" w:color="auto"/>
        <w:right w:val="none" w:sz="0" w:space="0" w:color="auto"/>
      </w:divBdr>
    </w:div>
    <w:div w:id="1827017906">
      <w:bodyDiv w:val="1"/>
      <w:marLeft w:val="0"/>
      <w:marRight w:val="0"/>
      <w:marTop w:val="0"/>
      <w:marBottom w:val="0"/>
      <w:divBdr>
        <w:top w:val="none" w:sz="0" w:space="0" w:color="auto"/>
        <w:left w:val="none" w:sz="0" w:space="0" w:color="auto"/>
        <w:bottom w:val="none" w:sz="0" w:space="0" w:color="auto"/>
        <w:right w:val="none" w:sz="0" w:space="0" w:color="auto"/>
      </w:divBdr>
    </w:div>
    <w:div w:id="1831752850">
      <w:bodyDiv w:val="1"/>
      <w:marLeft w:val="0"/>
      <w:marRight w:val="0"/>
      <w:marTop w:val="0"/>
      <w:marBottom w:val="0"/>
      <w:divBdr>
        <w:top w:val="none" w:sz="0" w:space="0" w:color="auto"/>
        <w:left w:val="none" w:sz="0" w:space="0" w:color="auto"/>
        <w:bottom w:val="none" w:sz="0" w:space="0" w:color="auto"/>
        <w:right w:val="none" w:sz="0" w:space="0" w:color="auto"/>
      </w:divBdr>
    </w:div>
    <w:div w:id="1867865058">
      <w:bodyDiv w:val="1"/>
      <w:marLeft w:val="0"/>
      <w:marRight w:val="0"/>
      <w:marTop w:val="0"/>
      <w:marBottom w:val="0"/>
      <w:divBdr>
        <w:top w:val="none" w:sz="0" w:space="0" w:color="auto"/>
        <w:left w:val="none" w:sz="0" w:space="0" w:color="auto"/>
        <w:bottom w:val="none" w:sz="0" w:space="0" w:color="auto"/>
        <w:right w:val="none" w:sz="0" w:space="0" w:color="auto"/>
      </w:divBdr>
    </w:div>
    <w:div w:id="1903826224">
      <w:bodyDiv w:val="1"/>
      <w:marLeft w:val="0"/>
      <w:marRight w:val="0"/>
      <w:marTop w:val="0"/>
      <w:marBottom w:val="0"/>
      <w:divBdr>
        <w:top w:val="none" w:sz="0" w:space="0" w:color="auto"/>
        <w:left w:val="none" w:sz="0" w:space="0" w:color="auto"/>
        <w:bottom w:val="none" w:sz="0" w:space="0" w:color="auto"/>
        <w:right w:val="none" w:sz="0" w:space="0" w:color="auto"/>
      </w:divBdr>
      <w:divsChild>
        <w:div w:id="118450198">
          <w:marLeft w:val="806"/>
          <w:marRight w:val="0"/>
          <w:marTop w:val="130"/>
          <w:marBottom w:val="0"/>
          <w:divBdr>
            <w:top w:val="none" w:sz="0" w:space="0" w:color="auto"/>
            <w:left w:val="none" w:sz="0" w:space="0" w:color="auto"/>
            <w:bottom w:val="none" w:sz="0" w:space="0" w:color="auto"/>
            <w:right w:val="none" w:sz="0" w:space="0" w:color="auto"/>
          </w:divBdr>
        </w:div>
        <w:div w:id="496505203">
          <w:marLeft w:val="806"/>
          <w:marRight w:val="0"/>
          <w:marTop w:val="130"/>
          <w:marBottom w:val="0"/>
          <w:divBdr>
            <w:top w:val="none" w:sz="0" w:space="0" w:color="auto"/>
            <w:left w:val="none" w:sz="0" w:space="0" w:color="auto"/>
            <w:bottom w:val="none" w:sz="0" w:space="0" w:color="auto"/>
            <w:right w:val="none" w:sz="0" w:space="0" w:color="auto"/>
          </w:divBdr>
        </w:div>
        <w:div w:id="1277103865">
          <w:marLeft w:val="806"/>
          <w:marRight w:val="0"/>
          <w:marTop w:val="130"/>
          <w:marBottom w:val="0"/>
          <w:divBdr>
            <w:top w:val="none" w:sz="0" w:space="0" w:color="auto"/>
            <w:left w:val="none" w:sz="0" w:space="0" w:color="auto"/>
            <w:bottom w:val="none" w:sz="0" w:space="0" w:color="auto"/>
            <w:right w:val="none" w:sz="0" w:space="0" w:color="auto"/>
          </w:divBdr>
        </w:div>
        <w:div w:id="1330326739">
          <w:marLeft w:val="806"/>
          <w:marRight w:val="0"/>
          <w:marTop w:val="130"/>
          <w:marBottom w:val="0"/>
          <w:divBdr>
            <w:top w:val="none" w:sz="0" w:space="0" w:color="auto"/>
            <w:left w:val="none" w:sz="0" w:space="0" w:color="auto"/>
            <w:bottom w:val="none" w:sz="0" w:space="0" w:color="auto"/>
            <w:right w:val="none" w:sz="0" w:space="0" w:color="auto"/>
          </w:divBdr>
        </w:div>
        <w:div w:id="1368604577">
          <w:marLeft w:val="806"/>
          <w:marRight w:val="0"/>
          <w:marTop w:val="130"/>
          <w:marBottom w:val="0"/>
          <w:divBdr>
            <w:top w:val="none" w:sz="0" w:space="0" w:color="auto"/>
            <w:left w:val="none" w:sz="0" w:space="0" w:color="auto"/>
            <w:bottom w:val="none" w:sz="0" w:space="0" w:color="auto"/>
            <w:right w:val="none" w:sz="0" w:space="0" w:color="auto"/>
          </w:divBdr>
        </w:div>
        <w:div w:id="1370568954">
          <w:marLeft w:val="806"/>
          <w:marRight w:val="0"/>
          <w:marTop w:val="130"/>
          <w:marBottom w:val="0"/>
          <w:divBdr>
            <w:top w:val="none" w:sz="0" w:space="0" w:color="auto"/>
            <w:left w:val="none" w:sz="0" w:space="0" w:color="auto"/>
            <w:bottom w:val="none" w:sz="0" w:space="0" w:color="auto"/>
            <w:right w:val="none" w:sz="0" w:space="0" w:color="auto"/>
          </w:divBdr>
        </w:div>
        <w:div w:id="1898399687">
          <w:marLeft w:val="806"/>
          <w:marRight w:val="0"/>
          <w:marTop w:val="130"/>
          <w:marBottom w:val="0"/>
          <w:divBdr>
            <w:top w:val="none" w:sz="0" w:space="0" w:color="auto"/>
            <w:left w:val="none" w:sz="0" w:space="0" w:color="auto"/>
            <w:bottom w:val="none" w:sz="0" w:space="0" w:color="auto"/>
            <w:right w:val="none" w:sz="0" w:space="0" w:color="auto"/>
          </w:divBdr>
        </w:div>
      </w:divsChild>
    </w:div>
    <w:div w:id="1928230039">
      <w:bodyDiv w:val="1"/>
      <w:marLeft w:val="0"/>
      <w:marRight w:val="0"/>
      <w:marTop w:val="0"/>
      <w:marBottom w:val="0"/>
      <w:divBdr>
        <w:top w:val="none" w:sz="0" w:space="0" w:color="auto"/>
        <w:left w:val="none" w:sz="0" w:space="0" w:color="auto"/>
        <w:bottom w:val="none" w:sz="0" w:space="0" w:color="auto"/>
        <w:right w:val="none" w:sz="0" w:space="0" w:color="auto"/>
      </w:divBdr>
    </w:div>
    <w:div w:id="1948465640">
      <w:bodyDiv w:val="1"/>
      <w:marLeft w:val="0"/>
      <w:marRight w:val="0"/>
      <w:marTop w:val="0"/>
      <w:marBottom w:val="0"/>
      <w:divBdr>
        <w:top w:val="none" w:sz="0" w:space="0" w:color="auto"/>
        <w:left w:val="none" w:sz="0" w:space="0" w:color="auto"/>
        <w:bottom w:val="none" w:sz="0" w:space="0" w:color="auto"/>
        <w:right w:val="none" w:sz="0" w:space="0" w:color="auto"/>
      </w:divBdr>
    </w:div>
    <w:div w:id="1992905236">
      <w:bodyDiv w:val="1"/>
      <w:marLeft w:val="0"/>
      <w:marRight w:val="0"/>
      <w:marTop w:val="0"/>
      <w:marBottom w:val="0"/>
      <w:divBdr>
        <w:top w:val="none" w:sz="0" w:space="0" w:color="auto"/>
        <w:left w:val="none" w:sz="0" w:space="0" w:color="auto"/>
        <w:bottom w:val="none" w:sz="0" w:space="0" w:color="auto"/>
        <w:right w:val="none" w:sz="0" w:space="0" w:color="auto"/>
      </w:divBdr>
    </w:div>
    <w:div w:id="2012171763">
      <w:bodyDiv w:val="1"/>
      <w:marLeft w:val="0"/>
      <w:marRight w:val="0"/>
      <w:marTop w:val="0"/>
      <w:marBottom w:val="0"/>
      <w:divBdr>
        <w:top w:val="none" w:sz="0" w:space="0" w:color="auto"/>
        <w:left w:val="none" w:sz="0" w:space="0" w:color="auto"/>
        <w:bottom w:val="none" w:sz="0" w:space="0" w:color="auto"/>
        <w:right w:val="none" w:sz="0" w:space="0" w:color="auto"/>
      </w:divBdr>
    </w:div>
    <w:div w:id="2068062316">
      <w:bodyDiv w:val="1"/>
      <w:marLeft w:val="0"/>
      <w:marRight w:val="0"/>
      <w:marTop w:val="0"/>
      <w:marBottom w:val="0"/>
      <w:divBdr>
        <w:top w:val="none" w:sz="0" w:space="0" w:color="auto"/>
        <w:left w:val="none" w:sz="0" w:space="0" w:color="auto"/>
        <w:bottom w:val="none" w:sz="0" w:space="0" w:color="auto"/>
        <w:right w:val="none" w:sz="0" w:space="0" w:color="auto"/>
      </w:divBdr>
    </w:div>
    <w:div w:id="2091080393">
      <w:bodyDiv w:val="1"/>
      <w:marLeft w:val="0"/>
      <w:marRight w:val="0"/>
      <w:marTop w:val="0"/>
      <w:marBottom w:val="0"/>
      <w:divBdr>
        <w:top w:val="none" w:sz="0" w:space="0" w:color="auto"/>
        <w:left w:val="none" w:sz="0" w:space="0" w:color="auto"/>
        <w:bottom w:val="none" w:sz="0" w:space="0" w:color="auto"/>
        <w:right w:val="none" w:sz="0" w:space="0" w:color="auto"/>
      </w:divBdr>
    </w:div>
    <w:div w:id="2097707341">
      <w:bodyDiv w:val="1"/>
      <w:marLeft w:val="0"/>
      <w:marRight w:val="0"/>
      <w:marTop w:val="0"/>
      <w:marBottom w:val="0"/>
      <w:divBdr>
        <w:top w:val="none" w:sz="0" w:space="0" w:color="auto"/>
        <w:left w:val="none" w:sz="0" w:space="0" w:color="auto"/>
        <w:bottom w:val="none" w:sz="0" w:space="0" w:color="auto"/>
        <w:right w:val="none" w:sz="0" w:space="0" w:color="auto"/>
      </w:divBdr>
    </w:div>
    <w:div w:id="2121949706">
      <w:bodyDiv w:val="1"/>
      <w:marLeft w:val="0"/>
      <w:marRight w:val="0"/>
      <w:marTop w:val="0"/>
      <w:marBottom w:val="0"/>
      <w:divBdr>
        <w:top w:val="none" w:sz="0" w:space="0" w:color="auto"/>
        <w:left w:val="none" w:sz="0" w:space="0" w:color="auto"/>
        <w:bottom w:val="none" w:sz="0" w:space="0" w:color="auto"/>
        <w:right w:val="none" w:sz="0" w:space="0" w:color="auto"/>
      </w:divBdr>
    </w:div>
    <w:div w:id="21434242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117" Type="http://schemas.openxmlformats.org/officeDocument/2006/relationships/image" Target="media/image57.emf"/><Relationship Id="rId21" Type="http://schemas.openxmlformats.org/officeDocument/2006/relationships/image" Target="media/image11.jpeg"/><Relationship Id="rId42" Type="http://schemas.openxmlformats.org/officeDocument/2006/relationships/image" Target="media/image25.emf"/><Relationship Id="rId47" Type="http://schemas.openxmlformats.org/officeDocument/2006/relationships/image" Target="media/image28.emf"/><Relationship Id="rId63" Type="http://schemas.openxmlformats.org/officeDocument/2006/relationships/hyperlink" Target="http://www.undp.org/content/undp/en/home/operations/accountability/programme_and_operationspoliciesandprocedures.html" TargetMode="External"/><Relationship Id="rId68" Type="http://schemas.openxmlformats.org/officeDocument/2006/relationships/hyperlink" Target="http://web.undp.org/evaluation/guidance.shtml" TargetMode="External"/><Relationship Id="rId84" Type="http://schemas.openxmlformats.org/officeDocument/2006/relationships/footer" Target="footer9.xml"/><Relationship Id="rId89" Type="http://schemas.openxmlformats.org/officeDocument/2006/relationships/image" Target="media/image38.emf"/><Relationship Id="rId112" Type="http://schemas.openxmlformats.org/officeDocument/2006/relationships/hyperlink" Target="http://earthsendangered.com/profile.asp?gr=AM&amp;sp=3780" TargetMode="External"/><Relationship Id="rId133" Type="http://schemas.openxmlformats.org/officeDocument/2006/relationships/hyperlink" Target="http://earthsendangered.com/profile.asp?gr=M&amp;sp=14877" TargetMode="External"/><Relationship Id="rId138" Type="http://schemas.openxmlformats.org/officeDocument/2006/relationships/hyperlink" Target="http://earthsendangered.com/profile.asp?gr=P&amp;sp=15674" TargetMode="External"/><Relationship Id="rId16" Type="http://schemas.openxmlformats.org/officeDocument/2006/relationships/image" Target="media/image6.emf"/><Relationship Id="rId107" Type="http://schemas.openxmlformats.org/officeDocument/2006/relationships/image" Target="media/image52.emf"/><Relationship Id="rId11" Type="http://schemas.openxmlformats.org/officeDocument/2006/relationships/image" Target="media/image1.png"/><Relationship Id="rId32" Type="http://schemas.openxmlformats.org/officeDocument/2006/relationships/header" Target="header3.xml"/><Relationship Id="rId37" Type="http://schemas.openxmlformats.org/officeDocument/2006/relationships/image" Target="media/image21.emf"/><Relationship Id="rId53" Type="http://schemas.openxmlformats.org/officeDocument/2006/relationships/image" Target="media/image32.emf"/><Relationship Id="rId58" Type="http://schemas.openxmlformats.org/officeDocument/2006/relationships/header" Target="header6.xml"/><Relationship Id="rId74" Type="http://schemas.openxmlformats.org/officeDocument/2006/relationships/footer" Target="footer6.xml"/><Relationship Id="rId79" Type="http://schemas.openxmlformats.org/officeDocument/2006/relationships/header" Target="header15.xml"/><Relationship Id="rId102" Type="http://schemas.openxmlformats.org/officeDocument/2006/relationships/footer" Target="footer10.xml"/><Relationship Id="rId123" Type="http://schemas.openxmlformats.org/officeDocument/2006/relationships/hyperlink" Target="http://earthsendangered.com/profile.asp?gr=R&amp;sp=2085" TargetMode="External"/><Relationship Id="rId128" Type="http://schemas.openxmlformats.org/officeDocument/2006/relationships/image" Target="media/image61.emf"/><Relationship Id="rId144" Type="http://schemas.openxmlformats.org/officeDocument/2006/relationships/header" Target="header25.xml"/><Relationship Id="rId149" Type="http://schemas.openxmlformats.org/officeDocument/2006/relationships/footer" Target="footer11.xml"/><Relationship Id="rId5" Type="http://schemas.openxmlformats.org/officeDocument/2006/relationships/numbering" Target="numbering.xml"/><Relationship Id="rId90" Type="http://schemas.openxmlformats.org/officeDocument/2006/relationships/image" Target="media/image39.emf"/><Relationship Id="rId95" Type="http://schemas.openxmlformats.org/officeDocument/2006/relationships/image" Target="media/image44.emf"/><Relationship Id="rId22" Type="http://schemas.openxmlformats.org/officeDocument/2006/relationships/hyperlink" Target="https://www.thegef.org/project/increasing-resilience-ecosystems-and-vulnerable-communities-cc-and-anthropic-threats-through" TargetMode="External"/><Relationship Id="rId27" Type="http://schemas.openxmlformats.org/officeDocument/2006/relationships/footer" Target="footer1.xml"/><Relationship Id="rId43" Type="http://schemas.openxmlformats.org/officeDocument/2006/relationships/hyperlink" Target="http://earthsendangered.com/profile.asp?gr=AM&amp;sp=3843" TargetMode="External"/><Relationship Id="rId48" Type="http://schemas.openxmlformats.org/officeDocument/2006/relationships/hyperlink" Target="http://earthsendangered.com/profile.asp?gr=B&amp;sp=614" TargetMode="External"/><Relationship Id="rId64" Type="http://schemas.openxmlformats.org/officeDocument/2006/relationships/hyperlink" Target="http://www.undp.org/content/undp/en/home/operations/accountability/evaluation/evaluation_policyofundp.html" TargetMode="External"/><Relationship Id="rId69" Type="http://schemas.openxmlformats.org/officeDocument/2006/relationships/image" Target="media/image33.png"/><Relationship Id="rId113" Type="http://schemas.openxmlformats.org/officeDocument/2006/relationships/image" Target="media/image55.emf"/><Relationship Id="rId118" Type="http://schemas.openxmlformats.org/officeDocument/2006/relationships/hyperlink" Target="http://earthsendangered.com/profile.asp?gr=AM&amp;sp=14802" TargetMode="External"/><Relationship Id="rId134" Type="http://schemas.openxmlformats.org/officeDocument/2006/relationships/image" Target="media/image64.emf"/><Relationship Id="rId139" Type="http://schemas.openxmlformats.org/officeDocument/2006/relationships/hyperlink" Target="http://earthsendangered.com/profile.asp?gr=P&amp;sp=19868" TargetMode="External"/><Relationship Id="rId80" Type="http://schemas.openxmlformats.org/officeDocument/2006/relationships/footer" Target="footer8.xml"/><Relationship Id="rId85" Type="http://schemas.openxmlformats.org/officeDocument/2006/relationships/header" Target="header18.xml"/><Relationship Id="rId150" Type="http://schemas.openxmlformats.org/officeDocument/2006/relationships/header" Target="header30.xml"/><Relationship Id="rId12" Type="http://schemas.openxmlformats.org/officeDocument/2006/relationships/image" Target="media/image2.jpeg"/><Relationship Id="rId17" Type="http://schemas.openxmlformats.org/officeDocument/2006/relationships/image" Target="media/image7.emf"/><Relationship Id="rId25" Type="http://schemas.openxmlformats.org/officeDocument/2006/relationships/image" Target="media/image14.png"/><Relationship Id="rId33" Type="http://schemas.openxmlformats.org/officeDocument/2006/relationships/image" Target="media/image17.emf"/><Relationship Id="rId38" Type="http://schemas.openxmlformats.org/officeDocument/2006/relationships/image" Target="media/image22.emf"/><Relationship Id="rId46" Type="http://schemas.openxmlformats.org/officeDocument/2006/relationships/image" Target="media/image27.emf"/><Relationship Id="rId59" Type="http://schemas.openxmlformats.org/officeDocument/2006/relationships/header" Target="header7.xml"/><Relationship Id="rId67" Type="http://schemas.openxmlformats.org/officeDocument/2006/relationships/hyperlink" Target="http://web.undp.org/evaluation/guidance.shtml" TargetMode="External"/><Relationship Id="rId103" Type="http://schemas.openxmlformats.org/officeDocument/2006/relationships/header" Target="header21.xml"/><Relationship Id="rId108" Type="http://schemas.openxmlformats.org/officeDocument/2006/relationships/hyperlink" Target="http://earthsendangered.com/profile.asp?gr=AM&amp;sp=3733" TargetMode="External"/><Relationship Id="rId116" Type="http://schemas.openxmlformats.org/officeDocument/2006/relationships/hyperlink" Target="http://earthsendangered.com/profile.asp?gr=AM&amp;sp=3791" TargetMode="External"/><Relationship Id="rId124" Type="http://schemas.openxmlformats.org/officeDocument/2006/relationships/image" Target="media/image59.emf"/><Relationship Id="rId129" Type="http://schemas.openxmlformats.org/officeDocument/2006/relationships/hyperlink" Target="http://earthsendangered.com/profile.asp?gr=B&amp;sp=11914" TargetMode="External"/><Relationship Id="rId137" Type="http://schemas.openxmlformats.org/officeDocument/2006/relationships/hyperlink" Target="http://earthsendangered.com/profile.asp?gr=P&amp;sp=15509" TargetMode="External"/><Relationship Id="rId20" Type="http://schemas.openxmlformats.org/officeDocument/2006/relationships/image" Target="media/image10.png"/><Relationship Id="rId41" Type="http://schemas.openxmlformats.org/officeDocument/2006/relationships/hyperlink" Target="http://earthsendangered.com/profile.asp?gr=AM&amp;sp=3842" TargetMode="External"/><Relationship Id="rId54" Type="http://schemas.openxmlformats.org/officeDocument/2006/relationships/hyperlink" Target="http://earthsendangered.com/profile.asp?gr=M&amp;sp=14877" TargetMode="External"/><Relationship Id="rId62" Type="http://schemas.openxmlformats.org/officeDocument/2006/relationships/header" Target="header9.xml"/><Relationship Id="rId70" Type="http://schemas.openxmlformats.org/officeDocument/2006/relationships/header" Target="header10.xml"/><Relationship Id="rId75" Type="http://schemas.openxmlformats.org/officeDocument/2006/relationships/image" Target="media/image34.png"/><Relationship Id="rId83" Type="http://schemas.openxmlformats.org/officeDocument/2006/relationships/header" Target="header17.xml"/><Relationship Id="rId88" Type="http://schemas.openxmlformats.org/officeDocument/2006/relationships/image" Target="media/image37.emf"/><Relationship Id="rId91" Type="http://schemas.openxmlformats.org/officeDocument/2006/relationships/image" Target="media/image40.emf"/><Relationship Id="rId96" Type="http://schemas.openxmlformats.org/officeDocument/2006/relationships/image" Target="media/image45.emf"/><Relationship Id="rId111" Type="http://schemas.openxmlformats.org/officeDocument/2006/relationships/image" Target="media/image54.emf"/><Relationship Id="rId132" Type="http://schemas.openxmlformats.org/officeDocument/2006/relationships/image" Target="media/image63.emf"/><Relationship Id="rId140" Type="http://schemas.openxmlformats.org/officeDocument/2006/relationships/header" Target="header22.xml"/><Relationship Id="rId145" Type="http://schemas.openxmlformats.org/officeDocument/2006/relationships/header" Target="header26.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emf"/><Relationship Id="rId23" Type="http://schemas.openxmlformats.org/officeDocument/2006/relationships/image" Target="media/image12.png"/><Relationship Id="rId28" Type="http://schemas.openxmlformats.org/officeDocument/2006/relationships/image" Target="media/image16.png"/><Relationship Id="rId36" Type="http://schemas.openxmlformats.org/officeDocument/2006/relationships/image" Target="media/image20.emf"/><Relationship Id="rId49" Type="http://schemas.openxmlformats.org/officeDocument/2006/relationships/image" Target="media/image29.emf"/><Relationship Id="rId57" Type="http://schemas.openxmlformats.org/officeDocument/2006/relationships/footer" Target="footer3.xml"/><Relationship Id="rId106" Type="http://schemas.openxmlformats.org/officeDocument/2006/relationships/image" Target="media/image51.emf"/><Relationship Id="rId114" Type="http://schemas.openxmlformats.org/officeDocument/2006/relationships/hyperlink" Target="http://earthsendangered.com/profile.asp?gr=AM&amp;sp=3784" TargetMode="External"/><Relationship Id="rId119" Type="http://schemas.openxmlformats.org/officeDocument/2006/relationships/hyperlink" Target="http://earthsendangered.com/profile.asp?gr=AM&amp;sp=3842" TargetMode="External"/><Relationship Id="rId127" Type="http://schemas.openxmlformats.org/officeDocument/2006/relationships/hyperlink" Target="http://earthsendangered.com/profile.asp?gr=B&amp;sp=11402" TargetMode="External"/><Relationship Id="rId10" Type="http://schemas.openxmlformats.org/officeDocument/2006/relationships/endnotes" Target="endnotes.xml"/><Relationship Id="rId31" Type="http://schemas.openxmlformats.org/officeDocument/2006/relationships/footer" Target="footer2.xml"/><Relationship Id="rId44" Type="http://schemas.openxmlformats.org/officeDocument/2006/relationships/image" Target="media/image26.png"/><Relationship Id="rId52" Type="http://schemas.openxmlformats.org/officeDocument/2006/relationships/hyperlink" Target="http://earthsendangered.com/profile.asp?gr=B&amp;sp=13034" TargetMode="External"/><Relationship Id="rId60" Type="http://schemas.openxmlformats.org/officeDocument/2006/relationships/header" Target="header8.xml"/><Relationship Id="rId65" Type="http://schemas.openxmlformats.org/officeDocument/2006/relationships/hyperlink" Target="http://www.thegef.org/gef/Evaluation%2520Policy%25202010" TargetMode="External"/><Relationship Id="rId73" Type="http://schemas.openxmlformats.org/officeDocument/2006/relationships/header" Target="header12.xml"/><Relationship Id="rId78" Type="http://schemas.openxmlformats.org/officeDocument/2006/relationships/footer" Target="footer7.xml"/><Relationship Id="rId81" Type="http://schemas.openxmlformats.org/officeDocument/2006/relationships/hyperlink" Target="http://www.undp.org/content/undp/en/home/librarypage/operations1/undp-social-and-environmental-screening-procedure.html" TargetMode="External"/><Relationship Id="rId86" Type="http://schemas.openxmlformats.org/officeDocument/2006/relationships/image" Target="media/image35.emf"/><Relationship Id="rId94" Type="http://schemas.openxmlformats.org/officeDocument/2006/relationships/image" Target="media/image43.emf"/><Relationship Id="rId99" Type="http://schemas.openxmlformats.org/officeDocument/2006/relationships/image" Target="media/image48.emf"/><Relationship Id="rId101" Type="http://schemas.openxmlformats.org/officeDocument/2006/relationships/header" Target="header20.xml"/><Relationship Id="rId122" Type="http://schemas.openxmlformats.org/officeDocument/2006/relationships/image" Target="media/image58.emf"/><Relationship Id="rId130" Type="http://schemas.openxmlformats.org/officeDocument/2006/relationships/image" Target="media/image62.emf"/><Relationship Id="rId135" Type="http://schemas.openxmlformats.org/officeDocument/2006/relationships/hyperlink" Target="http://earthsendangered.com/profile.asp?gr=CR&amp;sp=10387" TargetMode="External"/><Relationship Id="rId143" Type="http://schemas.openxmlformats.org/officeDocument/2006/relationships/image" Target="media/image66.gif"/><Relationship Id="rId148" Type="http://schemas.openxmlformats.org/officeDocument/2006/relationships/header" Target="header29.xml"/><Relationship Id="rId15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emf"/><Relationship Id="rId18" Type="http://schemas.openxmlformats.org/officeDocument/2006/relationships/image" Target="media/image8.emf"/><Relationship Id="rId39" Type="http://schemas.openxmlformats.org/officeDocument/2006/relationships/image" Target="media/image23.emf"/><Relationship Id="rId109" Type="http://schemas.openxmlformats.org/officeDocument/2006/relationships/image" Target="media/image53.emf"/><Relationship Id="rId34" Type="http://schemas.openxmlformats.org/officeDocument/2006/relationships/image" Target="media/image18.jpeg"/><Relationship Id="rId50" Type="http://schemas.openxmlformats.org/officeDocument/2006/relationships/image" Target="media/image30.emf"/><Relationship Id="rId55" Type="http://schemas.openxmlformats.org/officeDocument/2006/relationships/header" Target="header4.xml"/><Relationship Id="rId76" Type="http://schemas.openxmlformats.org/officeDocument/2006/relationships/header" Target="header13.xml"/><Relationship Id="rId97" Type="http://schemas.openxmlformats.org/officeDocument/2006/relationships/image" Target="media/image46.emf"/><Relationship Id="rId104" Type="http://schemas.openxmlformats.org/officeDocument/2006/relationships/image" Target="media/image49.emf"/><Relationship Id="rId120" Type="http://schemas.openxmlformats.org/officeDocument/2006/relationships/hyperlink" Target="http://earthsendangered.com/profile.asp?gr=AM&amp;sp=3843" TargetMode="External"/><Relationship Id="rId125" Type="http://schemas.openxmlformats.org/officeDocument/2006/relationships/hyperlink" Target="http://earthsendangered.com/profile.asp?gr=B&amp;sp=614" TargetMode="External"/><Relationship Id="rId141" Type="http://schemas.openxmlformats.org/officeDocument/2006/relationships/header" Target="header23.xml"/><Relationship Id="rId146" Type="http://schemas.openxmlformats.org/officeDocument/2006/relationships/header" Target="header27.xml"/><Relationship Id="rId7" Type="http://schemas.openxmlformats.org/officeDocument/2006/relationships/settings" Target="settings.xml"/><Relationship Id="rId71" Type="http://schemas.openxmlformats.org/officeDocument/2006/relationships/header" Target="header11.xml"/><Relationship Id="rId92" Type="http://schemas.openxmlformats.org/officeDocument/2006/relationships/image" Target="media/image41.emf"/><Relationship Id="rId2" Type="http://schemas.openxmlformats.org/officeDocument/2006/relationships/customXml" Target="../customXml/item2.xml"/><Relationship Id="rId29" Type="http://schemas.openxmlformats.org/officeDocument/2006/relationships/header" Target="header1.xml"/><Relationship Id="rId24" Type="http://schemas.openxmlformats.org/officeDocument/2006/relationships/image" Target="media/image13.png"/><Relationship Id="rId40" Type="http://schemas.openxmlformats.org/officeDocument/2006/relationships/image" Target="media/image24.emf"/><Relationship Id="rId45" Type="http://schemas.openxmlformats.org/officeDocument/2006/relationships/hyperlink" Target="http://earthsendangered.com/profile.asp?gr=R&amp;sp=2085" TargetMode="External"/><Relationship Id="rId66" Type="http://schemas.openxmlformats.org/officeDocument/2006/relationships/hyperlink" Target="http://www.undp.org/content/undp/en/home/operations/accountability/programme_and_operationspoliciesandprocedures.html" TargetMode="External"/><Relationship Id="rId87" Type="http://schemas.openxmlformats.org/officeDocument/2006/relationships/image" Target="media/image36.emf"/><Relationship Id="rId110" Type="http://schemas.openxmlformats.org/officeDocument/2006/relationships/hyperlink" Target="http://earthsendangered.com/profile.asp?gr=AM&amp;sp=3760" TargetMode="External"/><Relationship Id="rId115" Type="http://schemas.openxmlformats.org/officeDocument/2006/relationships/image" Target="media/image56.emf"/><Relationship Id="rId131" Type="http://schemas.openxmlformats.org/officeDocument/2006/relationships/hyperlink" Target="http://earthsendangered.com/profile.asp?gr=B&amp;sp=13034" TargetMode="External"/><Relationship Id="rId136" Type="http://schemas.openxmlformats.org/officeDocument/2006/relationships/image" Target="media/image65.emf"/><Relationship Id="rId61" Type="http://schemas.openxmlformats.org/officeDocument/2006/relationships/footer" Target="footer4.xml"/><Relationship Id="rId82" Type="http://schemas.openxmlformats.org/officeDocument/2006/relationships/header" Target="header16.xml"/><Relationship Id="rId152" Type="http://schemas.openxmlformats.org/officeDocument/2006/relationships/theme" Target="theme/theme1.xml"/><Relationship Id="rId19" Type="http://schemas.openxmlformats.org/officeDocument/2006/relationships/image" Target="media/image9.emf"/><Relationship Id="rId14" Type="http://schemas.openxmlformats.org/officeDocument/2006/relationships/image" Target="media/image4.emf"/><Relationship Id="rId30" Type="http://schemas.openxmlformats.org/officeDocument/2006/relationships/header" Target="header2.xml"/><Relationship Id="rId35" Type="http://schemas.openxmlformats.org/officeDocument/2006/relationships/image" Target="media/image19.jpeg"/><Relationship Id="rId56" Type="http://schemas.openxmlformats.org/officeDocument/2006/relationships/header" Target="header5.xml"/><Relationship Id="rId77" Type="http://schemas.openxmlformats.org/officeDocument/2006/relationships/header" Target="header14.xml"/><Relationship Id="rId100" Type="http://schemas.openxmlformats.org/officeDocument/2006/relationships/header" Target="header19.xml"/><Relationship Id="rId105" Type="http://schemas.openxmlformats.org/officeDocument/2006/relationships/image" Target="media/image50.emf"/><Relationship Id="rId126" Type="http://schemas.openxmlformats.org/officeDocument/2006/relationships/image" Target="media/image60.emf"/><Relationship Id="rId147" Type="http://schemas.openxmlformats.org/officeDocument/2006/relationships/header" Target="header28.xml"/><Relationship Id="rId8" Type="http://schemas.openxmlformats.org/officeDocument/2006/relationships/webSettings" Target="webSettings.xml"/><Relationship Id="rId51" Type="http://schemas.openxmlformats.org/officeDocument/2006/relationships/image" Target="media/image31.emf"/><Relationship Id="rId72" Type="http://schemas.openxmlformats.org/officeDocument/2006/relationships/footer" Target="footer5.xml"/><Relationship Id="rId93" Type="http://schemas.openxmlformats.org/officeDocument/2006/relationships/image" Target="media/image42.emf"/><Relationship Id="rId98" Type="http://schemas.openxmlformats.org/officeDocument/2006/relationships/image" Target="media/image47.emf"/><Relationship Id="rId121" Type="http://schemas.openxmlformats.org/officeDocument/2006/relationships/hyperlink" Target="http://earthsendangered.com/profile.asp?gr=AM&amp;sp=11946" TargetMode="External"/><Relationship Id="rId142" Type="http://schemas.openxmlformats.org/officeDocument/2006/relationships/header" Target="header24.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s://info.undp.org/global/popp/frm/pages/financial-management-and-execution-modalities.aspx" TargetMode="External"/><Relationship Id="rId2" Type="http://schemas.openxmlformats.org/officeDocument/2006/relationships/hyperlink" Target="https://www.thegef.org/gef/gef_agencies" TargetMode="External"/><Relationship Id="rId1" Type="http://schemas.openxmlformats.org/officeDocument/2006/relationships/hyperlink" Target="https://www.thegef.org/gef/policies_guidelines" TargetMode="External"/><Relationship Id="rId6" Type="http://schemas.openxmlformats.org/officeDocument/2006/relationships/hyperlink" Target="http://hdr.undp.org/en/content/table-4-gender-inequality-index" TargetMode="External"/><Relationship Id="rId5" Type="http://schemas.openxmlformats.org/officeDocument/2006/relationships/hyperlink" Target="http://reports.weforum.org" TargetMode="External"/><Relationship Id="rId4" Type="http://schemas.openxmlformats.org/officeDocument/2006/relationships/hyperlink" Target="https://info.undp.org/global/popp/ppm/Pages/Closing-a-Project.aspx"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Theme">
      <a:majorFont>
        <a:latin typeface="Calibri"/>
        <a:ea typeface="Calibri"/>
        <a:cs typeface="Calibri"/>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j-lt"/>
            <a:ea typeface="+mj-ea"/>
            <a:cs typeface="+mj-cs"/>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j-lt"/>
            <a:ea typeface="+mj-ea"/>
            <a:cs typeface="+mj-cs"/>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Haiti</GEFCountry>
    <Classification xmlns="ceb00776-aa5c-4fc8-b6fe-5f035152e4b6">Public</Classification>
    <Country1 xmlns="ceb00776-aa5c-4fc8-b6fe-5f035152e4b6" xsi:nil="true"/>
    <DocPrefix xmlns="ceb00776-aa5c-4fc8-b6fe-5f035152e4b6">FSP CEO Endorsement document</DocPrefix>
    <GEFID xmlns="ceb00776-aa5c-4fc8-b6fe-5f035152e4b6">9777</GEFID>
    <ProjectType xmlns="ceb00776-aa5c-4fc8-b6fe-5f035152e4b6">FSP</ProjectType>
    <GEFProjectID xmlns="ceb00776-aa5c-4fc8-b6fe-5f035152e4b6">16a0696a-df7c-e811-8124-3863bb2e1360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Roadmap</DocType>
    <ProjectTitle xmlns="ceb00776-aa5c-4fc8-b6fe-5f035152e4b6">Sustainable Management of Wooded Production Landscapes for Biodiversity Conservation  </ProjectTitle>
    <TrustFundType xmlns="ceb00776-aa5c-4fc8-b6fe-5f035152e4b6">GET</TrustFundType>
    <TaxCatchAll xmlns="3e02667f-0271-471b-bd6e-11a2e16def1d"/>
    <DocumentTitle xmlns="ceb00776-aa5c-4fc8-b6fe-5f035152e4b6">PIMS 5765 Haiti BD Productive landspaces ProDoc 4Nov</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96F511-1AEC-4BB9-9CF7-E084D0F82E4C}"/>
</file>

<file path=customXml/itemProps2.xml><?xml version="1.0" encoding="utf-8"?>
<ds:datastoreItem xmlns:ds="http://schemas.openxmlformats.org/officeDocument/2006/customXml" ds:itemID="{3D986D52-AA45-4167-BB0A-CCF74E0DC3A4}">
  <ds:schemaRefs>
    <ds:schemaRef ds:uri="http://schemas.microsoft.com/sharepoint/v3/contenttype/forms"/>
  </ds:schemaRefs>
</ds:datastoreItem>
</file>

<file path=customXml/itemProps3.xml><?xml version="1.0" encoding="utf-8"?>
<ds:datastoreItem xmlns:ds="http://schemas.openxmlformats.org/officeDocument/2006/customXml" ds:itemID="{EBDDB331-F01D-4A63-8CBC-15600D7D529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57CD160-346A-44DD-849A-A0058E4A59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213</Pages>
  <Words>87507</Words>
  <Characters>498794</Characters>
  <Application>Microsoft Office Word</Application>
  <DocSecurity>0</DocSecurity>
  <Lines>4156</Lines>
  <Paragraphs>1170</Paragraphs>
  <ScaleCrop>false</ScaleCrop>
  <HeadingPairs>
    <vt:vector size="8" baseType="variant">
      <vt:variant>
        <vt:lpstr>Title</vt:lpstr>
      </vt:variant>
      <vt:variant>
        <vt:i4>1</vt:i4>
      </vt:variant>
      <vt:variant>
        <vt:lpstr>Название</vt:lpstr>
      </vt:variant>
      <vt:variant>
        <vt:i4>1</vt:i4>
      </vt:variant>
      <vt:variant>
        <vt:lpstr>Titre</vt:lpstr>
      </vt:variant>
      <vt:variant>
        <vt:i4>1</vt:i4>
      </vt:variant>
      <vt:variant>
        <vt:lpstr>Título</vt:lpstr>
      </vt:variant>
      <vt:variant>
        <vt:i4>1</vt:i4>
      </vt:variant>
    </vt:vector>
  </HeadingPairs>
  <TitlesOfParts>
    <vt:vector size="4" baseType="lpstr">
      <vt:lpstr/>
      <vt:lpstr/>
      <vt:lpstr/>
      <vt:lpstr/>
    </vt:vector>
  </TitlesOfParts>
  <Company/>
  <LinksUpToDate>false</LinksUpToDate>
  <CharactersWithSpaces>585131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dc:creator>
  <cp:keywords/>
  <dc:description/>
  <cp:lastModifiedBy>Luzmila Lambrano</cp:lastModifiedBy>
  <cp:revision>2</cp:revision>
  <cp:lastPrinted>2019-09-12T13:49:00Z</cp:lastPrinted>
  <dcterms:created xsi:type="dcterms:W3CDTF">2019-11-11T22:48:00Z</dcterms:created>
  <dcterms:modified xsi:type="dcterms:W3CDTF">2019-11-11T22:48:00Z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